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2BA5D5">
      <w:pPr>
        <w:jc w:val="center"/>
        <w:rPr>
          <w:rFonts w:ascii="黑体" w:hAnsi="黑体" w:eastAsia="黑体"/>
          <w:b/>
          <w:bCs/>
          <w:sz w:val="36"/>
          <w:szCs w:val="36"/>
        </w:rPr>
      </w:pPr>
      <w:bookmarkStart w:id="0" w:name="_Toc50034066"/>
      <w:bookmarkStart w:id="1" w:name="_Toc330904134"/>
      <w:bookmarkStart w:id="2" w:name="_Toc340839619"/>
      <w:r>
        <w:rPr>
          <w:rFonts w:hint="eastAsia" w:ascii="黑体" w:hAnsi="黑体" w:eastAsia="黑体"/>
          <w:b/>
          <w:bCs/>
          <w:sz w:val="36"/>
          <w:szCs w:val="36"/>
        </w:rPr>
        <w:t xml:space="preserve">第二号 </w:t>
      </w:r>
      <w:bookmarkEnd w:id="0"/>
      <w:bookmarkEnd w:id="1"/>
      <w:bookmarkEnd w:id="2"/>
      <w:r>
        <w:rPr>
          <w:rFonts w:hint="eastAsia" w:ascii="黑体" w:hAnsi="黑体" w:eastAsia="黑体"/>
          <w:b/>
          <w:bCs/>
          <w:sz w:val="36"/>
          <w:szCs w:val="36"/>
        </w:rPr>
        <w:t>上市公司对外投资公告</w:t>
      </w:r>
    </w:p>
    <w:p w14:paraId="164CF5E2">
      <w:pPr>
        <w:adjustRightInd w:val="0"/>
        <w:snapToGrid w:val="0"/>
        <w:spacing w:line="560" w:lineRule="exact"/>
        <w:ind w:firstLine="602" w:firstLineChars="200"/>
        <w:rPr>
          <w:rFonts w:ascii="仿宋" w:hAnsi="仿宋" w:eastAsia="仿宋_GB2312"/>
          <w:b/>
          <w:bCs/>
          <w:sz w:val="30"/>
          <w:szCs w:val="30"/>
        </w:rPr>
      </w:pPr>
    </w:p>
    <w:p w14:paraId="77CDEE56">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F5E5269">
      <w:pPr>
        <w:pStyle w:val="10"/>
        <w:adjustRightInd w:val="0"/>
        <w:snapToGrid w:val="0"/>
        <w:spacing w:before="0" w:beforeAutospacing="0" w:after="0" w:afterAutospacing="0"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1.上市公司发生新设公司、投资新项目、对包括子公司、参股公司在内的现有公司增资等事项达到《股票上市规则》规定的信息披露标准，适用本公告格式。</w:t>
      </w:r>
    </w:p>
    <w:p w14:paraId="6B4090E9">
      <w:pPr>
        <w:adjustRightInd w:val="0"/>
        <w:snapToGrid w:val="0"/>
        <w:spacing w:line="56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.如上述对外投资事项构成《股票上市规则》规定的关联交易，适用本所发布的上市公司关联交易相关公告指引，并参考本公告格式的主要内容进行披露。</w:t>
      </w:r>
    </w:p>
    <w:p w14:paraId="6955C290">
      <w:pPr>
        <w:adjustRightInd w:val="0"/>
        <w:snapToGrid w:val="0"/>
        <w:spacing w:line="560" w:lineRule="exact"/>
        <w:ind w:firstLine="600" w:firstLineChars="200"/>
        <w:rPr>
          <w:rFonts w:ascii="仿宋" w:hAnsi="仿宋" w:eastAsia="仿宋_GB2312"/>
          <w:color w:val="000000"/>
          <w:sz w:val="30"/>
          <w:szCs w:val="30"/>
        </w:rPr>
      </w:pPr>
    </w:p>
    <w:p w14:paraId="1753162B">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66C1A51">
      <w:pPr>
        <w:autoSpaceDE w:val="0"/>
        <w:autoSpaceDN w:val="0"/>
        <w:adjustRightInd w:val="0"/>
        <w:snapToGrid w:val="0"/>
        <w:spacing w:line="560" w:lineRule="exact"/>
        <w:ind w:firstLine="600" w:firstLineChars="200"/>
        <w:jc w:val="center"/>
        <w:rPr>
          <w:rFonts w:ascii="仿宋" w:hAnsi="仿宋" w:eastAsia="仿宋_GB2312"/>
          <w:color w:val="000000"/>
          <w:sz w:val="30"/>
          <w:szCs w:val="30"/>
        </w:rPr>
      </w:pPr>
    </w:p>
    <w:p w14:paraId="2F107409">
      <w:pPr>
        <w:adjustRightInd w:val="0"/>
        <w:snapToGrid w:val="0"/>
        <w:spacing w:line="560" w:lineRule="exact"/>
        <w:ind w:firstLine="600" w:firstLineChars="200"/>
        <w:jc w:val="center"/>
        <w:rPr>
          <w:rFonts w:ascii="仿宋" w:hAnsi="仿宋" w:eastAsia="仿宋_GB2312"/>
          <w:bCs/>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 w:hAnsi="仿宋" w:eastAsia="仿宋_GB2312"/>
          <w:bCs/>
          <w:sz w:val="30"/>
          <w:szCs w:val="30"/>
        </w:rPr>
        <w:t>股份有限公司对外投资公告</w:t>
      </w:r>
    </w:p>
    <w:p w14:paraId="66271E20">
      <w:pPr>
        <w:snapToGrid w:val="0"/>
        <w:spacing w:line="560" w:lineRule="exact"/>
        <w:jc w:val="center"/>
        <w:rPr>
          <w:rFonts w:ascii="仿宋_GB2312" w:hAnsi="宋体" w:eastAsia="仿宋_GB2312"/>
          <w:color w:val="000000"/>
          <w:sz w:val="30"/>
          <w:szCs w:val="30"/>
        </w:rPr>
      </w:pPr>
    </w:p>
    <w:p w14:paraId="749FD65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3E3A428D">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70C34F7">
      <w:pPr>
        <w:adjustRightInd w:val="0"/>
        <w:snapToGrid w:val="0"/>
        <w:spacing w:line="560" w:lineRule="exact"/>
        <w:rPr>
          <w:rFonts w:ascii="仿宋_GB2312" w:hAnsi="宋体" w:eastAsia="仿宋_GB2312"/>
          <w:sz w:val="30"/>
          <w:szCs w:val="30"/>
        </w:rPr>
      </w:pPr>
    </w:p>
    <w:p w14:paraId="1881DA6F">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40DDA223">
      <w:pPr>
        <w:pStyle w:val="18"/>
        <w:numPr>
          <w:ilvl w:val="0"/>
          <w:numId w:val="2"/>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投资标的名称</w:t>
      </w:r>
    </w:p>
    <w:p w14:paraId="220A6CEF">
      <w:pPr>
        <w:pStyle w:val="18"/>
        <w:numPr>
          <w:ilvl w:val="0"/>
          <w:numId w:val="2"/>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投资金额</w:t>
      </w:r>
    </w:p>
    <w:p w14:paraId="15C8B0FF">
      <w:pPr>
        <w:pStyle w:val="18"/>
        <w:numPr>
          <w:ilvl w:val="0"/>
          <w:numId w:val="2"/>
        </w:numPr>
        <w:adjustRightInd w:val="0"/>
        <w:snapToGrid w:val="0"/>
        <w:spacing w:line="560" w:lineRule="exact"/>
        <w:ind w:firstLineChars="0"/>
        <w:rPr>
          <w:rFonts w:ascii="仿宋" w:hAnsi="仿宋" w:eastAsia="仿宋_GB2312"/>
          <w:bCs/>
          <w:sz w:val="30"/>
          <w:szCs w:val="30"/>
        </w:rPr>
      </w:pPr>
      <w:r>
        <w:rPr>
          <w:rFonts w:hint="eastAsia" w:ascii="仿宋_GB2312" w:eastAsia="仿宋_GB2312"/>
          <w:color w:val="000000"/>
          <w:sz w:val="30"/>
          <w:szCs w:val="30"/>
        </w:rPr>
        <w:t>相关风险提示</w:t>
      </w:r>
    </w:p>
    <w:p w14:paraId="644B5930">
      <w:pPr>
        <w:tabs>
          <w:tab w:val="left" w:pos="900"/>
        </w:tabs>
        <w:adjustRightInd w:val="0"/>
        <w:snapToGrid w:val="0"/>
        <w:spacing w:line="560" w:lineRule="exact"/>
        <w:ind w:firstLine="600" w:firstLineChars="200"/>
        <w:rPr>
          <w:rFonts w:ascii="仿宋" w:hAnsi="仿宋" w:eastAsia="仿宋_GB2312"/>
          <w:bCs/>
          <w:sz w:val="30"/>
          <w:szCs w:val="30"/>
        </w:rPr>
      </w:pPr>
    </w:p>
    <w:p w14:paraId="470BF0B6">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一、对外投资概述</w:t>
      </w:r>
    </w:p>
    <w:p w14:paraId="286E4330">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_GB2312" w:eastAsia="仿宋_GB2312"/>
          <w:color w:val="000000"/>
          <w:sz w:val="30"/>
          <w:szCs w:val="30"/>
        </w:rPr>
        <w:t>（一）</w:t>
      </w:r>
      <w:r>
        <w:rPr>
          <w:rFonts w:hint="eastAsia" w:ascii="仿宋" w:hAnsi="仿宋" w:eastAsia="仿宋_GB2312"/>
          <w:color w:val="000000"/>
          <w:sz w:val="30"/>
          <w:szCs w:val="30"/>
        </w:rPr>
        <w:t>对外投资的基本情况，包括协议各主体名称（或姓名），投资目的，投资标的以及涉及金额等。</w:t>
      </w:r>
    </w:p>
    <w:p w14:paraId="0B256795">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 w:hAnsi="仿宋" w:eastAsia="仿宋_GB2312"/>
          <w:color w:val="000000"/>
          <w:sz w:val="30"/>
          <w:szCs w:val="30"/>
        </w:rPr>
        <w:t>（二）董事会审议情况，是否需经股东会审议通过和有关部门批准。</w:t>
      </w:r>
    </w:p>
    <w:p w14:paraId="1D99D974">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r>
        <w:rPr>
          <w:rFonts w:hint="eastAsia" w:ascii="仿宋" w:hAnsi="仿宋" w:eastAsia="仿宋_GB2312"/>
          <w:color w:val="000000"/>
          <w:sz w:val="30"/>
          <w:szCs w:val="30"/>
        </w:rPr>
        <w:t>（三）明确说明是否属于关联交易和重大资产重组事项。</w:t>
      </w:r>
    </w:p>
    <w:p w14:paraId="12D1609E">
      <w:pPr>
        <w:pStyle w:val="10"/>
        <w:widowControl w:val="0"/>
        <w:tabs>
          <w:tab w:val="left" w:pos="126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p>
    <w:p w14:paraId="72682215">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二、投资协议主体的基本情况（如适用）</w:t>
      </w:r>
    </w:p>
    <w:p w14:paraId="277526A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（一）交易对方为法人或其他组织的，</w:t>
      </w:r>
      <w:r>
        <w:rPr>
          <w:rFonts w:hint="eastAsia" w:ascii="仿宋_GB2312" w:hAnsi="宋体" w:eastAsia="仿宋_GB2312"/>
          <w:color w:val="000000"/>
          <w:kern w:val="0"/>
          <w:sz w:val="30"/>
          <w:szCs w:val="30"/>
        </w:rPr>
        <w:t>说明交易对方的基本法人信息，例如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最近一年又一期的资产总额、负债总额、净资产、营业收入、净利润、资产负债率、影响</w:t>
      </w:r>
      <w:r>
        <w:rPr>
          <w:rFonts w:hint="eastAsia" w:ascii="仿宋_GB2312" w:hAnsi="宋体" w:eastAsia="仿宋_GB2312"/>
          <w:color w:val="000000"/>
          <w:kern w:val="0"/>
          <w:sz w:val="30"/>
          <w:szCs w:val="30"/>
          <w:lang w:eastAsia="zh-CN"/>
        </w:rPr>
        <w:t>交易对方</w:t>
      </w:r>
      <w:r>
        <w:rPr>
          <w:rFonts w:hint="eastAsia" w:ascii="仿宋_GB2312" w:hAnsi="宋体" w:eastAsia="仿宋_GB2312"/>
          <w:color w:val="000000"/>
          <w:kern w:val="0"/>
          <w:sz w:val="30"/>
          <w:szCs w:val="30"/>
        </w:rPr>
        <w:t>偿债能力的重大或有事项涉及的总额（包括担保、抵押、诉讼与仲裁事项）等</w:t>
      </w:r>
      <w:r>
        <w:rPr>
          <w:rFonts w:hint="eastAsia" w:ascii="仿宋_GB2312" w:eastAsia="仿宋_GB2312"/>
          <w:sz w:val="30"/>
          <w:szCs w:val="30"/>
        </w:rPr>
        <w:t>。</w:t>
      </w:r>
    </w:p>
    <w:p w14:paraId="06AD847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（二）交易对方为自然人的，披露其姓名</w:t>
      </w:r>
      <w:r>
        <w:rPr>
          <w:rFonts w:hint="eastAsia" w:ascii="仿宋_GB2312" w:hAnsi="仿宋_GB2312" w:eastAsia="仿宋_GB2312" w:cs="仿宋_GB2312"/>
          <w:sz w:val="30"/>
          <w:szCs w:val="30"/>
        </w:rPr>
        <w:t>、主要</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14:paraId="4A573D38">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（三）交易对方与上市公司之间存在产权、</w:t>
      </w:r>
      <w:bookmarkStart w:id="3" w:name="_GoBack"/>
      <w:bookmarkEnd w:id="3"/>
      <w:r>
        <w:rPr>
          <w:rFonts w:hint="eastAsia" w:ascii="仿宋_GB2312" w:eastAsia="仿宋_GB2312"/>
          <w:sz w:val="30"/>
          <w:szCs w:val="30"/>
        </w:rPr>
        <w:t>业务、资产、债权债务、人员等方面的其它关系的说明。</w:t>
      </w:r>
    </w:p>
    <w:p w14:paraId="40401401">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（四）交易对方的资信状况，若被列为失信被执行人，</w:t>
      </w:r>
      <w:r>
        <w:rPr>
          <w:rFonts w:ascii="仿宋_GB2312" w:eastAsia="仿宋_GB2312"/>
          <w:sz w:val="30"/>
          <w:szCs w:val="30"/>
        </w:rPr>
        <w:t>应当</w:t>
      </w:r>
      <w:r>
        <w:rPr>
          <w:rFonts w:hint="eastAsia" w:ascii="仿宋_GB2312" w:eastAsia="仿宋_GB2312"/>
          <w:sz w:val="30"/>
          <w:szCs w:val="30"/>
        </w:rPr>
        <w:t>披露其失信情况，及对本次交易的影响。</w:t>
      </w:r>
    </w:p>
    <w:p w14:paraId="484E8560">
      <w:pPr>
        <w:pStyle w:val="10"/>
        <w:widowControl w:val="0"/>
        <w:tabs>
          <w:tab w:val="left" w:pos="1080"/>
        </w:tabs>
        <w:adjustRightInd w:val="0"/>
        <w:snapToGrid w:val="0"/>
        <w:spacing w:before="0" w:beforeAutospacing="0" w:after="0" w:afterAutospacing="0" w:line="560" w:lineRule="exact"/>
        <w:ind w:firstLine="600" w:firstLineChars="200"/>
        <w:jc w:val="both"/>
        <w:rPr>
          <w:rFonts w:ascii="仿宋" w:hAnsi="仿宋" w:eastAsia="仿宋_GB2312"/>
          <w:color w:val="000000"/>
          <w:sz w:val="30"/>
          <w:szCs w:val="30"/>
        </w:rPr>
      </w:pPr>
    </w:p>
    <w:p w14:paraId="5302B053">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三、投资标的基本情况</w:t>
      </w:r>
    </w:p>
    <w:p w14:paraId="366A10AA">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（一）设立公司的，披露公司的基本情况，例如经营范围、主营业务</w:t>
      </w:r>
      <w:r>
        <w:rPr>
          <w:rFonts w:ascii="仿宋_GB2312" w:hAnsi="宋体" w:eastAsia="仿宋_GB2312" w:cs="Times New Roman"/>
          <w:color w:val="000000"/>
          <w:kern w:val="0"/>
          <w:sz w:val="30"/>
          <w:szCs w:val="30"/>
        </w:rPr>
        <w:t>、</w:t>
      </w:r>
      <w:r>
        <w:rPr>
          <w:rFonts w:hint="eastAsia" w:ascii="仿宋_GB2312" w:hAnsi="宋体" w:eastAsia="仿宋_GB2312" w:cs="Times New Roman"/>
          <w:color w:val="000000"/>
          <w:kern w:val="0"/>
          <w:sz w:val="30"/>
          <w:szCs w:val="30"/>
        </w:rPr>
        <w:t>注册资本、出资方式、标的公司的董事会及管理层的人员安排等。设立有限责任公司的各主要投资人的投资规模及出资比例、设立股份有限公司的前五名股东的投资规模及持股比例、上市公司对新设公司的投资</w:t>
      </w:r>
      <w:r>
        <w:rPr>
          <w:rFonts w:ascii="仿宋_GB2312" w:hAnsi="宋体" w:eastAsia="仿宋_GB2312" w:cs="Times New Roman"/>
          <w:color w:val="000000"/>
          <w:kern w:val="0"/>
          <w:sz w:val="30"/>
          <w:szCs w:val="30"/>
        </w:rPr>
        <w:t>规模及</w:t>
      </w:r>
      <w:r>
        <w:rPr>
          <w:rFonts w:hint="eastAsia" w:ascii="仿宋_GB2312" w:hAnsi="宋体" w:eastAsia="仿宋_GB2312" w:cs="Times New Roman"/>
          <w:color w:val="000000"/>
          <w:kern w:val="0"/>
          <w:sz w:val="30"/>
          <w:szCs w:val="30"/>
        </w:rPr>
        <w:t>持股比例等。</w:t>
      </w:r>
    </w:p>
    <w:p w14:paraId="5634565A">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出资方式涉及非现金资产出资的，应当披露资产的质量、</w:t>
      </w:r>
      <w:r>
        <w:rPr>
          <w:rFonts w:ascii="仿宋_GB2312" w:hAnsi="宋体" w:eastAsia="仿宋_GB2312" w:cs="Times New Roman"/>
          <w:sz w:val="30"/>
          <w:szCs w:val="30"/>
        </w:rPr>
        <w:t>估值</w:t>
      </w:r>
      <w:r>
        <w:rPr>
          <w:rFonts w:hint="eastAsia" w:ascii="仿宋_GB2312" w:hAnsi="宋体" w:eastAsia="仿宋_GB2312" w:cs="Times New Roman"/>
          <w:sz w:val="30"/>
          <w:szCs w:val="30"/>
        </w:rPr>
        <w:t>的</w:t>
      </w:r>
      <w:r>
        <w:rPr>
          <w:rFonts w:ascii="仿宋_GB2312" w:hAnsi="宋体" w:eastAsia="仿宋_GB2312" w:cs="Times New Roman"/>
          <w:sz w:val="30"/>
          <w:szCs w:val="30"/>
        </w:rPr>
        <w:t>公允性、权利瑕疵</w:t>
      </w:r>
      <w:r>
        <w:rPr>
          <w:rFonts w:hint="eastAsia" w:ascii="仿宋_GB2312" w:hAnsi="宋体" w:eastAsia="仿宋_GB2312" w:cs="Times New Roman"/>
          <w:sz w:val="30"/>
          <w:szCs w:val="30"/>
        </w:rPr>
        <w:t>等信息</w:t>
      </w:r>
      <w:r>
        <w:rPr>
          <w:rFonts w:hint="eastAsia" w:ascii="仿宋_GB2312" w:hAnsi="宋体" w:eastAsia="仿宋_GB2312" w:cs="Times New Roman"/>
          <w:color w:val="000000"/>
          <w:kern w:val="0"/>
          <w:sz w:val="30"/>
          <w:szCs w:val="30"/>
        </w:rPr>
        <w:t>。如以实物资产或无形资产出资的，说明资产名称、账面值、评估值、资产运营情况、有关资产是否存在抵押、质押或者其他第三人权利、是否存在涉及有关资产的重大争议、诉讼或仲裁事项、查封或者冻结等司法措施；如以股权出资的，说明对应公司名称，主营业务，最近一年又一期的资产总额、资产净额、营业收入和净利润等财务数据（是否经过审计），相关股东持有该公司股权的比例，以及</w:t>
      </w:r>
      <w:r>
        <w:rPr>
          <w:rFonts w:ascii="仿宋_GB2312" w:hAnsi="宋体" w:eastAsia="仿宋_GB2312" w:cs="Times New Roman"/>
          <w:sz w:val="30"/>
          <w:szCs w:val="30"/>
        </w:rPr>
        <w:t>其他股东是否放弃优先受让权</w:t>
      </w:r>
      <w:r>
        <w:rPr>
          <w:rFonts w:hint="eastAsia" w:ascii="仿宋_GB2312" w:hAnsi="宋体" w:eastAsia="仿宋_GB2312" w:cs="Times New Roman"/>
          <w:color w:val="000000"/>
          <w:kern w:val="0"/>
          <w:sz w:val="30"/>
          <w:szCs w:val="30"/>
        </w:rPr>
        <w:t>等。出资方式涉及现金出资的，说明资金来源（是否属于募集资金）。</w:t>
      </w:r>
    </w:p>
    <w:p w14:paraId="3191CB99">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二）投资具体项目的，披露投资项目的主要内容，例如各主要投资方的出资及其他义务、项目建设期、目前进展情况、市场定位及可行性分析、项目分成，以及需要履行的审批手续等。如果公司投资进入新的领域，披露新进入领域的人员、技术、管理壁垒，可行性分析、市场前景和风险因素等。</w:t>
      </w:r>
    </w:p>
    <w:p w14:paraId="0B52DD4E">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三）对包括子公司在内的现有公司增资的，可以按照前述设立公司的要求披露增资方式及相关内容，同时披露被增资公司的基本情况，例如经营情况、增资前后的股权结构和最近一年又一期的主要财务指标，包括不限于资产总额、资产净额、营业收入和净利润等，并注明是否经过审计。</w:t>
      </w:r>
    </w:p>
    <w:p w14:paraId="2F54661C">
      <w:pPr>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四）投资标的为公司股权的，如标的公司存在章程或其他文件中有法律法规之外其他限制股东权利的条款（如有限责任公司部分股东不享有优先受让权等）、为失信被执行人等情形的，应进一步披露对本次交易的影响，以及公司所采取的应对措施等。</w:t>
      </w:r>
    </w:p>
    <w:p w14:paraId="2B779F5B">
      <w:pPr>
        <w:adjustRightInd w:val="0"/>
        <w:snapToGrid w:val="0"/>
        <w:spacing w:line="560" w:lineRule="exact"/>
        <w:ind w:firstLine="600" w:firstLineChars="200"/>
        <w:rPr>
          <w:rFonts w:ascii="仿宋_GB2312" w:hAnsi="宋体" w:eastAsia="仿宋_GB2312" w:cs="Times New Roman"/>
          <w:color w:val="000000"/>
          <w:kern w:val="0"/>
          <w:sz w:val="30"/>
          <w:szCs w:val="30"/>
        </w:rPr>
      </w:pPr>
    </w:p>
    <w:p w14:paraId="62FA3042">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四、对外投资合同的主要内容</w:t>
      </w:r>
    </w:p>
    <w:p w14:paraId="41EE42C4">
      <w:pPr>
        <w:tabs>
          <w:tab w:val="left" w:pos="1260"/>
        </w:tabs>
        <w:adjustRightInd w:val="0"/>
        <w:snapToGrid w:val="0"/>
        <w:spacing w:line="560" w:lineRule="exact"/>
        <w:ind w:firstLine="600" w:firstLineChars="200"/>
        <w:rPr>
          <w:rFonts w:hint="eastAsia" w:ascii="仿宋" w:hAnsi="仿宋" w:eastAsia="仿宋_GB2312"/>
          <w:sz w:val="30"/>
          <w:szCs w:val="30"/>
          <w:lang w:val="en-US" w:eastAsia="zh-CN"/>
        </w:rPr>
      </w:pPr>
      <w:r>
        <w:rPr>
          <w:rFonts w:hint="eastAsia" w:ascii="仿宋" w:hAnsi="仿宋" w:eastAsia="仿宋_GB2312"/>
          <w:sz w:val="30"/>
          <w:szCs w:val="30"/>
        </w:rPr>
        <w:t>合同（包括附件）主要条款，例如合同主体、投资金额、支付方式、出资期限或者分期出资安排、预期收益及收取约定、投资方的未来重大义务、</w:t>
      </w:r>
      <w:r>
        <w:rPr>
          <w:rFonts w:hint="eastAsia" w:ascii="仿宋" w:hAnsi="仿宋" w:eastAsia="仿宋_GB2312" w:cs="宋体"/>
          <w:sz w:val="30"/>
          <w:szCs w:val="30"/>
        </w:rPr>
        <w:t>履行期限、违约责任、争议解决方式、</w:t>
      </w:r>
      <w:r>
        <w:rPr>
          <w:rFonts w:hint="eastAsia" w:ascii="仿宋" w:hAnsi="仿宋" w:eastAsia="仿宋_GB2312"/>
          <w:sz w:val="30"/>
          <w:szCs w:val="30"/>
        </w:rPr>
        <w:t>合同生效条件和时间以及有效期</w:t>
      </w:r>
      <w:r>
        <w:rPr>
          <w:rFonts w:hint="eastAsia" w:ascii="仿宋" w:hAnsi="仿宋" w:eastAsia="仿宋_GB2312" w:cs="宋体"/>
          <w:sz w:val="30"/>
          <w:szCs w:val="30"/>
        </w:rPr>
        <w:t>、</w:t>
      </w:r>
      <w:r>
        <w:rPr>
          <w:rFonts w:hint="eastAsia" w:ascii="仿宋" w:hAnsi="仿宋" w:eastAsia="仿宋_GB2312"/>
          <w:sz w:val="30"/>
          <w:szCs w:val="30"/>
        </w:rPr>
        <w:t>任何形式的附加或者保留条款</w:t>
      </w:r>
      <w:r>
        <w:rPr>
          <w:rFonts w:hint="eastAsia" w:ascii="仿宋" w:hAnsi="仿宋" w:eastAsia="仿宋_GB2312"/>
          <w:sz w:val="30"/>
          <w:szCs w:val="30"/>
          <w:lang w:eastAsia="zh-CN"/>
        </w:rPr>
        <w:t>。</w:t>
      </w:r>
    </w:p>
    <w:p w14:paraId="14C686F5">
      <w:pPr>
        <w:tabs>
          <w:tab w:val="left" w:pos="1260"/>
        </w:tabs>
        <w:adjustRightInd w:val="0"/>
        <w:snapToGrid w:val="0"/>
        <w:spacing w:line="560" w:lineRule="exact"/>
        <w:ind w:firstLine="600" w:firstLineChars="200"/>
        <w:rPr>
          <w:rFonts w:ascii="仿宋" w:hAnsi="仿宋" w:eastAsia="仿宋_GB2312"/>
          <w:sz w:val="30"/>
          <w:szCs w:val="30"/>
        </w:rPr>
      </w:pPr>
    </w:p>
    <w:p w14:paraId="4DE08435">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五、对外投资对上市公司的影响</w:t>
      </w:r>
    </w:p>
    <w:p w14:paraId="06208CA5">
      <w:pPr>
        <w:tabs>
          <w:tab w:val="left" w:pos="1080"/>
        </w:tabs>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对外投资对上市公司未来财务状况和经营成果的影响，例如预计从投资中获得的利益（含潜在利益）、投资行为完成后可能新增的关联交易、同业竞争及相关解决措施的说明。</w:t>
      </w:r>
    </w:p>
    <w:p w14:paraId="63A75445">
      <w:pPr>
        <w:tabs>
          <w:tab w:val="left" w:pos="1080"/>
        </w:tabs>
        <w:adjustRightInd w:val="0"/>
        <w:snapToGrid w:val="0"/>
        <w:spacing w:line="560" w:lineRule="exact"/>
        <w:ind w:firstLine="600" w:firstLineChars="200"/>
        <w:rPr>
          <w:rFonts w:ascii="仿宋" w:hAnsi="仿宋" w:eastAsia="仿宋_GB2312"/>
          <w:sz w:val="30"/>
          <w:szCs w:val="30"/>
        </w:rPr>
      </w:pPr>
      <w:r>
        <w:rPr>
          <w:rFonts w:hint="eastAsia" w:ascii="仿宋_GB2312" w:hAnsi="宋体" w:eastAsia="仿宋_GB2312" w:cs="Times New Roman"/>
          <w:sz w:val="30"/>
          <w:szCs w:val="30"/>
        </w:rPr>
        <w:t>本次交易如形成新的对外担保、非经营性资金占用，应当披露前述事项的形成原因、金额以及解决措施。</w:t>
      </w:r>
    </w:p>
    <w:p w14:paraId="35D82B05">
      <w:pPr>
        <w:tabs>
          <w:tab w:val="left" w:pos="1080"/>
        </w:tabs>
        <w:adjustRightInd w:val="0"/>
        <w:snapToGrid w:val="0"/>
        <w:spacing w:line="560" w:lineRule="exact"/>
        <w:ind w:firstLine="600" w:firstLineChars="200"/>
        <w:rPr>
          <w:rFonts w:ascii="仿宋" w:hAnsi="仿宋" w:eastAsia="仿宋_GB2312"/>
          <w:sz w:val="30"/>
          <w:szCs w:val="30"/>
        </w:rPr>
      </w:pPr>
    </w:p>
    <w:p w14:paraId="74ED1CD3">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六、对外投资的风险分析</w:t>
      </w:r>
    </w:p>
    <w:p w14:paraId="424C377B">
      <w:pPr>
        <w:tabs>
          <w:tab w:val="left" w:pos="1080"/>
          <w:tab w:val="left" w:pos="1440"/>
        </w:tabs>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充分提示本次对外投资的风险，例如投资标的因财务、市场、技术、环保、项目管理、组织实施等因素可能引致的风险，投资行为可能未获得有关机构批准的风险等。</w:t>
      </w:r>
    </w:p>
    <w:p w14:paraId="7DEFC587">
      <w:pPr>
        <w:tabs>
          <w:tab w:val="left" w:pos="1080"/>
          <w:tab w:val="left" w:pos="1260"/>
          <w:tab w:val="left" w:pos="1440"/>
        </w:tabs>
        <w:adjustRightInd w:val="0"/>
        <w:snapToGrid w:val="0"/>
        <w:spacing w:line="560" w:lineRule="exact"/>
        <w:ind w:firstLine="600" w:firstLineChars="200"/>
        <w:rPr>
          <w:rFonts w:ascii="仿宋" w:hAnsi="仿宋" w:eastAsia="仿宋_GB2312"/>
          <w:bCs/>
          <w:sz w:val="30"/>
          <w:szCs w:val="30"/>
        </w:rPr>
      </w:pPr>
    </w:p>
    <w:p w14:paraId="7499FA6A">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七、进展披露</w:t>
      </w:r>
    </w:p>
    <w:p w14:paraId="5692F32E">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eastAsia="仿宋_GB2312"/>
          <w:color w:val="000000"/>
          <w:sz w:val="30"/>
          <w:szCs w:val="30"/>
        </w:rPr>
        <w:t>对外投资公告首次披露后，上市公司应当及时披露对外投资的审议、协议签署及其他重大进展或变化情况。</w:t>
      </w:r>
    </w:p>
    <w:p w14:paraId="0396F572">
      <w:pPr>
        <w:tabs>
          <w:tab w:val="left" w:pos="540"/>
          <w:tab w:val="left" w:pos="900"/>
        </w:tabs>
        <w:adjustRightInd w:val="0"/>
        <w:snapToGrid w:val="0"/>
        <w:spacing w:line="560" w:lineRule="exact"/>
        <w:rPr>
          <w:rFonts w:ascii="仿宋" w:hAnsi="仿宋" w:eastAsia="仿宋_GB2312"/>
          <w:bCs/>
          <w:sz w:val="30"/>
          <w:szCs w:val="30"/>
        </w:rPr>
      </w:pPr>
    </w:p>
    <w:p w14:paraId="0DBFF67A">
      <w:pPr>
        <w:tabs>
          <w:tab w:val="left" w:pos="540"/>
          <w:tab w:val="left" w:pos="900"/>
        </w:tabs>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特此公告。</w:t>
      </w:r>
    </w:p>
    <w:p w14:paraId="6882601E">
      <w:pPr>
        <w:adjustRightInd w:val="0"/>
        <w:snapToGrid w:val="0"/>
        <w:spacing w:line="560" w:lineRule="exact"/>
        <w:ind w:firstLine="600" w:firstLineChars="200"/>
        <w:rPr>
          <w:rFonts w:ascii="仿宋" w:hAnsi="仿宋" w:eastAsia="仿宋_GB2312"/>
          <w:color w:val="676767"/>
          <w:sz w:val="30"/>
          <w:szCs w:val="30"/>
        </w:rPr>
      </w:pPr>
    </w:p>
    <w:p w14:paraId="0500ED62">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3B1E38F0">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年  月  日</w:t>
      </w:r>
    </w:p>
    <w:p w14:paraId="207B9517">
      <w:pPr>
        <w:spacing w:line="560" w:lineRule="exact"/>
        <w:jc w:val="right"/>
        <w:rPr>
          <w:rFonts w:ascii="仿宋_GB2312" w:hAnsi="宋体" w:eastAsia="仿宋_GB2312" w:cs="宋体-WinCharSetFFFF-H"/>
          <w:color w:val="000000"/>
          <w:kern w:val="0"/>
          <w:sz w:val="30"/>
          <w:szCs w:val="30"/>
        </w:rPr>
      </w:pPr>
    </w:p>
    <w:p w14:paraId="1E5D7CBD">
      <w:pPr>
        <w:pStyle w:val="18"/>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44D0A315">
      <w:pPr>
        <w:tabs>
          <w:tab w:val="left" w:pos="540"/>
          <w:tab w:val="left" w:pos="90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项目可行性研究报告（如有）</w:t>
      </w:r>
    </w:p>
    <w:p w14:paraId="17747778">
      <w:pPr>
        <w:spacing w:line="560" w:lineRule="exact"/>
        <w:jc w:val="left"/>
        <w:rPr>
          <w:rFonts w:ascii="仿宋_GB2312" w:hAnsi="宋体" w:eastAsia="仿宋_GB2312" w:cs="宋体-WinCharSetFFFF-H"/>
          <w:color w:val="000000"/>
          <w:kern w:val="0"/>
          <w:sz w:val="30"/>
          <w:szCs w:val="30"/>
        </w:rPr>
      </w:pPr>
    </w:p>
    <w:p w14:paraId="69B8C9CC">
      <w:pPr>
        <w:pStyle w:val="18"/>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5C4691B6">
      <w:pPr>
        <w:autoSpaceDE w:val="0"/>
        <w:autoSpaceDN w:val="0"/>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对外投资合同或意向书</w:t>
      </w:r>
    </w:p>
    <w:p w14:paraId="4C08D513">
      <w:pPr>
        <w:autoSpaceDE w:val="0"/>
        <w:autoSpaceDN w:val="0"/>
        <w:adjustRightInd w:val="0"/>
        <w:snapToGrid w:val="0"/>
        <w:spacing w:line="560" w:lineRule="exact"/>
        <w:ind w:firstLine="600" w:firstLineChars="200"/>
        <w:rPr>
          <w:rFonts w:ascii="仿宋_GB2312"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585899C">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0E3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E6360"/>
    <w:rsid w:val="00004D6A"/>
    <w:rsid w:val="00012D48"/>
    <w:rsid w:val="00027869"/>
    <w:rsid w:val="00027D07"/>
    <w:rsid w:val="00051EAC"/>
    <w:rsid w:val="000607D6"/>
    <w:rsid w:val="00063231"/>
    <w:rsid w:val="00066C71"/>
    <w:rsid w:val="00076CA2"/>
    <w:rsid w:val="00090CD6"/>
    <w:rsid w:val="000C3D68"/>
    <w:rsid w:val="000C7B16"/>
    <w:rsid w:val="001006CF"/>
    <w:rsid w:val="00117D19"/>
    <w:rsid w:val="0014188B"/>
    <w:rsid w:val="001B757C"/>
    <w:rsid w:val="001C5C17"/>
    <w:rsid w:val="002627B6"/>
    <w:rsid w:val="002645CA"/>
    <w:rsid w:val="00293727"/>
    <w:rsid w:val="00294FCA"/>
    <w:rsid w:val="002A60C3"/>
    <w:rsid w:val="002C7EE3"/>
    <w:rsid w:val="002E03D0"/>
    <w:rsid w:val="002F7B45"/>
    <w:rsid w:val="003109BD"/>
    <w:rsid w:val="003300E1"/>
    <w:rsid w:val="003649E3"/>
    <w:rsid w:val="00386D16"/>
    <w:rsid w:val="003E3AFE"/>
    <w:rsid w:val="003F24CC"/>
    <w:rsid w:val="003F578C"/>
    <w:rsid w:val="00410787"/>
    <w:rsid w:val="00464DC8"/>
    <w:rsid w:val="00472D09"/>
    <w:rsid w:val="004A57E5"/>
    <w:rsid w:val="004A632D"/>
    <w:rsid w:val="004A7A25"/>
    <w:rsid w:val="004B2E5E"/>
    <w:rsid w:val="004D046C"/>
    <w:rsid w:val="00526209"/>
    <w:rsid w:val="005323CB"/>
    <w:rsid w:val="00556C39"/>
    <w:rsid w:val="00583BE6"/>
    <w:rsid w:val="005D0B1E"/>
    <w:rsid w:val="005D724F"/>
    <w:rsid w:val="005F6C91"/>
    <w:rsid w:val="006623D4"/>
    <w:rsid w:val="00671228"/>
    <w:rsid w:val="006854EB"/>
    <w:rsid w:val="006A29BA"/>
    <w:rsid w:val="006B08F4"/>
    <w:rsid w:val="006B3ADF"/>
    <w:rsid w:val="006B6557"/>
    <w:rsid w:val="006B7AD1"/>
    <w:rsid w:val="006C5815"/>
    <w:rsid w:val="006F390C"/>
    <w:rsid w:val="006F3972"/>
    <w:rsid w:val="0070193B"/>
    <w:rsid w:val="00711D7C"/>
    <w:rsid w:val="007C72FB"/>
    <w:rsid w:val="008026C9"/>
    <w:rsid w:val="00842D1B"/>
    <w:rsid w:val="008450DC"/>
    <w:rsid w:val="008844A0"/>
    <w:rsid w:val="008A7BCE"/>
    <w:rsid w:val="008F50EB"/>
    <w:rsid w:val="009040BD"/>
    <w:rsid w:val="009117CE"/>
    <w:rsid w:val="00912040"/>
    <w:rsid w:val="00942EEC"/>
    <w:rsid w:val="00952D27"/>
    <w:rsid w:val="009534D2"/>
    <w:rsid w:val="00974527"/>
    <w:rsid w:val="00983E7D"/>
    <w:rsid w:val="009D60A9"/>
    <w:rsid w:val="009E6687"/>
    <w:rsid w:val="009F5AB1"/>
    <w:rsid w:val="009F7613"/>
    <w:rsid w:val="00A01677"/>
    <w:rsid w:val="00A043BB"/>
    <w:rsid w:val="00A42EEE"/>
    <w:rsid w:val="00A920B6"/>
    <w:rsid w:val="00AA1BA9"/>
    <w:rsid w:val="00AA3C7F"/>
    <w:rsid w:val="00AB141C"/>
    <w:rsid w:val="00AD074D"/>
    <w:rsid w:val="00AE2D56"/>
    <w:rsid w:val="00AE484A"/>
    <w:rsid w:val="00AE5F76"/>
    <w:rsid w:val="00B209BE"/>
    <w:rsid w:val="00B309E3"/>
    <w:rsid w:val="00B3798B"/>
    <w:rsid w:val="00B6080A"/>
    <w:rsid w:val="00B62D68"/>
    <w:rsid w:val="00B74A2C"/>
    <w:rsid w:val="00B77B05"/>
    <w:rsid w:val="00B84E4D"/>
    <w:rsid w:val="00BA351B"/>
    <w:rsid w:val="00BB0D46"/>
    <w:rsid w:val="00BD0CB7"/>
    <w:rsid w:val="00BE21EA"/>
    <w:rsid w:val="00C00F13"/>
    <w:rsid w:val="00C61582"/>
    <w:rsid w:val="00CA005A"/>
    <w:rsid w:val="00CD1B97"/>
    <w:rsid w:val="00CE7788"/>
    <w:rsid w:val="00D40F9B"/>
    <w:rsid w:val="00D71D73"/>
    <w:rsid w:val="00DA7C80"/>
    <w:rsid w:val="00DB5FC9"/>
    <w:rsid w:val="00DB6338"/>
    <w:rsid w:val="00DE5E52"/>
    <w:rsid w:val="00E3494E"/>
    <w:rsid w:val="00ED118C"/>
    <w:rsid w:val="00ED24F2"/>
    <w:rsid w:val="00F25CD6"/>
    <w:rsid w:val="00F2781E"/>
    <w:rsid w:val="00F60370"/>
    <w:rsid w:val="00F76428"/>
    <w:rsid w:val="00FA6905"/>
    <w:rsid w:val="00FC16E4"/>
    <w:rsid w:val="00FC285C"/>
    <w:rsid w:val="30670D37"/>
    <w:rsid w:val="342B2BC6"/>
    <w:rsid w:val="48135E4C"/>
    <w:rsid w:val="4DFF6C8F"/>
    <w:rsid w:val="56B34D47"/>
    <w:rsid w:val="6A1B4E22"/>
    <w:rsid w:val="79FF6DA8"/>
    <w:rsid w:val="7F7E6360"/>
    <w:rsid w:val="BF6B91B5"/>
    <w:rsid w:val="DFDFA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lock Text"/>
    <w:basedOn w:val="1"/>
    <w:qFormat/>
    <w:uiPriority w:val="0"/>
    <w:pPr>
      <w:ind w:left="1440" w:leftChars="700" w:right="700" w:rightChars="700"/>
    </w:pPr>
  </w:style>
  <w:style w:type="paragraph" w:styleId="5">
    <w:name w:val="annotation text"/>
    <w:basedOn w:val="1"/>
    <w:link w:val="20"/>
    <w:semiHidden/>
    <w:unhideWhenUsed/>
    <w:qFormat/>
    <w:uiPriority w:val="0"/>
    <w:pPr>
      <w:jc w:val="left"/>
    </w:pPr>
  </w:style>
  <w:style w:type="paragraph" w:styleId="6">
    <w:name w:val="Body Text Indent 2"/>
    <w:basedOn w:val="1"/>
    <w:qFormat/>
    <w:uiPriority w:val="0"/>
    <w:pPr>
      <w:spacing w:line="600" w:lineRule="exact"/>
      <w:ind w:firstLine="600" w:firstLineChars="200"/>
    </w:pPr>
    <w:rPr>
      <w:rFonts w:ascii="仿宋_GB2312" w:hAnsi="宋体" w:eastAsia="仿宋_GB2312" w:cs="Times New Roman"/>
      <w:sz w:val="30"/>
      <w:szCs w:val="30"/>
    </w:rPr>
  </w:style>
  <w:style w:type="paragraph" w:styleId="7">
    <w:name w:val="Balloon Text"/>
    <w:basedOn w:val="1"/>
    <w:link w:val="19"/>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1"/>
    <w:semiHidden/>
    <w:unhideWhenUsed/>
    <w:qFormat/>
    <w:uiPriority w:val="0"/>
    <w:rPr>
      <w:b/>
      <w:bCs/>
    </w:rPr>
  </w:style>
  <w:style w:type="character" w:styleId="14">
    <w:name w:val="annotation reference"/>
    <w:basedOn w:val="13"/>
    <w:semiHidden/>
    <w:unhideWhenUsed/>
    <w:qFormat/>
    <w:uiPriority w:val="0"/>
    <w:rPr>
      <w:sz w:val="21"/>
      <w:szCs w:val="21"/>
    </w:rPr>
  </w:style>
  <w:style w:type="paragraph" w:customStyle="1" w:styleId="15">
    <w:name w:val="列出段落1"/>
    <w:basedOn w:val="1"/>
    <w:qFormat/>
    <w:uiPriority w:val="34"/>
    <w:pPr>
      <w:ind w:firstLine="420" w:firstLineChars="200"/>
    </w:pPr>
  </w:style>
  <w:style w:type="character" w:customStyle="1" w:styleId="16">
    <w:name w:val="页眉 字符"/>
    <w:basedOn w:val="13"/>
    <w:link w:val="9"/>
    <w:qFormat/>
    <w:uiPriority w:val="0"/>
    <w:rPr>
      <w:kern w:val="2"/>
      <w:sz w:val="18"/>
      <w:szCs w:val="18"/>
    </w:rPr>
  </w:style>
  <w:style w:type="character" w:customStyle="1" w:styleId="17">
    <w:name w:val="页脚 字符"/>
    <w:basedOn w:val="13"/>
    <w:link w:val="8"/>
    <w:qFormat/>
    <w:uiPriority w:val="99"/>
    <w:rPr>
      <w:kern w:val="2"/>
      <w:sz w:val="18"/>
      <w:szCs w:val="18"/>
    </w:rPr>
  </w:style>
  <w:style w:type="paragraph" w:styleId="18">
    <w:name w:val="List Paragraph"/>
    <w:basedOn w:val="1"/>
    <w:qFormat/>
    <w:uiPriority w:val="34"/>
    <w:pPr>
      <w:ind w:firstLine="420" w:firstLineChars="200"/>
    </w:pPr>
    <w:rPr>
      <w:rFonts w:ascii="Calibri" w:hAnsi="Calibri" w:eastAsia="宋体" w:cs="Times New Roman"/>
    </w:rPr>
  </w:style>
  <w:style w:type="character" w:customStyle="1" w:styleId="19">
    <w:name w:val="批注框文本 字符"/>
    <w:basedOn w:val="13"/>
    <w:link w:val="7"/>
    <w:qFormat/>
    <w:uiPriority w:val="0"/>
    <w:rPr>
      <w:kern w:val="2"/>
      <w:sz w:val="18"/>
      <w:szCs w:val="18"/>
    </w:rPr>
  </w:style>
  <w:style w:type="character" w:customStyle="1" w:styleId="20">
    <w:name w:val="批注文字 字符"/>
    <w:basedOn w:val="13"/>
    <w:link w:val="5"/>
    <w:semiHidden/>
    <w:qFormat/>
    <w:uiPriority w:val="0"/>
    <w:rPr>
      <w:kern w:val="2"/>
      <w:sz w:val="21"/>
      <w:szCs w:val="22"/>
    </w:rPr>
  </w:style>
  <w:style w:type="character" w:customStyle="1" w:styleId="21">
    <w:name w:val="批注主题 字符"/>
    <w:basedOn w:val="20"/>
    <w:link w:val="11"/>
    <w:qFormat/>
    <w:uiPriority w:val="0"/>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1769</Characters>
  <Lines>14</Lines>
  <Paragraphs>4</Paragraphs>
  <TotalTime>14</TotalTime>
  <ScaleCrop>false</ScaleCrop>
  <LinksUpToDate>false</LinksUpToDate>
  <CharactersWithSpaces>2075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2022-04-24T16:05:00Z</dcterms:created>
  <dc:creator>whzhou</dc:creator>
  <cp:lastModifiedBy>wentinglou</cp:lastModifiedBy>
  <dcterms:modified xsi:type="dcterms:W3CDTF">2025-08-25T16:03:37Z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FF754D6738784C0B9A83D17DD8C855DB_13</vt:lpwstr>
  </property>
</Properties>
</file>