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7FC4">
      <w:pPr>
        <w:spacing w:line="600" w:lineRule="exact"/>
        <w:jc w:val="center"/>
        <w:outlineLvl w:val="0"/>
        <w:rPr>
          <w:rFonts w:ascii="黑体" w:hAnsi="黑体" w:eastAsia="黑体"/>
          <w:b/>
          <w:sz w:val="36"/>
          <w:szCs w:val="36"/>
        </w:rPr>
      </w:pPr>
      <w:r>
        <w:rPr>
          <w:rFonts w:hint="eastAsia" w:ascii="黑体" w:hAnsi="黑体" w:eastAsia="黑体"/>
          <w:b/>
          <w:sz w:val="36"/>
          <w:szCs w:val="36"/>
        </w:rPr>
        <w:t>第二十四号</w:t>
      </w:r>
      <w:r>
        <w:rPr>
          <w:rFonts w:ascii="黑体" w:hAnsi="黑体" w:eastAsia="黑体"/>
          <w:b/>
          <w:sz w:val="36"/>
          <w:szCs w:val="36"/>
        </w:rPr>
        <w:t xml:space="preserve"> </w:t>
      </w:r>
      <w:r>
        <w:rPr>
          <w:rFonts w:hint="eastAsia" w:ascii="黑体" w:hAnsi="黑体" w:eastAsia="黑体"/>
          <w:b/>
          <w:sz w:val="36"/>
          <w:szCs w:val="36"/>
        </w:rPr>
        <w:t>科创板上市公司股份回购实施结果（暨股份变动）公告</w:t>
      </w:r>
    </w:p>
    <w:p w14:paraId="3CC5D311">
      <w:pPr>
        <w:autoSpaceDE w:val="0"/>
        <w:autoSpaceDN w:val="0"/>
        <w:adjustRightInd w:val="0"/>
        <w:spacing w:line="600" w:lineRule="exact"/>
        <w:jc w:val="center"/>
        <w:rPr>
          <w:rFonts w:ascii="宋体" w:hAnsi="宋体" w:cs="楷体_GB2312-WinCharSetFFFF-H"/>
          <w:color w:val="000000"/>
          <w:kern w:val="0"/>
          <w:sz w:val="32"/>
          <w:szCs w:val="32"/>
        </w:rPr>
      </w:pPr>
    </w:p>
    <w:p w14:paraId="2069D554">
      <w:pPr>
        <w:autoSpaceDE w:val="0"/>
        <w:autoSpaceDN w:val="0"/>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000B2786">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1.科创板</w:t>
      </w:r>
      <w:r>
        <w:rPr>
          <w:rFonts w:hint="eastAsia" w:ascii="仿宋_GB2312" w:hAnsi="宋体" w:eastAsia="仿宋_GB2312"/>
          <w:bCs/>
          <w:sz w:val="30"/>
          <w:szCs w:val="30"/>
        </w:rPr>
        <w:t>上市公司（以下简称上市公司）以</w:t>
      </w:r>
      <w:bookmarkStart w:id="0" w:name="OLE_LINK18"/>
      <w:bookmarkStart w:id="1" w:name="OLE_LINK19"/>
      <w:r>
        <w:rPr>
          <w:rFonts w:hint="eastAsia" w:ascii="仿宋_GB2312" w:hAnsi="宋体" w:eastAsia="仿宋_GB2312"/>
          <w:bCs/>
          <w:sz w:val="30"/>
          <w:szCs w:val="30"/>
        </w:rPr>
        <w:t>集中竞价交易方式</w:t>
      </w:r>
      <w:bookmarkEnd w:id="0"/>
      <w:bookmarkEnd w:id="1"/>
      <w:r>
        <w:rPr>
          <w:rFonts w:hint="eastAsia" w:ascii="仿宋_GB2312" w:hAnsi="宋体" w:eastAsia="仿宋_GB2312"/>
          <w:bCs/>
          <w:sz w:val="30"/>
          <w:szCs w:val="30"/>
        </w:rPr>
        <w:t>回购股份，编制披露股份回购实施结果暨股份变动公告的，适用本公告格式指引</w:t>
      </w:r>
      <w:r>
        <w:rPr>
          <w:rFonts w:hint="eastAsia" w:ascii="仿宋_GB2312" w:eastAsia="仿宋_GB2312"/>
          <w:color w:val="000000"/>
          <w:sz w:val="30"/>
          <w:szCs w:val="30"/>
        </w:rPr>
        <w:t>。</w:t>
      </w:r>
    </w:p>
    <w:p w14:paraId="55B2D12B">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2.上市公司以要约方式回购股份，</w:t>
      </w:r>
      <w:r>
        <w:rPr>
          <w:rFonts w:hint="eastAsia" w:ascii="仿宋_GB2312" w:hAnsi="宋体" w:eastAsia="仿宋_GB2312"/>
          <w:bCs/>
          <w:sz w:val="30"/>
          <w:szCs w:val="30"/>
        </w:rPr>
        <w:t>编制披露股份回购实施结果（暨股份变动）公告</w:t>
      </w:r>
      <w:r>
        <w:rPr>
          <w:rFonts w:hint="eastAsia" w:ascii="仿宋_GB2312" w:eastAsia="仿宋_GB2312"/>
          <w:color w:val="000000"/>
          <w:sz w:val="30"/>
          <w:szCs w:val="30"/>
        </w:rPr>
        <w:t>的，参照适用本公告格式指引。</w:t>
      </w:r>
    </w:p>
    <w:p w14:paraId="451FF3C8">
      <w:pPr>
        <w:spacing w:line="600" w:lineRule="exact"/>
        <w:rPr>
          <w:rFonts w:ascii="仿宋_GB2312" w:hAnsi="宋体" w:eastAsia="仿宋_GB2312" w:cs="宋体"/>
          <w:sz w:val="30"/>
          <w:szCs w:val="30"/>
        </w:rPr>
      </w:pPr>
    </w:p>
    <w:p w14:paraId="1B077B31">
      <w:pPr>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9613177">
      <w:pPr>
        <w:adjustRightInd w:val="0"/>
        <w:snapToGrid w:val="0"/>
        <w:spacing w:line="600" w:lineRule="exact"/>
        <w:jc w:val="center"/>
        <w:rPr>
          <w:rFonts w:ascii="仿宋_GB2312" w:hAnsi="宋体" w:eastAsia="仿宋_GB2312"/>
          <w:color w:val="000000"/>
          <w:sz w:val="30"/>
          <w:szCs w:val="30"/>
        </w:rPr>
      </w:pPr>
    </w:p>
    <w:p w14:paraId="40FA83F5">
      <w:pPr>
        <w:snapToGrid w:val="0"/>
        <w:spacing w:line="60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w:t>
      </w:r>
      <w:r>
        <w:rPr>
          <w:rFonts w:hint="eastAsia" w:ascii="仿宋_GB2312" w:hAnsi="宋体" w:eastAsia="仿宋_GB2312" w:cs="黑体-WinCharSetFFFF-H"/>
          <w:kern w:val="0"/>
          <w:sz w:val="30"/>
          <w:szCs w:val="30"/>
        </w:rPr>
        <w:t>关于股份回购实施结果（暨股份变动）公告</w:t>
      </w:r>
    </w:p>
    <w:p w14:paraId="4399FF83">
      <w:pPr>
        <w:snapToGrid w:val="0"/>
        <w:spacing w:line="600" w:lineRule="exact"/>
        <w:jc w:val="center"/>
        <w:rPr>
          <w:rFonts w:ascii="仿宋_GB2312" w:hAnsi="宋体" w:eastAsia="仿宋_GB2312"/>
          <w:color w:val="000000"/>
          <w:sz w:val="30"/>
          <w:szCs w:val="30"/>
        </w:rPr>
      </w:pPr>
    </w:p>
    <w:p w14:paraId="582BE660">
      <w:pPr>
        <w:pBdr>
          <w:top w:val="single" w:color="auto" w:sz="4" w:space="1"/>
          <w:left w:val="single" w:color="auto" w:sz="4" w:space="4"/>
          <w:bottom w:val="single" w:color="auto" w:sz="4" w:space="1"/>
          <w:right w:val="single" w:color="auto" w:sz="4" w:space="4"/>
        </w:pBdr>
        <w:adjustRightIn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0649FD0F">
      <w:pPr>
        <w:pBdr>
          <w:top w:val="single" w:color="auto" w:sz="4" w:space="1"/>
          <w:left w:val="single" w:color="auto" w:sz="4" w:space="4"/>
          <w:bottom w:val="single" w:color="auto" w:sz="4" w:space="1"/>
          <w:right w:val="single" w:color="auto" w:sz="4" w:space="4"/>
        </w:pBdr>
        <w:adjustRightIn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3896D42F">
      <w:pPr>
        <w:autoSpaceDE w:val="0"/>
        <w:autoSpaceDN w:val="0"/>
        <w:adjustRightInd w:val="0"/>
        <w:spacing w:line="600" w:lineRule="exact"/>
        <w:ind w:firstLine="576" w:firstLineChars="192"/>
        <w:jc w:val="left"/>
        <w:rPr>
          <w:rFonts w:ascii="仿宋_GB2312" w:hAnsi="宋体" w:eastAsia="仿宋_GB2312" w:cs="黑体-WinCharSetFFFF-H"/>
          <w:kern w:val="0"/>
          <w:sz w:val="30"/>
          <w:szCs w:val="30"/>
        </w:rPr>
      </w:pPr>
    </w:p>
    <w:p w14:paraId="3B12EC69">
      <w:pPr>
        <w:autoSpaceDE w:val="0"/>
        <w:autoSpaceDN w:val="0"/>
        <w:adjustRightInd w:val="0"/>
        <w:snapToGrid w:val="0"/>
        <w:spacing w:line="600" w:lineRule="exact"/>
        <w:ind w:firstLine="602" w:firstLineChars="200"/>
        <w:rPr>
          <w:rFonts w:ascii="黑体" w:hAnsi="黑体" w:eastAsia="黑体"/>
          <w:b/>
          <w:sz w:val="30"/>
          <w:szCs w:val="30"/>
        </w:rPr>
      </w:pPr>
      <w:r>
        <w:rPr>
          <w:rFonts w:hint="eastAsia" w:ascii="黑体" w:hAnsi="黑体" w:eastAsia="黑体"/>
          <w:b/>
          <w:sz w:val="30"/>
          <w:szCs w:val="30"/>
        </w:rPr>
        <w:t>一、回购审批情况和回购方案内容</w:t>
      </w:r>
    </w:p>
    <w:p w14:paraId="7CA0BD0E">
      <w:pPr>
        <w:autoSpaceDE w:val="0"/>
        <w:autoSpaceDN w:val="0"/>
        <w:adjustRightInd w:val="0"/>
        <w:snapToGrid w:val="0"/>
        <w:spacing w:line="600" w:lineRule="exact"/>
        <w:ind w:firstLine="600" w:firstLineChars="200"/>
        <w:rPr>
          <w:rFonts w:ascii="黑体" w:hAnsi="黑体" w:eastAsia="黑体"/>
          <w:b/>
          <w:sz w:val="30"/>
          <w:szCs w:val="30"/>
        </w:rPr>
      </w:pPr>
      <w:r>
        <w:rPr>
          <w:rFonts w:hint="eastAsia" w:ascii="仿宋_GB2312" w:hAnsi="宋体" w:eastAsia="仿宋_GB2312"/>
          <w:color w:val="000000"/>
          <w:kern w:val="0"/>
          <w:sz w:val="30"/>
          <w:szCs w:val="30"/>
        </w:rPr>
        <w:t>XXXX</w:t>
      </w:r>
      <w:r>
        <w:rPr>
          <w:rFonts w:hint="eastAsia" w:ascii="仿宋_GB2312" w:hAnsi="宋体" w:eastAsia="仿宋_GB2312" w:cs="宋体-WinCharSetFFFF-H"/>
          <w:color w:val="000000"/>
          <w:kern w:val="0"/>
          <w:sz w:val="30"/>
          <w:szCs w:val="30"/>
        </w:rPr>
        <w:t>年</w:t>
      </w:r>
      <w:r>
        <w:rPr>
          <w:rFonts w:hint="eastAsia" w:ascii="仿宋_GB2312" w:hAnsi="宋体" w:eastAsia="仿宋_GB2312"/>
          <w:color w:val="000000"/>
          <w:kern w:val="0"/>
          <w:sz w:val="30"/>
          <w:szCs w:val="30"/>
        </w:rPr>
        <w:t>XX</w:t>
      </w:r>
      <w:r>
        <w:rPr>
          <w:rFonts w:hint="eastAsia" w:ascii="仿宋_GB2312" w:hAnsi="宋体" w:eastAsia="仿宋_GB2312" w:cs="宋体-WinCharSetFFFF-H"/>
          <w:color w:val="000000"/>
          <w:kern w:val="0"/>
          <w:sz w:val="30"/>
          <w:szCs w:val="30"/>
        </w:rPr>
        <w:t>月</w:t>
      </w:r>
      <w:r>
        <w:rPr>
          <w:rFonts w:hint="eastAsia" w:ascii="仿宋_GB2312" w:hAnsi="宋体" w:eastAsia="仿宋_GB2312"/>
          <w:color w:val="000000"/>
          <w:kern w:val="0"/>
          <w:sz w:val="30"/>
          <w:szCs w:val="30"/>
        </w:rPr>
        <w:t>XX</w:t>
      </w:r>
      <w:r>
        <w:rPr>
          <w:rFonts w:hint="eastAsia" w:ascii="仿宋_GB2312" w:hAnsi="宋体" w:eastAsia="仿宋_GB2312" w:cs="宋体-WinCharSetFFFF-H"/>
          <w:color w:val="000000"/>
          <w:kern w:val="0"/>
          <w:sz w:val="30"/>
          <w:szCs w:val="30"/>
        </w:rPr>
        <w:t>日，公司召开第XX届董事会第XX次会议/XXXX年第XX次</w:t>
      </w:r>
      <w:bookmarkStart w:id="5" w:name="_GoBack"/>
      <w:r>
        <w:rPr>
          <w:rFonts w:hint="eastAsia" w:ascii="仿宋_GB2312" w:hAnsi="宋体" w:eastAsia="仿宋_GB2312" w:cs="宋体-WinCharSetFFFF-H"/>
          <w:color w:val="000000"/>
          <w:kern w:val="0"/>
          <w:sz w:val="30"/>
          <w:szCs w:val="30"/>
          <w:lang w:eastAsia="zh-CN"/>
        </w:rPr>
        <w:t>股东会</w:t>
      </w:r>
      <w:bookmarkEnd w:id="5"/>
      <w:r>
        <w:rPr>
          <w:rFonts w:hint="eastAsia" w:ascii="仿宋_GB2312" w:hAnsi="宋体" w:eastAsia="仿宋_GB2312" w:cs="宋体-WinCharSetFFFF-H"/>
          <w:color w:val="000000"/>
          <w:kern w:val="0"/>
          <w:sz w:val="30"/>
          <w:szCs w:val="30"/>
        </w:rPr>
        <w:t>，审议通过了回购股份方案。XXXX年XX月XX日，公司披露回购报告书。本次回购股份方案的主要内容如下……</w:t>
      </w:r>
    </w:p>
    <w:p w14:paraId="136E3C34">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（编制提醒：公司根据回购股份方案简要披露方案内容。）</w:t>
      </w:r>
    </w:p>
    <w:p w14:paraId="7378E7EB">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p>
    <w:p w14:paraId="099522A8">
      <w:pPr>
        <w:autoSpaceDE w:val="0"/>
        <w:autoSpaceDN w:val="0"/>
        <w:adjustRightInd w:val="0"/>
        <w:spacing w:line="60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二、回购实施情况</w:t>
      </w:r>
    </w:p>
    <w:p w14:paraId="63B6A0D1">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（一）XXXX年XX月XX日，公司首次实施回购股份，并于XXXX年XX月XX日披露了首次回购股份情况，详见公司XXXX年-XX号公告。</w:t>
      </w:r>
    </w:p>
    <w:p w14:paraId="52E6012E">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（二）XXXX年XX月XX日，公司完成回购，已实际回购公司股份XX股，占公司总股本的XX%，回购最高价格XX元/股，回购最低价格XX元/股，回购均价XX元/股，使用资金总额XX万元。</w:t>
      </w:r>
    </w:p>
    <w:p w14:paraId="0D108700">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（三）回购方案实际执行情况与原披露的回购方案是/否存在差异。</w:t>
      </w:r>
    </w:p>
    <w:p w14:paraId="5A3C200E">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如是，差异情况如下……产生差异的原因为……</w:t>
      </w:r>
    </w:p>
    <w:p w14:paraId="50F538C4">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如否，说明：回购方案实际执行情况与原披露的回购方案不存在差异，公司已按披露的方案完成回购。</w:t>
      </w:r>
    </w:p>
    <w:p w14:paraId="3A9E41E9">
      <w:pPr>
        <w:autoSpaceDE w:val="0"/>
        <w:autoSpaceDN w:val="0"/>
        <w:adjustRightInd w:val="0"/>
        <w:spacing w:line="60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（编制提醒：公司应当将实际回购股份数量、比例、使用资金总额与董事会或者</w:t>
      </w:r>
      <w:r>
        <w:rPr>
          <w:rFonts w:hint="eastAsia" w:ascii="楷体" w:hAnsi="楷体" w:eastAsia="楷体" w:cs="宋体-WinCharSetFFFF-H"/>
          <w:color w:val="000000"/>
          <w:kern w:val="0"/>
          <w:sz w:val="24"/>
          <w:szCs w:val="24"/>
          <w:lang w:eastAsia="zh-CN"/>
        </w:rPr>
        <w:t>股东会</w:t>
      </w:r>
      <w:r>
        <w:rPr>
          <w:rFonts w:hint="eastAsia" w:ascii="楷体" w:hAnsi="楷体" w:eastAsia="楷体" w:cs="宋体-WinCharSetFFFF-H"/>
          <w:color w:val="000000"/>
          <w:kern w:val="0"/>
          <w:sz w:val="24"/>
          <w:szCs w:val="24"/>
        </w:rPr>
        <w:t>审议通过的回购股份方案相应内容进行对照。如存在差异，需披露差异的具体内容及产生差异的原因。如不存在差异的，也应在公告中披露不存在差异，明确已按披露的方案完成回购。）</w:t>
      </w:r>
    </w:p>
    <w:p w14:paraId="071BDEBD">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（四）本次股份回购方案的实施对公司的影响</w:t>
      </w:r>
    </w:p>
    <w:p w14:paraId="2315DA5A">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（五）本次股份回购方案的实施对公司特别表决权情况的影响及</w:t>
      </w:r>
      <w:r>
        <w:rPr>
          <w:rFonts w:hint="eastAsia" w:ascii="仿宋_GB2312" w:hAnsi="宋体" w:eastAsia="仿宋_GB2312"/>
          <w:bCs/>
          <w:sz w:val="30"/>
          <w:szCs w:val="30"/>
        </w:rPr>
        <w:t>保证特别表决权比例不高于原有水平的措施（如适用）</w:t>
      </w:r>
    </w:p>
    <w:p w14:paraId="2174B53E">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w:t>
      </w:r>
    </w:p>
    <w:p w14:paraId="11DB678B">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p>
    <w:p w14:paraId="591022D1">
      <w:pPr>
        <w:autoSpaceDE w:val="0"/>
        <w:autoSpaceDN w:val="0"/>
        <w:adjustRightInd w:val="0"/>
        <w:spacing w:line="60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三、回购期间相关主体买卖股票情况</w:t>
      </w:r>
    </w:p>
    <w:p w14:paraId="412D6BD3">
      <w:pPr>
        <w:autoSpaceDE w:val="0"/>
        <w:autoSpaceDN w:val="0"/>
        <w:adjustRightInd w:val="0"/>
        <w:spacing w:line="600" w:lineRule="exact"/>
        <w:ind w:firstLine="576" w:firstLineChars="192"/>
        <w:jc w:val="left"/>
        <w:rPr>
          <w:rFonts w:ascii="仿宋_GB2312" w:hAnsi="微软雅黑" w:eastAsia="仿宋_GB2312"/>
          <w:sz w:val="30"/>
          <w:szCs w:val="30"/>
        </w:rPr>
      </w:pPr>
      <w:r>
        <w:rPr>
          <w:rFonts w:hint="eastAsia" w:ascii="仿宋_GB2312" w:hAnsi="微软雅黑" w:eastAsia="仿宋_GB2312"/>
          <w:sz w:val="30"/>
          <w:szCs w:val="30"/>
        </w:rPr>
        <w:t>XXXX年XX月XX日，公司首次披露了回购股份事项，详见公司XXXX年-XX号公告。截至本公告披露前，</w:t>
      </w:r>
      <w:r>
        <w:rPr>
          <w:rFonts w:hint="eastAsia" w:ascii="仿宋_GB2312" w:eastAsia="仿宋_GB2312"/>
          <w:color w:val="000000"/>
          <w:sz w:val="30"/>
          <w:szCs w:val="30"/>
        </w:rPr>
        <w:t>董事、高级管理人员</w:t>
      </w:r>
      <w:r>
        <w:rPr>
          <w:rFonts w:hint="eastAsia" w:ascii="仿宋_GB2312" w:hAnsi="微软雅黑" w:eastAsia="仿宋_GB2312"/>
          <w:sz w:val="30"/>
          <w:szCs w:val="30"/>
        </w:rPr>
        <w:t>、控股股东、实际控制人、回购股份提议人在此期间买卖公司股票的情况及理由如下</w:t>
      </w:r>
    </w:p>
    <w:p w14:paraId="0BCAAFCF">
      <w:pPr>
        <w:autoSpaceDE w:val="0"/>
        <w:autoSpaceDN w:val="0"/>
        <w:adjustRightInd w:val="0"/>
        <w:spacing w:line="600" w:lineRule="exact"/>
        <w:ind w:firstLine="576" w:firstLineChars="192"/>
        <w:jc w:val="left"/>
        <w:rPr>
          <w:rFonts w:ascii="仿宋_GB2312" w:hAnsi="微软雅黑" w:eastAsia="仿宋_GB2312"/>
          <w:sz w:val="30"/>
          <w:szCs w:val="30"/>
        </w:rPr>
      </w:pPr>
      <w:r>
        <w:rPr>
          <w:rFonts w:hint="eastAsia" w:ascii="仿宋_GB2312" w:hAnsi="微软雅黑" w:eastAsia="仿宋_GB2312"/>
          <w:sz w:val="30"/>
          <w:szCs w:val="30"/>
        </w:rPr>
        <w:t>……</w:t>
      </w:r>
    </w:p>
    <w:p w14:paraId="053BD929">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在公告中披露，董事、高级管理人员、控股股东、实际控制人、回购股份提议人，在公司首次披露回购股份事项之日起至发布回购结果暨股份变动公告前一日买卖股票的情况及理由。如上述主体在此期间未有买卖公司股票，也应予说明。）</w:t>
      </w:r>
    </w:p>
    <w:p w14:paraId="76377C79">
      <w:pPr>
        <w:autoSpaceDE w:val="0"/>
        <w:autoSpaceDN w:val="0"/>
        <w:adjustRightInd w:val="0"/>
        <w:spacing w:line="600" w:lineRule="exact"/>
        <w:ind w:firstLine="576" w:firstLineChars="192"/>
        <w:jc w:val="left"/>
        <w:rPr>
          <w:rFonts w:ascii="仿宋_GB2312" w:hAnsi="微软雅黑" w:eastAsia="仿宋_GB2312"/>
          <w:sz w:val="30"/>
          <w:szCs w:val="30"/>
        </w:rPr>
      </w:pPr>
    </w:p>
    <w:p w14:paraId="66450978">
      <w:pPr>
        <w:autoSpaceDE w:val="0"/>
        <w:autoSpaceDN w:val="0"/>
        <w:adjustRightInd w:val="0"/>
        <w:spacing w:line="60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四、股份注销安排（如适用）</w:t>
      </w:r>
    </w:p>
    <w:p w14:paraId="3633B15F">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经公司申请，公司将于XXXX年XX月XX日在中国证券登记结算有限责任公司注销本次所回购的股份XX股，并及时办理变更登记手续等相关事宜。</w:t>
      </w:r>
    </w:p>
    <w:p w14:paraId="456AF2B4">
      <w:pPr>
        <w:autoSpaceDE w:val="0"/>
        <w:autoSpaceDN w:val="0"/>
        <w:adjustRightInd w:val="0"/>
        <w:spacing w:line="60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本次股份回购及注销前后，公司股本变动情况如下：</w:t>
      </w:r>
    </w:p>
    <w:p w14:paraId="0CD025DE">
      <w:pPr>
        <w:autoSpaceDE w:val="0"/>
        <w:autoSpaceDN w:val="0"/>
        <w:adjustRightInd w:val="0"/>
        <w:spacing w:line="600" w:lineRule="exact"/>
        <w:ind w:firstLine="480" w:firstLineChars="200"/>
        <w:jc w:val="right"/>
        <w:rPr>
          <w:rFonts w:hint="eastAsia" w:ascii="仿宋_GB2312" w:hAnsi="宋体" w:eastAsia="仿宋_GB2312" w:cs="宋体-WinCharSetFFFF-H"/>
          <w:color w:val="000000"/>
          <w:kern w:val="0"/>
          <w:sz w:val="24"/>
          <w:szCs w:val="30"/>
        </w:rPr>
      </w:pPr>
      <w:r>
        <w:rPr>
          <w:rFonts w:hint="eastAsia" w:ascii="仿宋_GB2312" w:hAnsi="宋体" w:eastAsia="仿宋_GB2312" w:cs="宋体-WinCharSetFFFF-H"/>
          <w:color w:val="000000"/>
          <w:kern w:val="0"/>
          <w:sz w:val="24"/>
          <w:szCs w:val="30"/>
        </w:rPr>
        <w:t>单位：股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276"/>
        <w:gridCol w:w="992"/>
        <w:gridCol w:w="1417"/>
        <w:gridCol w:w="1418"/>
        <w:gridCol w:w="983"/>
        <w:gridCol w:w="910"/>
      </w:tblGrid>
      <w:tr w14:paraId="1FA1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48F9BF54">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股份类别</w:t>
            </w:r>
          </w:p>
        </w:tc>
        <w:tc>
          <w:tcPr>
            <w:tcW w:w="2268" w:type="dxa"/>
            <w:gridSpan w:val="2"/>
          </w:tcPr>
          <w:p w14:paraId="47281D87">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本次回购前</w:t>
            </w:r>
          </w:p>
        </w:tc>
        <w:tc>
          <w:tcPr>
            <w:tcW w:w="2835" w:type="dxa"/>
            <w:gridSpan w:val="2"/>
          </w:tcPr>
          <w:p w14:paraId="313AEC77">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本次回购股份总数</w:t>
            </w:r>
          </w:p>
        </w:tc>
        <w:tc>
          <w:tcPr>
            <w:tcW w:w="1893" w:type="dxa"/>
            <w:gridSpan w:val="2"/>
          </w:tcPr>
          <w:p w14:paraId="48FA627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本次注销后</w:t>
            </w:r>
          </w:p>
        </w:tc>
      </w:tr>
      <w:tr w14:paraId="4B3C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6EEF8A20">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276" w:type="dxa"/>
          </w:tcPr>
          <w:p w14:paraId="0AA15DDF">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14:paraId="7A407F7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92" w:type="dxa"/>
          </w:tcPr>
          <w:p w14:paraId="7F141D54">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14:paraId="2FF3E75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417" w:type="dxa"/>
          </w:tcPr>
          <w:p w14:paraId="0A85EBBA">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w:t>
            </w:r>
          </w:p>
          <w:p w14:paraId="399B76CA">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14:paraId="6581498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1418" w:type="dxa"/>
          </w:tcPr>
          <w:p w14:paraId="5375246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本次不注销</w:t>
            </w:r>
          </w:p>
          <w:p w14:paraId="66A54F1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14:paraId="07091B4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83" w:type="dxa"/>
          </w:tcPr>
          <w:p w14:paraId="50D3FD4D">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14:paraId="1A7EDD0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10" w:type="dxa"/>
          </w:tcPr>
          <w:p w14:paraId="13FBDAC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14:paraId="24E9DF5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r>
      <w:tr w14:paraId="14B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9BB3A8D">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有限售股份</w:t>
            </w:r>
          </w:p>
        </w:tc>
        <w:tc>
          <w:tcPr>
            <w:tcW w:w="1276" w:type="dxa"/>
          </w:tcPr>
          <w:p w14:paraId="41D68B0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5052AA6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14:paraId="7D3A40EC">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681CE7BC">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09B4206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77D8E5D4">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14:paraId="04B5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1EFBC6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无限售股份</w:t>
            </w:r>
          </w:p>
        </w:tc>
        <w:tc>
          <w:tcPr>
            <w:tcW w:w="1276" w:type="dxa"/>
          </w:tcPr>
          <w:p w14:paraId="3D7AF744">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17A3463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14:paraId="00B2E46D">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5649DCE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16C19FFF">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3D82A08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14:paraId="1CFC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E66000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股份总数</w:t>
            </w:r>
          </w:p>
        </w:tc>
        <w:tc>
          <w:tcPr>
            <w:tcW w:w="1276" w:type="dxa"/>
          </w:tcPr>
          <w:p w14:paraId="23732DD4">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35BFBDA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2835" w:type="dxa"/>
            <w:gridSpan w:val="2"/>
          </w:tcPr>
          <w:p w14:paraId="64D9AF3C">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1D901E7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7E218E9A">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bl>
    <w:p w14:paraId="31B8BBF4">
      <w:pPr>
        <w:autoSpaceDE w:val="0"/>
        <w:autoSpaceDN w:val="0"/>
        <w:adjustRightInd w:val="0"/>
        <w:spacing w:line="600" w:lineRule="exact"/>
        <w:ind w:firstLine="480" w:firstLineChars="200"/>
        <w:jc w:val="right"/>
        <w:rPr>
          <w:rFonts w:hint="eastAsia" w:ascii="仿宋_GB2312" w:hAnsi="宋体" w:eastAsia="仿宋_GB2312" w:cs="宋体-WinCharSetFFFF-H"/>
          <w:color w:val="000000"/>
          <w:kern w:val="0"/>
          <w:sz w:val="24"/>
          <w:szCs w:val="30"/>
        </w:rPr>
      </w:pPr>
    </w:p>
    <w:p w14:paraId="0C4AB752">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如公司在首次注销后，后续根据使用情况继续注销已回购股份的，还需披露此前注销的相关情况，包括已注销的股份数量、注销日期以及注销是否符合相关规定等。</w:t>
      </w:r>
    </w:p>
    <w:p w14:paraId="7BFB1686">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2D548A95">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1.公司回购股份用于减少注册资本的，应当在回购完成后按规定及时注销；</w:t>
      </w:r>
    </w:p>
    <w:p w14:paraId="2F56FE89">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2.公司在首次注销后，后续根据使用情况继续注销已回购股份的，应当另行单独披露股份注销公告，并说明此前注销的相关情况，包括已注销的股份数量、注销日期以及注销是否符合相关规定等。）</w:t>
      </w:r>
    </w:p>
    <w:p w14:paraId="7A11108D">
      <w:pPr>
        <w:autoSpaceDE w:val="0"/>
        <w:autoSpaceDN w:val="0"/>
        <w:adjustRightInd w:val="0"/>
        <w:spacing w:line="600" w:lineRule="exact"/>
        <w:ind w:firstLine="602" w:firstLineChars="200"/>
        <w:jc w:val="left"/>
        <w:rPr>
          <w:rFonts w:hint="eastAsia" w:ascii="黑体" w:hAnsi="黑体" w:eastAsia="黑体" w:cs="宋体-WinCharSetFFFF-H"/>
          <w:b/>
          <w:color w:val="000000"/>
          <w:kern w:val="0"/>
          <w:sz w:val="30"/>
          <w:szCs w:val="30"/>
        </w:rPr>
      </w:pPr>
    </w:p>
    <w:p w14:paraId="0F4B1A6C">
      <w:pPr>
        <w:autoSpaceDE w:val="0"/>
        <w:autoSpaceDN w:val="0"/>
        <w:adjustRightInd w:val="0"/>
        <w:snapToGrid/>
        <w:spacing w:line="600" w:lineRule="exact"/>
        <w:ind w:firstLine="602" w:firstLineChars="200"/>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五、回购注销后公司相关股东持股变化（如适用）</w:t>
      </w:r>
    </w:p>
    <w:p w14:paraId="14C2EF51">
      <w:pPr>
        <w:adjustRightInd w:val="0"/>
        <w:snapToGrid w:val="0"/>
        <w:spacing w:line="560" w:lineRule="exact"/>
        <w:ind w:firstLine="600" w:firstLineChars="200"/>
        <w:rPr>
          <w:rFonts w:ascii="仿宋" w:hAnsi="仿宋" w:eastAsia="仿宋_GB2312"/>
          <w:sz w:val="30"/>
          <w:szCs w:val="30"/>
        </w:rPr>
      </w:pPr>
      <w:r>
        <w:rPr>
          <w:rFonts w:hint="eastAsia" w:ascii="Times New Roman" w:hAnsi="Times New Roman" w:eastAsia="仿宋_GB2312"/>
          <w:color w:val="000000"/>
          <w:sz w:val="30"/>
          <w:szCs w:val="30"/>
        </w:rPr>
        <w:t>上市公司回购注销股份，可能导致股东及其一致行动人拥有权益的股份比例触及或者跨越</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及</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的整数倍，或者导致持股</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以上的股东及其一致行动人拥有权益的股份比例触及</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的整数倍。存在前述情况的，公司应当</w:t>
      </w:r>
      <w:r>
        <w:rPr>
          <w:rFonts w:hint="eastAsia" w:ascii="仿宋" w:hAnsi="仿宋" w:eastAsia="仿宋_GB2312"/>
          <w:bCs/>
          <w:sz w:val="30"/>
          <w:szCs w:val="30"/>
        </w:rPr>
        <w:t>列示注销前后，上述股东及其一致行动人的持股数量和持股比例变动情况。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14:paraId="7CBB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5DA586A7">
            <w:pPr>
              <w:adjustRightInd w:val="0"/>
              <w:snapToGrid w:val="0"/>
              <w:spacing w:line="360" w:lineRule="auto"/>
              <w:jc w:val="center"/>
              <w:rPr>
                <w:rFonts w:ascii="仿宋_GB2312" w:hAnsi="仿宋" w:eastAsia="仿宋_GB2312"/>
                <w:sz w:val="24"/>
                <w:szCs w:val="24"/>
              </w:rPr>
            </w:pPr>
            <w:bookmarkStart w:id="2"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14:paraId="301F5CFA">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44A8D31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14:paraId="3529C9A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14:paraId="55F1A86F">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46C8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1D590D95">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3" w:name="OLE_LINK3"/>
            <w:r>
              <w:rPr>
                <w:rFonts w:hint="eastAsia" w:ascii="仿宋_GB2312" w:hAnsi="楷体" w:eastAsia="仿宋_GB2312" w:cs="楷体"/>
                <w:szCs w:val="21"/>
              </w:rPr>
              <w:t>一致行动人</w:t>
            </w:r>
            <w:bookmarkEnd w:id="3"/>
            <w:r>
              <w:rPr>
                <w:rFonts w:hint="eastAsia" w:ascii="仿宋_GB2312" w:hAnsi="楷体" w:eastAsia="仿宋_GB2312" w:cs="楷体"/>
                <w:szCs w:val="21"/>
              </w:rPr>
              <w:t>（</w:t>
            </w:r>
            <w:bookmarkStart w:id="4" w:name="OLE_LINK1"/>
            <w:r>
              <w:rPr>
                <w:rFonts w:hint="eastAsia" w:ascii="仿宋_GB2312" w:hAnsi="楷体" w:eastAsia="仿宋_GB2312" w:cs="楷体"/>
                <w:szCs w:val="21"/>
              </w:rPr>
              <w:t>合并计算</w:t>
            </w:r>
            <w:bookmarkEnd w:id="4"/>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14:paraId="787B10D5">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2E4D9EC4">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722B3A59">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58F9D445">
            <w:pPr>
              <w:adjustRightInd w:val="0"/>
              <w:snapToGrid w:val="0"/>
              <w:spacing w:line="360" w:lineRule="auto"/>
              <w:jc w:val="center"/>
              <w:rPr>
                <w:rFonts w:ascii="仿宋_GB2312" w:hAnsi="楷体" w:eastAsia="仿宋_GB2312" w:cs="楷体"/>
                <w:szCs w:val="20"/>
              </w:rPr>
            </w:pPr>
          </w:p>
        </w:tc>
      </w:tr>
      <w:tr w14:paraId="465F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A771C11">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14:paraId="087C9732">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41CDC5D3">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78B7F8B5">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7817AA92">
            <w:pPr>
              <w:adjustRightInd w:val="0"/>
              <w:snapToGrid w:val="0"/>
              <w:spacing w:line="360" w:lineRule="auto"/>
              <w:jc w:val="center"/>
              <w:rPr>
                <w:rFonts w:ascii="仿宋_GB2312" w:hAnsi="楷体" w:eastAsia="仿宋_GB2312" w:cs="楷体"/>
                <w:szCs w:val="20"/>
              </w:rPr>
            </w:pPr>
          </w:p>
        </w:tc>
      </w:tr>
      <w:tr w14:paraId="2CC3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07FDA00">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14:paraId="7D413352">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3CD0388E">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242B9882">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1D9279E4">
            <w:pPr>
              <w:adjustRightInd w:val="0"/>
              <w:snapToGrid w:val="0"/>
              <w:spacing w:line="360" w:lineRule="auto"/>
              <w:jc w:val="center"/>
              <w:rPr>
                <w:rFonts w:ascii="仿宋_GB2312" w:hAnsi="楷体" w:eastAsia="仿宋_GB2312" w:cs="楷体"/>
                <w:szCs w:val="20"/>
              </w:rPr>
            </w:pPr>
          </w:p>
        </w:tc>
      </w:tr>
      <w:tr w14:paraId="43F3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ABCDBAB">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14:paraId="5A65CDC5">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78769E0B">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01843B3D">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316AFE53">
            <w:pPr>
              <w:adjustRightInd w:val="0"/>
              <w:snapToGrid w:val="0"/>
              <w:spacing w:line="360" w:lineRule="auto"/>
              <w:jc w:val="center"/>
              <w:rPr>
                <w:rFonts w:ascii="仿宋_GB2312" w:hAnsi="楷体" w:eastAsia="仿宋_GB2312" w:cs="楷体"/>
                <w:szCs w:val="20"/>
              </w:rPr>
            </w:pPr>
          </w:p>
        </w:tc>
      </w:tr>
      <w:tr w14:paraId="1504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E61CB0C">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14:paraId="2C2AC55B">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56231D31">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7498ED0D">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682634EC">
            <w:pPr>
              <w:adjustRightInd w:val="0"/>
              <w:snapToGrid w:val="0"/>
              <w:spacing w:line="360" w:lineRule="auto"/>
              <w:jc w:val="center"/>
              <w:rPr>
                <w:rFonts w:ascii="仿宋_GB2312" w:hAnsi="楷体" w:eastAsia="仿宋_GB2312" w:cs="楷体"/>
                <w:szCs w:val="20"/>
              </w:rPr>
            </w:pPr>
          </w:p>
        </w:tc>
      </w:tr>
    </w:tbl>
    <w:p w14:paraId="297EF63A">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bookmarkEnd w:id="2"/>
    <w:p w14:paraId="7558CCED">
      <w:pPr>
        <w:autoSpaceDE w:val="0"/>
        <w:autoSpaceDN w:val="0"/>
        <w:adjustRightInd w:val="0"/>
        <w:spacing w:line="600" w:lineRule="exact"/>
        <w:ind w:firstLine="0" w:firstLineChars="0"/>
        <w:jc w:val="left"/>
        <w:rPr>
          <w:rFonts w:ascii="黑体" w:hAnsi="黑体" w:eastAsia="黑体" w:cs="宋体-WinCharSetFFFF-H"/>
          <w:b/>
          <w:color w:val="000000"/>
          <w:kern w:val="0"/>
          <w:sz w:val="30"/>
          <w:szCs w:val="30"/>
        </w:rPr>
      </w:pPr>
    </w:p>
    <w:p w14:paraId="7D347E70">
      <w:pPr>
        <w:autoSpaceDE w:val="0"/>
        <w:autoSpaceDN w:val="0"/>
        <w:adjustRightInd w:val="0"/>
        <w:spacing w:line="600" w:lineRule="exact"/>
        <w:ind w:firstLine="602" w:firstLineChars="200"/>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六、已回购股份的处理安排</w:t>
      </w:r>
    </w:p>
    <w:p w14:paraId="235E46B3">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公司本次总计回购股份XX股，其中本次注销XX股。本次注销后，公司已回购股份剩余XX股，根据回购股份方案拟用于……</w:t>
      </w:r>
    </w:p>
    <w:p w14:paraId="133BB576">
      <w:pPr>
        <w:autoSpaceDE w:val="0"/>
        <w:autoSpaceDN w:val="0"/>
        <w:adjustRightInd w:val="0"/>
        <w:spacing w:line="60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（编制提醒：公司应当根据此前披露的回购方案，披露剩余已回购股份的各具体用途及其对应的股份数量。）</w:t>
      </w:r>
    </w:p>
    <w:p w14:paraId="0E4619BE">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后续，公司将按照披露的用途使用已回购未注销的股份，并按规定履行决策程序和信息披露义务。</w:t>
      </w:r>
    </w:p>
    <w:p w14:paraId="3FE7F71F">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p>
    <w:p w14:paraId="56766BFF">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3997CEB2">
      <w:pPr>
        <w:autoSpaceDE w:val="0"/>
        <w:autoSpaceDN w:val="0"/>
        <w:adjustRightInd w:val="0"/>
        <w:spacing w:line="600" w:lineRule="exact"/>
        <w:ind w:firstLine="576" w:firstLineChars="192"/>
        <w:jc w:val="left"/>
        <w:rPr>
          <w:rFonts w:ascii="仿宋_GB2312" w:hAnsi="宋体" w:eastAsia="仿宋_GB2312" w:cs="宋体-WinCharSetFFFF-H"/>
          <w:color w:val="000000"/>
          <w:kern w:val="0"/>
          <w:sz w:val="30"/>
          <w:szCs w:val="30"/>
        </w:rPr>
      </w:pPr>
    </w:p>
    <w:p w14:paraId="5519F43E">
      <w:pPr>
        <w:autoSpaceDE w:val="0"/>
        <w:autoSpaceDN w:val="0"/>
        <w:adjustRightInd w:val="0"/>
        <w:spacing w:line="60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XXXX股份有限公司董事会</w:t>
      </w:r>
    </w:p>
    <w:p w14:paraId="3DC40F74">
      <w:pPr>
        <w:spacing w:line="60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52862CFE">
      <w:pPr>
        <w:spacing w:line="600" w:lineRule="exact"/>
        <w:jc w:val="right"/>
        <w:rPr>
          <w:rFonts w:ascii="仿宋_GB2312" w:hAnsi="宋体" w:eastAsia="仿宋_GB2312" w:cs="宋体-WinCharSetFFFF-H"/>
          <w:color w:val="000000"/>
          <w:kern w:val="0"/>
          <w:sz w:val="30"/>
          <w:szCs w:val="30"/>
        </w:rPr>
      </w:pPr>
    </w:p>
    <w:p w14:paraId="7951314B">
      <w:pPr>
        <w:numPr>
          <w:ilvl w:val="0"/>
          <w:numId w:val="1"/>
        </w:numPr>
        <w:autoSpaceDE w:val="0"/>
        <w:autoSpaceDN w:val="0"/>
        <w:adjustRightInd w:val="0"/>
        <w:snapToGrid w:val="0"/>
        <w:spacing w:line="600" w:lineRule="exact"/>
        <w:ind w:left="0"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32A7E1E2">
      <w:pPr>
        <w:autoSpaceDE w:val="0"/>
        <w:autoSpaceDN w:val="0"/>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color w:val="000000"/>
          <w:sz w:val="30"/>
          <w:szCs w:val="30"/>
        </w:rPr>
        <w:t>中国证券登记结算有限责任公司上海分公司出具的回购专用账户持股数量查询证明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14:paraId="6B1ACAAA">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A58AA8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3D7C"/>
    <w:rsid w:val="000300C5"/>
    <w:rsid w:val="00056D52"/>
    <w:rsid w:val="000C4E27"/>
    <w:rsid w:val="00130DD5"/>
    <w:rsid w:val="001602A5"/>
    <w:rsid w:val="00170423"/>
    <w:rsid w:val="001746E3"/>
    <w:rsid w:val="001A5577"/>
    <w:rsid w:val="001C0C8C"/>
    <w:rsid w:val="002A30AB"/>
    <w:rsid w:val="002A5DD2"/>
    <w:rsid w:val="002B65E0"/>
    <w:rsid w:val="002E632A"/>
    <w:rsid w:val="0030477F"/>
    <w:rsid w:val="00341FD5"/>
    <w:rsid w:val="00355FC5"/>
    <w:rsid w:val="003D198E"/>
    <w:rsid w:val="003D6A4B"/>
    <w:rsid w:val="003E08F6"/>
    <w:rsid w:val="004D3412"/>
    <w:rsid w:val="004F7C99"/>
    <w:rsid w:val="00556155"/>
    <w:rsid w:val="00565F8E"/>
    <w:rsid w:val="005C1562"/>
    <w:rsid w:val="005E2411"/>
    <w:rsid w:val="00630EA1"/>
    <w:rsid w:val="00636785"/>
    <w:rsid w:val="00650ECA"/>
    <w:rsid w:val="00655726"/>
    <w:rsid w:val="00675899"/>
    <w:rsid w:val="00691321"/>
    <w:rsid w:val="006B3D7C"/>
    <w:rsid w:val="0072092F"/>
    <w:rsid w:val="00782682"/>
    <w:rsid w:val="0079260F"/>
    <w:rsid w:val="007C2413"/>
    <w:rsid w:val="007C6BE9"/>
    <w:rsid w:val="007E237B"/>
    <w:rsid w:val="007F3F57"/>
    <w:rsid w:val="00841CB7"/>
    <w:rsid w:val="008504B9"/>
    <w:rsid w:val="008C20C9"/>
    <w:rsid w:val="00937FA1"/>
    <w:rsid w:val="009A0BD6"/>
    <w:rsid w:val="009D17FA"/>
    <w:rsid w:val="00A91DAE"/>
    <w:rsid w:val="00AC462F"/>
    <w:rsid w:val="00B146C1"/>
    <w:rsid w:val="00B40D03"/>
    <w:rsid w:val="00B965DD"/>
    <w:rsid w:val="00BE63DC"/>
    <w:rsid w:val="00C720A7"/>
    <w:rsid w:val="00C8247B"/>
    <w:rsid w:val="00CC5D3A"/>
    <w:rsid w:val="00CD6EEE"/>
    <w:rsid w:val="00CE2378"/>
    <w:rsid w:val="00D60461"/>
    <w:rsid w:val="00DA17F3"/>
    <w:rsid w:val="00DB5B7A"/>
    <w:rsid w:val="00DD3122"/>
    <w:rsid w:val="00DD678C"/>
    <w:rsid w:val="00E22683"/>
    <w:rsid w:val="00EC0277"/>
    <w:rsid w:val="00F01D94"/>
    <w:rsid w:val="00F306D2"/>
    <w:rsid w:val="00F553C8"/>
    <w:rsid w:val="00F97C93"/>
    <w:rsid w:val="00FC4214"/>
    <w:rsid w:val="2F2B43C9"/>
    <w:rsid w:val="733B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脚 Char"/>
    <w:basedOn w:val="8"/>
    <w:link w:val="4"/>
    <w:qFormat/>
    <w:uiPriority w:val="99"/>
    <w:rPr>
      <w:rFonts w:ascii="Calibri" w:hAnsi="Calibri" w:eastAsia="宋体" w:cs="Times New Roman"/>
      <w:sz w:val="18"/>
      <w:szCs w:val="18"/>
    </w:rPr>
  </w:style>
  <w:style w:type="character" w:customStyle="1" w:styleId="11">
    <w:name w:val="页眉 Char"/>
    <w:basedOn w:val="8"/>
    <w:link w:val="5"/>
    <w:semiHidden/>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uiPriority w:val="99"/>
    <w:rPr>
      <w:b/>
      <w:bCs/>
    </w:rPr>
  </w:style>
  <w:style w:type="paragraph" w:customStyle="1" w:styleId="16">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296</Words>
  <Characters>1692</Characters>
  <Lines>14</Lines>
  <Paragraphs>3</Paragraphs>
  <TotalTime>1</TotalTime>
  <ScaleCrop>false</ScaleCrop>
  <LinksUpToDate>false</LinksUpToDate>
  <CharactersWithSpaces>1985</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2019-01-11T10:14:00Z</dcterms:created>
  <dc:creator>ylteng</dc:creator>
  <cp:lastModifiedBy>黄文怡</cp:lastModifiedBy>
  <dcterms:modified xsi:type="dcterms:W3CDTF">2025-03-11T09:26:33Z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C0F3DBFD298F452989C3CA2182848F41</vt:lpwstr>
  </property>
</Properties>
</file>