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3DD95">
      <w:pPr>
        <w:pStyle w:val="2"/>
        <w:spacing w:before="0" w:after="0" w:line="600" w:lineRule="exact"/>
        <w:jc w:val="center"/>
        <w:rPr>
          <w:rFonts w:ascii="黑体" w:hAnsi="黑体" w:eastAsia="黑体"/>
          <w:sz w:val="36"/>
          <w:szCs w:val="36"/>
        </w:rPr>
      </w:pPr>
      <w:r>
        <w:rPr>
          <w:rFonts w:hint="eastAsia" w:ascii="黑体" w:hAnsi="黑体" w:eastAsia="黑体"/>
          <w:sz w:val="36"/>
          <w:szCs w:val="36"/>
        </w:rPr>
        <w:t>第十三号 科创板上市公司业绩预告更正公告</w:t>
      </w:r>
    </w:p>
    <w:p w14:paraId="272DF49D">
      <w:pPr>
        <w:spacing w:line="600" w:lineRule="exact"/>
        <w:jc w:val="center"/>
      </w:pPr>
    </w:p>
    <w:p w14:paraId="70BBD376">
      <w:pPr>
        <w:adjustRightInd w:val="0"/>
        <w:snapToGrid w:val="0"/>
        <w:spacing w:line="600" w:lineRule="exact"/>
        <w:rPr>
          <w:rFonts w:ascii="仿宋_GB2312" w:hAnsi="宋体" w:eastAsia="仿宋_GB2312"/>
          <w:b/>
          <w:sz w:val="30"/>
          <w:szCs w:val="30"/>
        </w:rPr>
      </w:pPr>
      <w:r>
        <w:rPr>
          <w:rFonts w:hint="eastAsia" w:ascii="仿宋_GB2312" w:hAnsi="宋体" w:eastAsia="仿宋_GB2312"/>
          <w:b/>
          <w:sz w:val="30"/>
          <w:szCs w:val="30"/>
        </w:rPr>
        <w:t>适用情形：</w:t>
      </w:r>
    </w:p>
    <w:p w14:paraId="7C066407">
      <w:pPr>
        <w:adjustRightInd w:val="0"/>
        <w:snapToGrid w:val="0"/>
        <w:spacing w:line="600" w:lineRule="exact"/>
        <w:ind w:firstLine="600" w:firstLineChars="200"/>
        <w:rPr>
          <w:rFonts w:ascii="仿宋_GB2312" w:hAnsi="宋体" w:eastAsia="仿宋_GB2312"/>
          <w:bCs/>
          <w:sz w:val="30"/>
          <w:szCs w:val="30"/>
        </w:rPr>
      </w:pPr>
      <w:r>
        <w:rPr>
          <w:rFonts w:ascii="仿宋_GB2312" w:hAnsi="宋体" w:eastAsia="仿宋_GB2312"/>
          <w:bCs/>
          <w:sz w:val="30"/>
          <w:szCs w:val="30"/>
        </w:rPr>
        <w:t>1</w:t>
      </w:r>
      <w:r>
        <w:rPr>
          <w:rFonts w:hint="eastAsia" w:ascii="仿宋_GB2312" w:hAnsi="宋体" w:eastAsia="仿宋_GB2312"/>
          <w:bCs/>
          <w:sz w:val="30"/>
          <w:szCs w:val="30"/>
        </w:rPr>
        <w:t>.</w:t>
      </w:r>
      <w:r>
        <w:rPr>
          <w:rFonts w:hint="eastAsia"/>
        </w:rPr>
        <w:t xml:space="preserve"> </w:t>
      </w:r>
      <w:r>
        <w:rPr>
          <w:rFonts w:hint="eastAsia" w:ascii="仿宋_GB2312" w:hAnsi="宋体" w:eastAsia="仿宋_GB2312" w:cs="宋体"/>
          <w:color w:val="000000"/>
          <w:kern w:val="0"/>
          <w:sz w:val="30"/>
          <w:szCs w:val="30"/>
        </w:rPr>
        <w:t>科创板上市公司（以下简称上市公司）</w:t>
      </w:r>
      <w:r>
        <w:rPr>
          <w:rFonts w:hint="eastAsia" w:ascii="仿宋_GB2312" w:hAnsi="宋体" w:eastAsia="仿宋_GB2312"/>
          <w:bCs/>
          <w:sz w:val="30"/>
          <w:szCs w:val="30"/>
        </w:rPr>
        <w:t>披露业绩预告后，预计本期经营业绩或者财务状况与已披露的业绩预告存在重大差异情形的，</w:t>
      </w:r>
      <w:r>
        <w:rPr>
          <w:rFonts w:hint="eastAsia" w:ascii="仿宋_GB2312" w:hAnsi="宋体" w:eastAsia="仿宋_GB2312" w:cs="宋体"/>
          <w:color w:val="000000"/>
          <w:kern w:val="0"/>
          <w:sz w:val="30"/>
          <w:szCs w:val="30"/>
        </w:rPr>
        <w:t>适用本公告格式指引。“重大差异”的具体情形</w:t>
      </w:r>
      <w:r>
        <w:rPr>
          <w:rFonts w:hint="eastAsia" w:ascii="仿宋_GB2312" w:hAnsi="宋体" w:eastAsia="仿宋_GB2312"/>
          <w:bCs/>
          <w:sz w:val="30"/>
          <w:szCs w:val="30"/>
        </w:rPr>
        <w:t>包括但不限于：</w:t>
      </w:r>
    </w:p>
    <w:p w14:paraId="351753C0">
      <w:pPr>
        <w:adjustRightInd w:val="0"/>
        <w:snapToGrid w:val="0"/>
        <w:spacing w:line="600" w:lineRule="exact"/>
        <w:ind w:firstLine="600" w:firstLineChars="200"/>
        <w:rPr>
          <w:rFonts w:ascii="仿宋_GB2312" w:hAnsi="宋体" w:eastAsia="仿宋_GB2312"/>
          <w:bCs/>
          <w:sz w:val="30"/>
          <w:szCs w:val="30"/>
        </w:rPr>
      </w:pPr>
      <w:r>
        <w:rPr>
          <w:rFonts w:hint="eastAsia" w:ascii="仿宋_GB2312" w:hAnsi="宋体" w:eastAsia="仿宋_GB2312"/>
          <w:bCs/>
          <w:sz w:val="30"/>
          <w:szCs w:val="30"/>
        </w:rPr>
        <w:t>（</w:t>
      </w:r>
      <w:r>
        <w:rPr>
          <w:rFonts w:ascii="仿宋_GB2312" w:hAnsi="宋体" w:eastAsia="仿宋_GB2312"/>
          <w:bCs/>
          <w:sz w:val="30"/>
          <w:szCs w:val="30"/>
        </w:rPr>
        <w:t>1）预告盈亏性质、方向错误</w:t>
      </w:r>
    </w:p>
    <w:p w14:paraId="045E94DE">
      <w:pPr>
        <w:adjustRightInd w:val="0"/>
        <w:snapToGrid w:val="0"/>
        <w:spacing w:line="600" w:lineRule="exact"/>
        <w:ind w:firstLine="600" w:firstLineChars="200"/>
        <w:rPr>
          <w:rFonts w:ascii="仿宋_GB2312" w:hAnsi="宋体" w:eastAsia="仿宋_GB2312"/>
          <w:bCs/>
          <w:sz w:val="30"/>
          <w:szCs w:val="30"/>
        </w:rPr>
      </w:pPr>
      <w:r>
        <w:rPr>
          <w:rFonts w:hint="eastAsia" w:ascii="仿宋_GB2312" w:hAnsi="宋体" w:eastAsia="仿宋_GB2312"/>
          <w:bCs/>
          <w:sz w:val="30"/>
          <w:szCs w:val="30"/>
        </w:rPr>
        <w:t>此类业绩预告违规具体表现为：先预盈，实际亏损；先预亏</w:t>
      </w:r>
      <w:r>
        <w:rPr>
          <w:rFonts w:ascii="仿宋_GB2312" w:hAnsi="宋体" w:eastAsia="仿宋_GB2312"/>
          <w:bCs/>
          <w:sz w:val="30"/>
          <w:szCs w:val="30"/>
        </w:rPr>
        <w:t>,实际盈利；先预减，实际增长或亏损；先预增，实际下降或亏损。</w:t>
      </w:r>
    </w:p>
    <w:p w14:paraId="1A2BF8D0">
      <w:pPr>
        <w:adjustRightInd w:val="0"/>
        <w:snapToGrid w:val="0"/>
        <w:spacing w:line="600" w:lineRule="exact"/>
        <w:ind w:firstLine="600" w:firstLineChars="200"/>
        <w:rPr>
          <w:rFonts w:ascii="仿宋_GB2312" w:hAnsi="宋体" w:eastAsia="仿宋_GB2312"/>
          <w:bCs/>
          <w:sz w:val="30"/>
          <w:szCs w:val="30"/>
        </w:rPr>
      </w:pPr>
      <w:r>
        <w:rPr>
          <w:rFonts w:hint="eastAsia" w:ascii="仿宋_GB2312" w:hAnsi="宋体" w:eastAsia="仿宋_GB2312"/>
          <w:bCs/>
          <w:sz w:val="30"/>
          <w:szCs w:val="30"/>
        </w:rPr>
        <w:t>（</w:t>
      </w:r>
      <w:r>
        <w:rPr>
          <w:rFonts w:ascii="仿宋_GB2312" w:hAnsi="宋体" w:eastAsia="仿宋_GB2312"/>
          <w:bCs/>
          <w:sz w:val="30"/>
          <w:szCs w:val="30"/>
        </w:rPr>
        <w:t>2）</w:t>
      </w:r>
      <w:r>
        <w:rPr>
          <w:rFonts w:hint="eastAsia" w:ascii="仿宋_GB2312" w:hAnsi="宋体" w:eastAsia="仿宋_GB2312"/>
          <w:bCs/>
          <w:sz w:val="30"/>
          <w:szCs w:val="30"/>
        </w:rPr>
        <w:t>差异</w:t>
      </w:r>
      <w:r>
        <w:rPr>
          <w:rFonts w:ascii="仿宋_GB2312" w:hAnsi="宋体" w:eastAsia="仿宋_GB2312"/>
          <w:bCs/>
          <w:sz w:val="30"/>
          <w:szCs w:val="30"/>
        </w:rPr>
        <w:t>金额或幅度</w:t>
      </w:r>
      <w:r>
        <w:rPr>
          <w:rFonts w:hint="eastAsia" w:ascii="仿宋_GB2312" w:hAnsi="宋体" w:eastAsia="仿宋_GB2312"/>
          <w:bCs/>
          <w:sz w:val="30"/>
          <w:szCs w:val="30"/>
        </w:rPr>
        <w:t>达到</w:t>
      </w:r>
      <w:r>
        <w:rPr>
          <w:rFonts w:ascii="仿宋_GB2312" w:hAnsi="宋体" w:eastAsia="仿宋_GB2312"/>
          <w:bCs/>
          <w:sz w:val="30"/>
          <w:szCs w:val="30"/>
        </w:rPr>
        <w:t>20%</w:t>
      </w:r>
      <w:r>
        <w:rPr>
          <w:rFonts w:hint="eastAsia" w:ascii="仿宋_GB2312" w:hAnsi="宋体" w:eastAsia="仿宋_GB2312"/>
          <w:bCs/>
          <w:sz w:val="30"/>
          <w:szCs w:val="30"/>
        </w:rPr>
        <w:t>以上</w:t>
      </w:r>
    </w:p>
    <w:p w14:paraId="05D53517">
      <w:pPr>
        <w:adjustRightInd w:val="0"/>
        <w:snapToGrid w:val="0"/>
        <w:spacing w:line="600" w:lineRule="exact"/>
        <w:ind w:firstLine="600" w:firstLineChars="200"/>
        <w:rPr>
          <w:rFonts w:ascii="仿宋_GB2312" w:hAnsi="宋体" w:eastAsia="仿宋_GB2312"/>
          <w:bCs/>
          <w:sz w:val="30"/>
          <w:szCs w:val="30"/>
        </w:rPr>
      </w:pPr>
      <w:r>
        <w:rPr>
          <w:rFonts w:hint="eastAsia" w:ascii="仿宋_GB2312" w:hAnsi="宋体" w:eastAsia="仿宋_GB2312"/>
          <w:bCs/>
          <w:sz w:val="30"/>
          <w:szCs w:val="30"/>
        </w:rPr>
        <w:t>业绩预告披露金额或比例的，预计本期业绩与预告业绩差异幅度达到</w:t>
      </w:r>
      <w:r>
        <w:rPr>
          <w:rFonts w:ascii="仿宋_GB2312" w:hAnsi="宋体" w:eastAsia="仿宋_GB2312"/>
          <w:bCs/>
          <w:sz w:val="30"/>
          <w:szCs w:val="30"/>
        </w:rPr>
        <w:t>20%</w:t>
      </w:r>
      <w:r>
        <w:rPr>
          <w:rFonts w:hint="eastAsia" w:ascii="仿宋_GB2312" w:hAnsi="宋体" w:eastAsia="仿宋_GB2312"/>
          <w:bCs/>
          <w:sz w:val="30"/>
          <w:szCs w:val="30"/>
        </w:rPr>
        <w:t>以上；披露“以上”的，预计本期</w:t>
      </w:r>
      <w:r>
        <w:rPr>
          <w:rFonts w:ascii="仿宋_GB2312" w:hAnsi="宋体" w:eastAsia="仿宋_GB2312"/>
          <w:bCs/>
          <w:sz w:val="30"/>
          <w:szCs w:val="30"/>
        </w:rPr>
        <w:t>业绩</w:t>
      </w:r>
      <w:r>
        <w:rPr>
          <w:rFonts w:hint="eastAsia" w:ascii="仿宋_GB2312" w:hAnsi="宋体" w:eastAsia="仿宋_GB2312"/>
          <w:bCs/>
          <w:sz w:val="30"/>
          <w:szCs w:val="30"/>
        </w:rPr>
        <w:t>上浮达到</w:t>
      </w:r>
      <w:r>
        <w:rPr>
          <w:rFonts w:ascii="仿宋_GB2312" w:hAnsi="宋体" w:eastAsia="仿宋_GB2312"/>
          <w:bCs/>
          <w:sz w:val="30"/>
          <w:szCs w:val="30"/>
        </w:rPr>
        <w:t>20%</w:t>
      </w:r>
      <w:r>
        <w:rPr>
          <w:rFonts w:hint="eastAsia" w:ascii="仿宋_GB2312" w:hAnsi="宋体" w:eastAsia="仿宋_GB2312"/>
          <w:bCs/>
          <w:sz w:val="30"/>
          <w:szCs w:val="30"/>
        </w:rPr>
        <w:t>以上；但如披露区间的，预计本期</w:t>
      </w:r>
      <w:r>
        <w:rPr>
          <w:rFonts w:ascii="仿宋_GB2312" w:hAnsi="宋体" w:eastAsia="仿宋_GB2312"/>
          <w:bCs/>
          <w:sz w:val="30"/>
          <w:szCs w:val="30"/>
        </w:rPr>
        <w:t>业绩</w:t>
      </w:r>
      <w:r>
        <w:rPr>
          <w:rFonts w:hint="eastAsia" w:ascii="仿宋_GB2312" w:hAnsi="宋体" w:eastAsia="仿宋_GB2312"/>
          <w:bCs/>
          <w:sz w:val="30"/>
          <w:szCs w:val="30"/>
        </w:rPr>
        <w:t>超出区间（上下限之间不应超过50%）；披露“左右”的，预计本期</w:t>
      </w:r>
      <w:r>
        <w:rPr>
          <w:rFonts w:ascii="仿宋_GB2312" w:hAnsi="宋体" w:eastAsia="仿宋_GB2312"/>
          <w:bCs/>
          <w:sz w:val="30"/>
          <w:szCs w:val="30"/>
        </w:rPr>
        <w:t>业绩</w:t>
      </w:r>
      <w:r>
        <w:rPr>
          <w:rFonts w:hint="eastAsia" w:ascii="仿宋_GB2312" w:hAnsi="宋体" w:eastAsia="仿宋_GB2312"/>
          <w:bCs/>
          <w:sz w:val="30"/>
          <w:szCs w:val="30"/>
        </w:rPr>
        <w:t>上下浮动达到</w:t>
      </w:r>
      <w:r>
        <w:rPr>
          <w:rFonts w:ascii="仿宋_GB2312" w:hAnsi="宋体" w:eastAsia="仿宋_GB2312"/>
          <w:bCs/>
          <w:sz w:val="30"/>
          <w:szCs w:val="30"/>
        </w:rPr>
        <w:t>20%</w:t>
      </w:r>
      <w:r>
        <w:rPr>
          <w:rFonts w:hint="eastAsia" w:ascii="仿宋_GB2312" w:hAnsi="宋体" w:eastAsia="仿宋_GB2312"/>
          <w:bCs/>
          <w:sz w:val="30"/>
          <w:szCs w:val="30"/>
        </w:rPr>
        <w:t>以上。</w:t>
      </w:r>
    </w:p>
    <w:p w14:paraId="0EF6DB52">
      <w:pPr>
        <w:numPr>
          <w:ilvl w:val="0"/>
          <w:numId w:val="1"/>
        </w:numPr>
        <w:adjustRightInd w:val="0"/>
        <w:snapToGrid w:val="0"/>
        <w:spacing w:line="600" w:lineRule="exact"/>
        <w:ind w:firstLine="600" w:firstLineChars="200"/>
        <w:rPr>
          <w:rFonts w:ascii="仿宋_GB2312" w:hAnsi="宋体" w:eastAsia="仿宋_GB2312"/>
          <w:bCs/>
          <w:sz w:val="30"/>
          <w:szCs w:val="30"/>
        </w:rPr>
      </w:pPr>
      <w:r>
        <w:rPr>
          <w:rFonts w:hint="eastAsia" w:ascii="仿宋_GB2312" w:hAnsi="宋体" w:eastAsia="仿宋_GB2312"/>
          <w:bCs/>
          <w:sz w:val="30"/>
          <w:szCs w:val="30"/>
        </w:rPr>
        <w:t>已披露的业绩预告内容不明确或者附加了条件，而预计本期业绩出现盈亏或与去年相比出现大幅变动的，如仅指明盈亏方向但目前可以确定预计本期业绩的大致盈亏数额（例如，原来只是预计亏损目前可以确定亏损5000万元以上，或者原来只是预计可以扭亏目前能够确定盈利3000万元以上）的，也应披露业绩预告更正公告。</w:t>
      </w:r>
    </w:p>
    <w:p w14:paraId="1401A156">
      <w:pPr>
        <w:numPr>
          <w:ilvl w:val="0"/>
          <w:numId w:val="1"/>
        </w:numPr>
        <w:adjustRightInd w:val="0"/>
        <w:snapToGrid w:val="0"/>
        <w:spacing w:line="600" w:lineRule="exact"/>
        <w:ind w:firstLine="600" w:firstLineChars="200"/>
        <w:rPr>
          <w:rFonts w:ascii="仿宋_GB2312" w:hAnsi="宋体" w:eastAsia="仿宋_GB2312"/>
          <w:bCs/>
          <w:sz w:val="30"/>
          <w:szCs w:val="30"/>
        </w:rPr>
      </w:pPr>
      <w:r>
        <w:rPr>
          <w:rFonts w:hint="eastAsia" w:ascii="仿宋_GB2312" w:hAnsi="宋体" w:eastAsia="仿宋_GB2312"/>
          <w:bCs/>
          <w:sz w:val="30"/>
          <w:szCs w:val="30"/>
        </w:rPr>
        <w:t>因《上海证券交易所科创板股票上市规则》（以下简称《科创板股票上市规则》）第6.2.1条第一款第四项、第五项情形披露业绩预告的，最新预计不触及第6.2.1条第一款第四项、第五项的情形。</w:t>
      </w:r>
    </w:p>
    <w:p w14:paraId="71BE2A8E">
      <w:pPr>
        <w:numPr>
          <w:ilvl w:val="0"/>
          <w:numId w:val="1"/>
        </w:numPr>
        <w:adjustRightInd w:val="0"/>
        <w:snapToGrid w:val="0"/>
        <w:spacing w:line="600" w:lineRule="exact"/>
        <w:ind w:firstLine="600" w:firstLineChars="200"/>
        <w:rPr>
          <w:rFonts w:ascii="仿宋_GB2312" w:hAnsi="宋体" w:eastAsia="仿宋_GB2312"/>
          <w:bCs/>
          <w:sz w:val="30"/>
          <w:szCs w:val="30"/>
        </w:rPr>
      </w:pPr>
      <w:r>
        <w:rPr>
          <w:rFonts w:hint="eastAsia" w:ascii="仿宋_GB2312" w:hAnsi="宋体" w:eastAsia="仿宋_GB2312"/>
          <w:bCs/>
          <w:sz w:val="30"/>
          <w:szCs w:val="30"/>
        </w:rPr>
        <w:t>因《科创板股票上市规则》第6.2.3条情形披露业绩预告的，最新预计的相关财务指标与已披露的业绩预告发生方向性变化的，或者较原预计金额或者范围差异较大。</w:t>
      </w:r>
    </w:p>
    <w:p w14:paraId="2D92FE36">
      <w:pPr>
        <w:adjustRightInd w:val="0"/>
        <w:snapToGrid w:val="0"/>
        <w:spacing w:line="600" w:lineRule="exact"/>
        <w:ind w:firstLine="588" w:firstLineChars="196"/>
        <w:rPr>
          <w:rFonts w:ascii="仿宋_GB2312" w:hAnsi="宋体" w:eastAsia="仿宋_GB2312"/>
          <w:bCs/>
          <w:sz w:val="30"/>
          <w:szCs w:val="30"/>
        </w:rPr>
      </w:pPr>
    </w:p>
    <w:p w14:paraId="265E9359">
      <w:pPr>
        <w:adjustRightInd w:val="0"/>
        <w:snapToGrid w:val="0"/>
        <w:spacing w:line="600" w:lineRule="exact"/>
        <w:ind w:firstLine="588" w:firstLineChars="196"/>
        <w:rPr>
          <w:rFonts w:ascii="仿宋_GB2312" w:hAnsi="宋体" w:eastAsia="仿宋_GB2312"/>
          <w:bCs/>
          <w:sz w:val="30"/>
          <w:szCs w:val="30"/>
        </w:rPr>
      </w:pPr>
    </w:p>
    <w:p w14:paraId="15682835">
      <w:pPr>
        <w:adjustRightInd w:val="0"/>
        <w:snapToGrid w:val="0"/>
        <w:spacing w:line="600" w:lineRule="exact"/>
        <w:ind w:left="42" w:hanging="42" w:hangingChars="14"/>
        <w:rPr>
          <w:rFonts w:ascii="仿宋_GB2312" w:hAnsi="宋体" w:eastAsia="仿宋_GB2312"/>
          <w:bCs/>
          <w:sz w:val="30"/>
          <w:szCs w:val="30"/>
        </w:rPr>
      </w:pPr>
      <w:r>
        <w:rPr>
          <w:rFonts w:hint="eastAsia" w:ascii="仿宋_GB2312" w:hAnsi="宋体" w:eastAsia="仿宋_GB2312"/>
          <w:bCs/>
          <w:sz w:val="30"/>
          <w:szCs w:val="30"/>
        </w:rPr>
        <w:t>证券代码：</w:t>
      </w:r>
      <w:r>
        <w:rPr>
          <w:rFonts w:ascii="仿宋_GB2312" w:hAnsi="宋体" w:eastAsia="仿宋_GB2312"/>
          <w:bCs/>
          <w:sz w:val="30"/>
          <w:szCs w:val="30"/>
        </w:rPr>
        <w:t xml:space="preserve">             </w:t>
      </w:r>
      <w:r>
        <w:rPr>
          <w:rFonts w:hint="eastAsia" w:ascii="仿宋_GB2312" w:hAnsi="宋体" w:eastAsia="仿宋_GB2312"/>
          <w:bCs/>
          <w:sz w:val="30"/>
          <w:szCs w:val="30"/>
        </w:rPr>
        <w:t>证券简称：</w:t>
      </w:r>
      <w:r>
        <w:rPr>
          <w:rFonts w:ascii="仿宋_GB2312" w:hAnsi="宋体" w:eastAsia="仿宋_GB2312"/>
          <w:bCs/>
          <w:sz w:val="30"/>
          <w:szCs w:val="30"/>
        </w:rPr>
        <w:t xml:space="preserve">            </w:t>
      </w:r>
      <w:r>
        <w:rPr>
          <w:rFonts w:hint="eastAsia" w:ascii="仿宋_GB2312" w:hAnsi="宋体" w:eastAsia="仿宋_GB2312"/>
          <w:bCs/>
          <w:sz w:val="30"/>
          <w:szCs w:val="30"/>
        </w:rPr>
        <w:t>公告编号：</w:t>
      </w:r>
    </w:p>
    <w:p w14:paraId="73A360C3">
      <w:pPr>
        <w:spacing w:line="600" w:lineRule="exact"/>
        <w:rPr>
          <w:rFonts w:ascii="宋体" w:hAnsi="宋体"/>
          <w:sz w:val="24"/>
        </w:rPr>
      </w:pPr>
    </w:p>
    <w:p w14:paraId="2DB1EFD1">
      <w:pPr>
        <w:adjustRightInd w:val="0"/>
        <w:snapToGrid w:val="0"/>
        <w:spacing w:line="600" w:lineRule="exact"/>
        <w:ind w:left="42" w:hanging="42" w:hangingChars="14"/>
        <w:jc w:val="center"/>
        <w:rPr>
          <w:rFonts w:ascii="仿宋_GB2312" w:hAnsi="宋体" w:eastAsia="仿宋_GB2312"/>
          <w:bCs/>
          <w:sz w:val="30"/>
          <w:szCs w:val="30"/>
        </w:rPr>
      </w:pPr>
      <w:r>
        <w:rPr>
          <w:rFonts w:ascii="仿宋_GB2312" w:hAnsi="宋体" w:eastAsia="仿宋_GB2312"/>
          <w:bCs/>
          <w:sz w:val="30"/>
          <w:szCs w:val="30"/>
        </w:rPr>
        <w:t>XXXX股份有限公司XXXX年度业绩预告更正公告</w:t>
      </w:r>
    </w:p>
    <w:p w14:paraId="461F5878">
      <w:pPr>
        <w:adjustRightInd w:val="0"/>
        <w:snapToGrid w:val="0"/>
        <w:spacing w:line="600" w:lineRule="exact"/>
        <w:ind w:left="42" w:hanging="42" w:hangingChars="14"/>
        <w:jc w:val="center"/>
        <w:rPr>
          <w:rFonts w:ascii="仿宋_GB2312" w:hAnsi="宋体" w:eastAsia="仿宋_GB2312"/>
          <w:bCs/>
          <w:sz w:val="30"/>
          <w:szCs w:val="30"/>
        </w:rPr>
      </w:pPr>
    </w:p>
    <w:p w14:paraId="73C18A98">
      <w:pPr>
        <w:pBdr>
          <w:top w:val="single" w:color="auto" w:sz="4" w:space="1"/>
          <w:left w:val="single" w:color="auto" w:sz="4" w:space="4"/>
          <w:bottom w:val="single" w:color="auto" w:sz="4" w:space="1"/>
          <w:right w:val="single" w:color="auto" w:sz="4" w:space="4"/>
        </w:pBdr>
        <w:adjustRightInd w:val="0"/>
        <w:snapToGrid w:val="0"/>
        <w:spacing w:line="600" w:lineRule="exact"/>
        <w:ind w:firstLine="600" w:firstLineChars="200"/>
        <w:rPr>
          <w:rFonts w:ascii="仿宋_GB2312" w:hAnsi="宋体" w:eastAsia="仿宋_GB2312"/>
          <w:sz w:val="30"/>
          <w:szCs w:val="30"/>
        </w:rPr>
      </w:pPr>
      <w:r>
        <w:rPr>
          <w:rFonts w:ascii="仿宋_GB2312" w:hAnsi="宋体" w:eastAsia="仿宋_GB2312"/>
          <w:sz w:val="30"/>
          <w:szCs w:val="30"/>
        </w:rPr>
        <w:t>本公司董事会及全体董事保证本公告内容不存在任何虚假记载、误导性陈述或者重大遗漏，并对其内容的真实性、准确性和完整性</w:t>
      </w:r>
      <w:r>
        <w:rPr>
          <w:rFonts w:hint="eastAsia" w:ascii="仿宋_GB2312" w:hAnsi="宋体" w:eastAsia="仿宋_GB2312"/>
          <w:sz w:val="30"/>
          <w:szCs w:val="30"/>
        </w:rPr>
        <w:t>依法承担法律责任</w:t>
      </w:r>
      <w:r>
        <w:rPr>
          <w:rFonts w:ascii="仿宋_GB2312" w:hAnsi="宋体" w:eastAsia="仿宋_GB2312"/>
          <w:sz w:val="30"/>
          <w:szCs w:val="30"/>
        </w:rPr>
        <w:t>。</w:t>
      </w:r>
    </w:p>
    <w:p w14:paraId="36EBD837">
      <w:pPr>
        <w:pBdr>
          <w:top w:val="single" w:color="auto" w:sz="4" w:space="1"/>
          <w:left w:val="single" w:color="auto" w:sz="4" w:space="4"/>
          <w:bottom w:val="single" w:color="auto" w:sz="4" w:space="1"/>
          <w:right w:val="single" w:color="auto" w:sz="4" w:space="4"/>
        </w:pBdr>
        <w:adjustRightInd w:val="0"/>
        <w:snapToGrid w:val="0"/>
        <w:spacing w:line="600" w:lineRule="exact"/>
        <w:ind w:firstLine="600" w:firstLineChars="200"/>
        <w:rPr>
          <w:rFonts w:ascii="宋体" w:hAnsi="宋体"/>
          <w:sz w:val="24"/>
        </w:rPr>
      </w:pPr>
      <w:r>
        <w:rPr>
          <w:rFonts w:ascii="仿宋_GB2312" w:hAnsi="宋体" w:eastAsia="仿宋_GB2312"/>
          <w:sz w:val="30"/>
          <w:szCs w:val="30"/>
        </w:rPr>
        <w:t>如有董事对临时公告内容的真实性、准确性和完整性无法保证或存在异议的，公司应当在公告中作特别提示。</w:t>
      </w:r>
    </w:p>
    <w:p w14:paraId="1254AAC2">
      <w:pPr>
        <w:spacing w:line="600" w:lineRule="exact"/>
        <w:ind w:firstLine="420" w:firstLineChars="200"/>
        <w:rPr>
          <w:rFonts w:ascii="宋体" w:hAnsi="宋体"/>
        </w:rPr>
      </w:pPr>
    </w:p>
    <w:p w14:paraId="5427455F">
      <w:pPr>
        <w:widowControl/>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一、本期业绩预告情况</w:t>
      </w:r>
    </w:p>
    <w:p w14:paraId="39202518">
      <w:pPr>
        <w:adjustRightInd w:val="0"/>
        <w:snapToGrid w:val="0"/>
        <w:spacing w:line="600" w:lineRule="exact"/>
        <w:ind w:firstLine="600" w:firstLineChars="200"/>
        <w:rPr>
          <w:rFonts w:ascii="仿宋_GB2312" w:hAnsi="宋体" w:eastAsia="仿宋_GB2312"/>
          <w:bCs/>
          <w:sz w:val="30"/>
          <w:szCs w:val="30"/>
        </w:rPr>
      </w:pPr>
      <w:r>
        <w:rPr>
          <w:rFonts w:hint="eastAsia" w:ascii="仿宋_GB2312" w:hAnsi="宋体" w:eastAsia="仿宋_GB2312"/>
          <w:bCs/>
          <w:sz w:val="30"/>
          <w:szCs w:val="30"/>
        </w:rPr>
        <w:t>（一）业绩预告期间</w:t>
      </w:r>
      <w:r>
        <w:rPr>
          <w:rFonts w:ascii="仿宋_GB2312" w:hAnsi="宋体" w:eastAsia="仿宋_GB2312"/>
          <w:bCs/>
          <w:sz w:val="30"/>
          <w:szCs w:val="30"/>
        </w:rPr>
        <w:t xml:space="preserve">    </w:t>
      </w:r>
    </w:p>
    <w:p w14:paraId="1FDA3743">
      <w:pPr>
        <w:adjustRightInd w:val="0"/>
        <w:snapToGrid w:val="0"/>
        <w:spacing w:line="600" w:lineRule="exact"/>
        <w:ind w:firstLine="600" w:firstLineChars="200"/>
        <w:rPr>
          <w:rFonts w:ascii="仿宋_GB2312" w:hAnsi="宋体" w:eastAsia="仿宋_GB2312"/>
          <w:bCs/>
          <w:sz w:val="30"/>
          <w:szCs w:val="30"/>
        </w:rPr>
      </w:pPr>
      <w:r>
        <w:rPr>
          <w:rFonts w:ascii="仿宋_GB2312" w:hAnsi="宋体" w:eastAsia="仿宋_GB2312"/>
          <w:bCs/>
          <w:sz w:val="30"/>
          <w:szCs w:val="30"/>
        </w:rPr>
        <w:t>XXXX年1月1日至XXXX年12月31日。</w:t>
      </w:r>
    </w:p>
    <w:p w14:paraId="001ED6A1">
      <w:pPr>
        <w:adjustRightInd w:val="0"/>
        <w:snapToGrid w:val="0"/>
        <w:spacing w:line="600" w:lineRule="exact"/>
        <w:ind w:firstLine="600" w:firstLineChars="200"/>
        <w:rPr>
          <w:rFonts w:ascii="仿宋_GB2312" w:hAnsi="宋体" w:eastAsia="仿宋_GB2312"/>
          <w:bCs/>
          <w:sz w:val="30"/>
          <w:szCs w:val="30"/>
        </w:rPr>
      </w:pPr>
      <w:r>
        <w:rPr>
          <w:rFonts w:hint="eastAsia" w:ascii="仿宋_GB2312" w:hAnsi="宋体" w:eastAsia="仿宋_GB2312"/>
          <w:bCs/>
          <w:sz w:val="30"/>
          <w:szCs w:val="30"/>
        </w:rPr>
        <w:t>（二）前次业绩预告情况</w:t>
      </w:r>
    </w:p>
    <w:p w14:paraId="7F4B3771">
      <w:pPr>
        <w:adjustRightInd w:val="0"/>
        <w:snapToGrid w:val="0"/>
        <w:spacing w:line="600" w:lineRule="exact"/>
        <w:ind w:firstLine="600" w:firstLineChars="200"/>
        <w:rPr>
          <w:rFonts w:ascii="仿宋_GB2312" w:hAnsi="宋体" w:eastAsia="仿宋_GB2312"/>
          <w:bCs/>
          <w:sz w:val="30"/>
          <w:szCs w:val="30"/>
        </w:rPr>
      </w:pPr>
      <w:r>
        <w:rPr>
          <w:rFonts w:hint="eastAsia" w:ascii="仿宋_GB2312" w:hAnsi="宋体" w:eastAsia="仿宋_GB2312"/>
          <w:bCs/>
          <w:sz w:val="30"/>
          <w:szCs w:val="30"/>
        </w:rPr>
        <w:t>公司于XXXX年XX月XX日披露了XXXX年年度业绩预增（或预减、预亏、预盈）公告，预计XXXX年年度……（参照业绩预告公告格式指引相关内容）。</w:t>
      </w:r>
    </w:p>
    <w:p w14:paraId="13DDA853">
      <w:pPr>
        <w:adjustRightInd w:val="0"/>
        <w:snapToGrid w:val="0"/>
        <w:spacing w:line="600" w:lineRule="exact"/>
        <w:ind w:firstLine="600" w:firstLineChars="200"/>
        <w:rPr>
          <w:rFonts w:ascii="仿宋_GB2312" w:hAnsi="宋体" w:eastAsia="仿宋_GB2312"/>
          <w:bCs/>
          <w:sz w:val="30"/>
          <w:szCs w:val="30"/>
        </w:rPr>
      </w:pPr>
      <w:r>
        <w:rPr>
          <w:rFonts w:hint="eastAsia" w:ascii="仿宋_GB2312" w:hAnsi="宋体" w:eastAsia="仿宋_GB2312"/>
          <w:bCs/>
          <w:sz w:val="30"/>
          <w:szCs w:val="30"/>
        </w:rPr>
        <w:t>（三）更正后的业绩预告情况</w:t>
      </w:r>
    </w:p>
    <w:p w14:paraId="76F686E6">
      <w:pPr>
        <w:adjustRightInd w:val="0"/>
        <w:snapToGrid w:val="0"/>
        <w:spacing w:line="600" w:lineRule="exact"/>
        <w:ind w:firstLine="600" w:firstLineChars="200"/>
        <w:rPr>
          <w:rFonts w:ascii="仿宋_GB2312" w:hAnsi="宋体" w:eastAsia="仿宋_GB2312"/>
          <w:bCs/>
          <w:sz w:val="30"/>
          <w:szCs w:val="30"/>
        </w:rPr>
      </w:pPr>
      <w:r>
        <w:rPr>
          <w:rFonts w:hint="eastAsia" w:ascii="仿宋_GB2312" w:hAnsi="宋体" w:eastAsia="仿宋_GB2312"/>
          <w:bCs/>
          <w:sz w:val="30"/>
          <w:szCs w:val="30"/>
        </w:rPr>
        <w:t>经财务部门再次测算，预计XXXX年年度……（参照业绩预告公告格式指引相关内容）。</w:t>
      </w:r>
    </w:p>
    <w:p w14:paraId="43A7C4C5">
      <w:pPr>
        <w:adjustRightInd w:val="0"/>
        <w:snapToGrid w:val="0"/>
        <w:spacing w:line="600" w:lineRule="exact"/>
        <w:ind w:firstLine="600" w:firstLineChars="200"/>
        <w:rPr>
          <w:rFonts w:ascii="仿宋_GB2312" w:hAnsi="宋体" w:eastAsia="仿宋_GB2312"/>
          <w:bCs/>
          <w:sz w:val="30"/>
          <w:szCs w:val="30"/>
        </w:rPr>
      </w:pPr>
      <w:r>
        <w:rPr>
          <w:rFonts w:hint="eastAsia" w:ascii="仿宋_GB2312" w:hAnsi="宋体" w:eastAsia="仿宋_GB2312"/>
          <w:bCs/>
          <w:sz w:val="30"/>
          <w:szCs w:val="30"/>
        </w:rPr>
        <w:t>（四）注册会计师对公司本期业绩预告更正是否适当和审慎的专项说明（如适用）</w:t>
      </w:r>
    </w:p>
    <w:p w14:paraId="740FC0B6">
      <w:pPr>
        <w:adjustRightInd w:val="0"/>
        <w:snapToGrid w:val="0"/>
        <w:spacing w:line="600" w:lineRule="exact"/>
        <w:ind w:firstLine="480" w:firstLineChars="200"/>
        <w:rPr>
          <w:rFonts w:ascii="宋体" w:hAnsi="宋体"/>
          <w:sz w:val="24"/>
        </w:rPr>
      </w:pPr>
    </w:p>
    <w:p w14:paraId="37413D9E">
      <w:pPr>
        <w:widowControl/>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二、上年度同期业绩情况</w:t>
      </w:r>
      <w:r>
        <w:rPr>
          <w:rFonts w:ascii="黑体" w:hAnsi="黑体" w:eastAsia="黑体" w:cs="宋体"/>
          <w:b/>
          <w:color w:val="000000"/>
          <w:kern w:val="0"/>
          <w:sz w:val="32"/>
          <w:szCs w:val="32"/>
        </w:rPr>
        <w:t xml:space="preserve"> </w:t>
      </w:r>
    </w:p>
    <w:p w14:paraId="11802702">
      <w:pPr>
        <w:widowControl/>
        <w:adjustRightInd w:val="0"/>
        <w:snapToGrid w:val="0"/>
        <w:spacing w:line="560" w:lineRule="exact"/>
        <w:ind w:firstLine="600" w:firstLineChars="200"/>
        <w:jc w:val="left"/>
        <w:rPr>
          <w:rFonts w:ascii="仿宋_GB2312" w:eastAsia="仿宋_GB2312"/>
          <w:color w:val="000000"/>
          <w:kern w:val="0"/>
          <w:sz w:val="30"/>
          <w:szCs w:val="30"/>
        </w:rPr>
      </w:pPr>
      <w:r>
        <w:rPr>
          <w:rFonts w:hint="eastAsia" w:ascii="仿宋_GB2312" w:eastAsia="仿宋_GB2312"/>
          <w:color w:val="000000"/>
          <w:kern w:val="0"/>
          <w:sz w:val="30"/>
          <w:szCs w:val="30"/>
        </w:rPr>
        <w:t>（一）利润总额：XXXX万元。归属于母公司所有者的净利润：XXXX万元。归属于母公司所有者的扣除非经常性损益的净利润：XXXX万元。</w:t>
      </w:r>
    </w:p>
    <w:p w14:paraId="6B06A2BC">
      <w:pPr>
        <w:widowControl/>
        <w:adjustRightInd w:val="0"/>
        <w:snapToGrid w:val="0"/>
        <w:spacing w:line="560" w:lineRule="exact"/>
        <w:ind w:firstLine="600" w:firstLineChars="200"/>
        <w:jc w:val="left"/>
        <w:rPr>
          <w:rFonts w:ascii="仿宋_GB2312" w:eastAsia="仿宋_GB2312"/>
          <w:color w:val="000000"/>
          <w:kern w:val="0"/>
          <w:sz w:val="30"/>
          <w:szCs w:val="30"/>
        </w:rPr>
      </w:pPr>
      <w:r>
        <w:rPr>
          <w:rFonts w:hint="eastAsia" w:ascii="仿宋_GB2312" w:eastAsia="仿宋_GB2312"/>
          <w:color w:val="000000"/>
          <w:kern w:val="0"/>
          <w:sz w:val="30"/>
          <w:szCs w:val="30"/>
        </w:rPr>
        <w:t>（二）每股收益：XXXX元。</w:t>
      </w:r>
    </w:p>
    <w:p w14:paraId="7F6BA090">
      <w:pPr>
        <w:widowControl/>
        <w:adjustRightInd w:val="0"/>
        <w:snapToGrid w:val="0"/>
        <w:spacing w:line="560" w:lineRule="exact"/>
        <w:ind w:firstLine="600" w:firstLineChars="200"/>
        <w:jc w:val="left"/>
        <w:rPr>
          <w:rFonts w:ascii="仿宋_GB2312" w:eastAsia="仿宋_GB2312"/>
          <w:color w:val="000000"/>
          <w:kern w:val="0"/>
          <w:sz w:val="30"/>
          <w:szCs w:val="30"/>
        </w:rPr>
      </w:pPr>
      <w:r>
        <w:rPr>
          <w:rFonts w:hint="eastAsia" w:ascii="仿宋_GB2312" w:eastAsia="仿宋_GB2312"/>
          <w:color w:val="000000"/>
          <w:kern w:val="0"/>
          <w:sz w:val="30"/>
          <w:szCs w:val="30"/>
        </w:rPr>
        <w:t>（三）营业收入：XXXX万元（因《科创板股票上市规则》第6.2.1条第一款第四项情形、</w:t>
      </w:r>
      <w:r>
        <w:rPr>
          <w:rFonts w:hint="eastAsia" w:ascii="仿宋_GB2312" w:hAnsi="宋体" w:eastAsia="仿宋_GB2312"/>
          <w:bCs/>
          <w:sz w:val="30"/>
          <w:szCs w:val="30"/>
        </w:rPr>
        <w:t>第6.2.3条情形</w:t>
      </w:r>
      <w:r>
        <w:rPr>
          <w:rFonts w:hint="eastAsia" w:ascii="仿宋_GB2312" w:eastAsia="仿宋_GB2312"/>
          <w:color w:val="000000"/>
          <w:kern w:val="0"/>
          <w:sz w:val="30"/>
          <w:szCs w:val="30"/>
        </w:rPr>
        <w:t>披露业绩预告的公司）。扣除与主营业务无关的业务收入和不具备商业实质的收入后的营业收入：XXXX万元（因《科创板股票上市规则》</w:t>
      </w:r>
      <w:r>
        <w:rPr>
          <w:rFonts w:hint="eastAsia" w:ascii="仿宋_GB2312" w:hAnsi="宋体" w:eastAsia="仿宋_GB2312"/>
          <w:bCs/>
          <w:sz w:val="30"/>
          <w:szCs w:val="30"/>
        </w:rPr>
        <w:t>第6.2.3条情形</w:t>
      </w:r>
      <w:r>
        <w:rPr>
          <w:rFonts w:hint="eastAsia" w:ascii="仿宋_GB2312" w:eastAsia="仿宋_GB2312"/>
          <w:color w:val="000000"/>
          <w:kern w:val="0"/>
          <w:sz w:val="30"/>
          <w:szCs w:val="30"/>
        </w:rPr>
        <w:t>披露业绩预告的公司）。</w:t>
      </w:r>
    </w:p>
    <w:p w14:paraId="1E37AB87">
      <w:pPr>
        <w:widowControl/>
        <w:spacing w:line="600" w:lineRule="exact"/>
        <w:ind w:firstLine="600" w:firstLineChars="200"/>
        <w:jc w:val="left"/>
        <w:rPr>
          <w:rFonts w:ascii="宋体" w:hAnsi="宋体" w:cs="宋体"/>
          <w:kern w:val="0"/>
          <w:sz w:val="24"/>
        </w:rPr>
      </w:pPr>
      <w:r>
        <w:rPr>
          <w:rFonts w:hint="eastAsia" w:ascii="仿宋_GB2312" w:eastAsia="仿宋_GB2312"/>
          <w:color w:val="000000"/>
          <w:kern w:val="0"/>
          <w:sz w:val="30"/>
          <w:szCs w:val="30"/>
        </w:rPr>
        <w:t>（四）期末净资产：XXXX万元。（因《科创板股票上市规则》第6.2.1条第一款第五项情形、第6.2.3条情形披露业绩预告的公司）。</w:t>
      </w:r>
    </w:p>
    <w:p w14:paraId="6055C133">
      <w:pPr>
        <w:adjustRightInd w:val="0"/>
        <w:snapToGrid w:val="0"/>
        <w:spacing w:line="600" w:lineRule="exact"/>
        <w:rPr>
          <w:rFonts w:hint="eastAsia" w:ascii="宋体" w:hAnsi="宋体"/>
          <w:sz w:val="24"/>
        </w:rPr>
      </w:pPr>
    </w:p>
    <w:p w14:paraId="7AFAA7AC">
      <w:pPr>
        <w:widowControl/>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三、业绩预告更正的主要原因</w:t>
      </w:r>
    </w:p>
    <w:p w14:paraId="52CEBC55">
      <w:pPr>
        <w:adjustRightInd w:val="0"/>
        <w:snapToGrid w:val="0"/>
        <w:spacing w:line="600" w:lineRule="exact"/>
        <w:ind w:firstLine="480" w:firstLineChars="200"/>
        <w:rPr>
          <w:rFonts w:ascii="仿宋_GB2312" w:hAnsi="宋体" w:eastAsia="仿宋_GB2312"/>
          <w:bCs/>
          <w:sz w:val="30"/>
          <w:szCs w:val="30"/>
        </w:rPr>
      </w:pPr>
      <w:r>
        <w:rPr>
          <w:rFonts w:ascii="宋体" w:hAnsi="宋体"/>
          <w:sz w:val="24"/>
        </w:rPr>
        <w:t xml:space="preserve"> </w:t>
      </w:r>
      <w:r>
        <w:rPr>
          <w:rFonts w:ascii="仿宋_GB2312" w:hAnsi="宋体" w:eastAsia="仿宋_GB2312"/>
          <w:bCs/>
          <w:sz w:val="30"/>
          <w:szCs w:val="30"/>
        </w:rPr>
        <w:t>（一）</w:t>
      </w:r>
      <w:r>
        <w:rPr>
          <w:rFonts w:hint="eastAsia" w:ascii="仿宋_GB2312" w:hAnsi="宋体" w:eastAsia="仿宋_GB2312"/>
          <w:bCs/>
          <w:sz w:val="30"/>
          <w:szCs w:val="30"/>
        </w:rPr>
        <w:t>业绩预告更正原因，例如计提减值准备、非经常性损益确认变动或其他导致业绩预告更正的具体情况及所涉及金额。</w:t>
      </w:r>
    </w:p>
    <w:p w14:paraId="14FE8755">
      <w:pPr>
        <w:adjustRightInd w:val="0"/>
        <w:snapToGrid w:val="0"/>
        <w:spacing w:line="600" w:lineRule="exact"/>
        <w:ind w:firstLine="600" w:firstLineChars="200"/>
        <w:rPr>
          <w:rFonts w:ascii="仿宋_GB2312" w:hAnsi="宋体" w:eastAsia="仿宋_GB2312"/>
          <w:bCs/>
          <w:sz w:val="30"/>
          <w:szCs w:val="30"/>
        </w:rPr>
      </w:pPr>
      <w:r>
        <w:rPr>
          <w:rFonts w:hint="eastAsia" w:ascii="仿宋_GB2312" w:hAnsi="宋体" w:eastAsia="仿宋_GB2312"/>
          <w:bCs/>
          <w:sz w:val="30"/>
          <w:szCs w:val="30"/>
        </w:rPr>
        <w:t>（二）根据注册会计师预审结果进行业绩预告更正的，还应当说明公司与注册会计师是否存在分歧及分歧所在。</w:t>
      </w:r>
    </w:p>
    <w:p w14:paraId="6F1A52B8">
      <w:pPr>
        <w:adjustRightInd w:val="0"/>
        <w:snapToGrid w:val="0"/>
        <w:spacing w:line="600" w:lineRule="exact"/>
        <w:ind w:firstLine="600" w:firstLineChars="200"/>
        <w:rPr>
          <w:rFonts w:ascii="仿宋_GB2312" w:hAnsi="宋体" w:eastAsia="仿宋_GB2312"/>
          <w:bCs/>
          <w:sz w:val="30"/>
          <w:szCs w:val="30"/>
        </w:rPr>
      </w:pPr>
      <w:r>
        <w:rPr>
          <w:rFonts w:hint="eastAsia" w:ascii="仿宋_GB2312" w:hAnsi="宋体" w:eastAsia="仿宋_GB2312"/>
          <w:bCs/>
          <w:sz w:val="30"/>
          <w:szCs w:val="30"/>
        </w:rPr>
        <w:t>（三）公司应当结合原业绩预告公告，说明导致本次业绩预告更正的原因是否已在原业绩预告公告中进行了充分风险提示。</w:t>
      </w:r>
    </w:p>
    <w:p w14:paraId="543CBCB5">
      <w:pPr>
        <w:adjustRightInd w:val="0"/>
        <w:snapToGrid w:val="0"/>
        <w:spacing w:line="600" w:lineRule="exact"/>
        <w:ind w:firstLine="600" w:firstLineChars="200"/>
        <w:rPr>
          <w:rFonts w:ascii="仿宋_GB2312" w:hAnsi="宋体" w:eastAsia="仿宋_GB2312"/>
          <w:bCs/>
          <w:sz w:val="30"/>
          <w:szCs w:val="30"/>
        </w:rPr>
      </w:pPr>
    </w:p>
    <w:p w14:paraId="45312B98">
      <w:pPr>
        <w:widowControl/>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四、风险提示</w:t>
      </w:r>
    </w:p>
    <w:p w14:paraId="159DE51C">
      <w:pPr>
        <w:adjustRightInd w:val="0"/>
        <w:snapToGrid w:val="0"/>
        <w:spacing w:line="600" w:lineRule="exact"/>
        <w:ind w:firstLine="600" w:firstLineChars="200"/>
        <w:rPr>
          <w:rFonts w:ascii="仿宋_GB2312" w:hAnsi="宋体" w:eastAsia="仿宋_GB2312"/>
          <w:bCs/>
          <w:sz w:val="30"/>
          <w:szCs w:val="30"/>
        </w:rPr>
      </w:pPr>
      <w:r>
        <w:rPr>
          <w:rFonts w:hint="eastAsia" w:ascii="仿宋_GB2312" w:hAnsi="宋体" w:eastAsia="仿宋_GB2312"/>
          <w:bCs/>
          <w:sz w:val="30"/>
          <w:szCs w:val="30"/>
        </w:rPr>
        <w:t>（一）公司应当说明可能存在影响本次业绩预告内容准确性的不确定因素，例如不确定的重大交易、会计处理存在争议、可能影响本期财务数据的期后事项等。</w:t>
      </w:r>
    </w:p>
    <w:p w14:paraId="07B37FC2">
      <w:pPr>
        <w:widowControl/>
        <w:adjustRightInd w:val="0"/>
        <w:snapToGrid w:val="0"/>
        <w:spacing w:line="600" w:lineRule="exact"/>
        <w:ind w:firstLine="600" w:firstLineChars="200"/>
        <w:jc w:val="left"/>
        <w:rPr>
          <w:rFonts w:ascii="仿宋_GB2312" w:hAnsi="宋体" w:eastAsia="仿宋_GB2312"/>
          <w:bCs/>
          <w:sz w:val="30"/>
          <w:szCs w:val="30"/>
        </w:rPr>
      </w:pPr>
      <w:r>
        <w:rPr>
          <w:rFonts w:hint="eastAsia" w:ascii="仿宋_GB2312" w:hAnsi="宋体" w:eastAsia="仿宋_GB2312"/>
          <w:bCs/>
          <w:sz w:val="30"/>
          <w:szCs w:val="30"/>
        </w:rPr>
        <w:t>（二）公司是否就上述不确定因素与年审会计师进行沟通及沟通情况。</w:t>
      </w:r>
    </w:p>
    <w:p w14:paraId="29BD8884">
      <w:pPr>
        <w:adjustRightInd w:val="0"/>
        <w:snapToGrid w:val="0"/>
        <w:spacing w:line="600" w:lineRule="exact"/>
        <w:ind w:firstLine="600" w:firstLineChars="200"/>
        <w:rPr>
          <w:rFonts w:ascii="仿宋_GB2312" w:hAnsi="宋体" w:eastAsia="仿宋_GB2312"/>
          <w:bCs/>
          <w:sz w:val="30"/>
          <w:szCs w:val="30"/>
        </w:rPr>
      </w:pPr>
      <w:r>
        <w:rPr>
          <w:rFonts w:hint="eastAsia" w:ascii="仿宋_GB2312" w:hAnsi="宋体" w:eastAsia="仿宋_GB2312"/>
          <w:bCs/>
          <w:sz w:val="30"/>
          <w:szCs w:val="30"/>
        </w:rPr>
        <w:t>（三）对上述不确定因素可能造成的影响进行合理、量化分析，同时披露剔除不确定因素后的业绩变动情况。</w:t>
      </w:r>
    </w:p>
    <w:p w14:paraId="0A642A05">
      <w:pPr>
        <w:widowControl/>
        <w:spacing w:line="600" w:lineRule="exact"/>
        <w:ind w:firstLine="600" w:firstLineChars="200"/>
        <w:jc w:val="left"/>
        <w:rPr>
          <w:rFonts w:ascii="宋体" w:hAnsi="宋体"/>
          <w:sz w:val="24"/>
        </w:rPr>
      </w:pPr>
      <w:r>
        <w:rPr>
          <w:rFonts w:hint="eastAsia" w:ascii="仿宋_GB2312" w:hAnsi="宋体" w:eastAsia="仿宋_GB2312"/>
          <w:bCs/>
          <w:sz w:val="30"/>
          <w:szCs w:val="30"/>
        </w:rPr>
        <w:t>（四）其他风险提示。</w:t>
      </w:r>
    </w:p>
    <w:p w14:paraId="1759E970">
      <w:pPr>
        <w:widowControl/>
        <w:spacing w:line="600" w:lineRule="exact"/>
        <w:ind w:firstLine="643" w:firstLineChars="200"/>
        <w:rPr>
          <w:rFonts w:ascii="黑体" w:hAnsi="黑体" w:eastAsia="黑体" w:cs="宋体"/>
          <w:b/>
          <w:color w:val="000000"/>
          <w:kern w:val="0"/>
          <w:sz w:val="32"/>
          <w:szCs w:val="32"/>
        </w:rPr>
      </w:pPr>
    </w:p>
    <w:p w14:paraId="3CC64D31">
      <w:pPr>
        <w:widowControl/>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五、其他相关说明</w:t>
      </w:r>
    </w:p>
    <w:p w14:paraId="676FD574">
      <w:pPr>
        <w:widowControl/>
        <w:spacing w:line="600" w:lineRule="exact"/>
        <w:ind w:firstLine="600" w:firstLineChars="200"/>
        <w:jc w:val="left"/>
        <w:rPr>
          <w:rFonts w:ascii="仿宋_GB2312" w:hAnsi="宋体" w:eastAsia="仿宋_GB2312"/>
          <w:bCs/>
          <w:sz w:val="30"/>
          <w:szCs w:val="30"/>
        </w:rPr>
      </w:pPr>
      <w:r>
        <w:rPr>
          <w:rFonts w:hint="eastAsia" w:ascii="仿宋_GB2312" w:hAnsi="宋体" w:eastAsia="仿宋_GB2312"/>
          <w:bCs/>
          <w:sz w:val="30"/>
          <w:szCs w:val="30"/>
        </w:rPr>
        <w:t>（一）具体准确的财务数据以公司正式披露的经审计后的</w:t>
      </w:r>
      <w:r>
        <w:rPr>
          <w:rFonts w:ascii="仿宋_GB2312" w:hAnsi="宋体" w:eastAsia="仿宋_GB2312"/>
          <w:bCs/>
          <w:sz w:val="30"/>
          <w:szCs w:val="30"/>
        </w:rPr>
        <w:t xml:space="preserve">XXXX 年年报为准，敬请广大投资者注意投资风险。 </w:t>
      </w:r>
    </w:p>
    <w:p w14:paraId="7695F548">
      <w:pPr>
        <w:adjustRightInd w:val="0"/>
        <w:snapToGrid w:val="0"/>
        <w:spacing w:line="600" w:lineRule="exact"/>
        <w:ind w:firstLine="600" w:firstLineChars="200"/>
        <w:rPr>
          <w:rFonts w:ascii="仿宋_GB2312" w:hAnsi="宋体" w:eastAsia="仿宋_GB2312"/>
          <w:bCs/>
          <w:sz w:val="30"/>
          <w:szCs w:val="30"/>
        </w:rPr>
      </w:pPr>
      <w:r>
        <w:rPr>
          <w:rFonts w:hint="eastAsia" w:ascii="仿宋_GB2312" w:hAnsi="宋体" w:eastAsia="仿宋_GB2312"/>
          <w:bCs/>
          <w:sz w:val="30"/>
          <w:szCs w:val="30"/>
        </w:rPr>
        <w:t>（二）本次业绩预告更正的有关决策程序（如适用）。</w:t>
      </w:r>
    </w:p>
    <w:p w14:paraId="437FE2DB">
      <w:pPr>
        <w:adjustRightInd w:val="0"/>
        <w:snapToGrid w:val="0"/>
        <w:spacing w:line="600" w:lineRule="exact"/>
        <w:ind w:firstLine="600" w:firstLineChars="200"/>
        <w:rPr>
          <w:rFonts w:ascii="仿宋_GB2312" w:hAnsi="宋体" w:eastAsia="仿宋_GB2312"/>
          <w:bCs/>
          <w:sz w:val="30"/>
          <w:szCs w:val="30"/>
        </w:rPr>
      </w:pPr>
      <w:r>
        <w:rPr>
          <w:rFonts w:hint="eastAsia" w:ascii="仿宋_GB2312" w:hAnsi="宋体" w:eastAsia="仿宋_GB2312"/>
          <w:bCs/>
          <w:sz w:val="30"/>
          <w:szCs w:val="30"/>
        </w:rPr>
        <w:t>（三）关于公司股票可能被实施或撤销风险警示，以及终止上市的说明（如适用）。</w:t>
      </w:r>
    </w:p>
    <w:p w14:paraId="3397E864">
      <w:pPr>
        <w:widowControl/>
        <w:spacing w:line="600" w:lineRule="exact"/>
        <w:ind w:firstLine="480" w:firstLineChars="200"/>
        <w:jc w:val="left"/>
        <w:rPr>
          <w:rFonts w:ascii="宋体" w:hAnsi="宋体"/>
          <w:sz w:val="24"/>
        </w:rPr>
      </w:pPr>
    </w:p>
    <w:p w14:paraId="49687616">
      <w:pPr>
        <w:widowControl/>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六、董事会致歉说明和对相关责任人的认定情况</w:t>
      </w:r>
    </w:p>
    <w:p w14:paraId="15C86F21">
      <w:pPr>
        <w:adjustRightInd w:val="0"/>
        <w:snapToGrid w:val="0"/>
        <w:spacing w:line="600" w:lineRule="exact"/>
        <w:ind w:firstLine="480" w:firstLineChars="200"/>
        <w:rPr>
          <w:rFonts w:ascii="宋体" w:hAnsi="宋体"/>
          <w:sz w:val="24"/>
        </w:rPr>
      </w:pPr>
    </w:p>
    <w:p w14:paraId="3BE0FE58">
      <w:pPr>
        <w:widowControl/>
        <w:spacing w:line="600" w:lineRule="exact"/>
        <w:ind w:firstLine="600" w:firstLineChars="200"/>
        <w:jc w:val="left"/>
        <w:rPr>
          <w:rFonts w:ascii="宋体" w:hAnsi="宋体"/>
          <w:sz w:val="24"/>
        </w:rPr>
      </w:pPr>
      <w:r>
        <w:rPr>
          <w:rFonts w:hint="eastAsia" w:ascii="仿宋_GB2312" w:hAnsi="宋体" w:eastAsia="仿宋_GB2312"/>
          <w:bCs/>
          <w:sz w:val="30"/>
          <w:szCs w:val="30"/>
        </w:rPr>
        <w:t>特此公告。</w:t>
      </w:r>
      <w:r>
        <w:rPr>
          <w:rFonts w:ascii="宋体" w:hAnsi="宋体"/>
          <w:sz w:val="24"/>
        </w:rPr>
        <w:t xml:space="preserve"> </w:t>
      </w:r>
    </w:p>
    <w:p w14:paraId="3362E38F">
      <w:pPr>
        <w:adjustRightInd w:val="0"/>
        <w:snapToGrid w:val="0"/>
        <w:spacing w:line="600" w:lineRule="exact"/>
        <w:ind w:firstLine="600" w:firstLineChars="200"/>
        <w:jc w:val="right"/>
        <w:rPr>
          <w:rFonts w:ascii="仿宋_GB2312" w:hAnsi="宋体" w:eastAsia="仿宋_GB2312"/>
          <w:sz w:val="30"/>
          <w:szCs w:val="30"/>
        </w:rPr>
      </w:pPr>
      <w:r>
        <w:rPr>
          <w:rFonts w:ascii="仿宋_GB2312" w:hAnsi="宋体" w:eastAsia="仿宋_GB2312"/>
          <w:sz w:val="30"/>
          <w:szCs w:val="30"/>
        </w:rPr>
        <w:t xml:space="preserve">XXXX股份有限公司董事会 </w:t>
      </w:r>
    </w:p>
    <w:p w14:paraId="4A348379">
      <w:pPr>
        <w:adjustRightInd w:val="0"/>
        <w:snapToGrid w:val="0"/>
        <w:spacing w:line="600" w:lineRule="exact"/>
        <w:ind w:firstLine="600" w:firstLineChars="200"/>
        <w:jc w:val="right"/>
        <w:rPr>
          <w:rFonts w:ascii="仿宋_GB2312" w:hAnsi="宋体" w:eastAsia="仿宋_GB2312"/>
          <w:sz w:val="30"/>
          <w:szCs w:val="30"/>
        </w:rPr>
      </w:pPr>
      <w:r>
        <w:rPr>
          <w:rFonts w:hint="eastAsia" w:ascii="仿宋_GB2312" w:hAnsi="宋体" w:eastAsia="仿宋_GB2312"/>
          <w:sz w:val="30"/>
          <w:szCs w:val="30"/>
        </w:rPr>
        <w:t>年</w:t>
      </w:r>
      <w:r>
        <w:rPr>
          <w:rFonts w:ascii="仿宋_GB2312" w:hAnsi="宋体" w:eastAsia="仿宋_GB2312"/>
          <w:sz w:val="30"/>
          <w:szCs w:val="30"/>
        </w:rPr>
        <w:t xml:space="preserve">  </w:t>
      </w:r>
      <w:r>
        <w:rPr>
          <w:rFonts w:hint="eastAsia" w:ascii="仿宋_GB2312" w:hAnsi="宋体" w:eastAsia="仿宋_GB2312"/>
          <w:sz w:val="30"/>
          <w:szCs w:val="30"/>
        </w:rPr>
        <w:t>月</w:t>
      </w:r>
      <w:r>
        <w:rPr>
          <w:rFonts w:ascii="仿宋_GB2312" w:hAnsi="宋体" w:eastAsia="仿宋_GB2312"/>
          <w:sz w:val="30"/>
          <w:szCs w:val="30"/>
        </w:rPr>
        <w:t xml:space="preserve">  </w:t>
      </w:r>
      <w:r>
        <w:rPr>
          <w:rFonts w:hint="eastAsia" w:ascii="仿宋_GB2312" w:hAnsi="宋体" w:eastAsia="仿宋_GB2312"/>
          <w:sz w:val="30"/>
          <w:szCs w:val="30"/>
        </w:rPr>
        <w:t>日</w:t>
      </w:r>
    </w:p>
    <w:p w14:paraId="34830296">
      <w:pPr>
        <w:adjustRightInd w:val="0"/>
        <w:snapToGrid w:val="0"/>
        <w:spacing w:line="600" w:lineRule="exact"/>
        <w:ind w:firstLine="600" w:firstLineChars="200"/>
        <w:jc w:val="right"/>
        <w:rPr>
          <w:rFonts w:ascii="仿宋_GB2312" w:hAnsi="宋体" w:eastAsia="仿宋_GB2312"/>
          <w:sz w:val="30"/>
          <w:szCs w:val="30"/>
        </w:rPr>
      </w:pPr>
    </w:p>
    <w:p w14:paraId="5990E665">
      <w:pPr>
        <w:pStyle w:val="10"/>
        <w:numPr>
          <w:ilvl w:val="0"/>
          <w:numId w:val="2"/>
        </w:numPr>
        <w:spacing w:line="600" w:lineRule="exact"/>
        <w:ind w:left="0" w:firstLine="602"/>
        <w:rPr>
          <w:rFonts w:ascii="仿宋_GB2312" w:hAnsi="宋体" w:eastAsia="仿宋_GB2312"/>
          <w:b/>
          <w:color w:val="000000"/>
          <w:kern w:val="0"/>
          <w:sz w:val="30"/>
          <w:szCs w:val="30"/>
        </w:rPr>
      </w:pPr>
      <w:r>
        <w:rPr>
          <w:rFonts w:hint="eastAsia" w:ascii="仿宋_GB2312" w:hAnsi="宋体" w:eastAsia="仿宋_GB2312"/>
          <w:b/>
          <w:color w:val="000000"/>
          <w:kern w:val="0"/>
          <w:sz w:val="30"/>
          <w:szCs w:val="30"/>
        </w:rPr>
        <w:t>报备文件</w:t>
      </w:r>
    </w:p>
    <w:p w14:paraId="7B61B8BE">
      <w:pPr>
        <w:widowControl/>
        <w:spacing w:line="600" w:lineRule="exact"/>
        <w:ind w:firstLine="600" w:firstLineChars="200"/>
        <w:jc w:val="left"/>
        <w:rPr>
          <w:rFonts w:ascii="仿宋_GB2312" w:hAnsi="宋体" w:eastAsia="仿宋_GB2312"/>
          <w:bCs/>
          <w:sz w:val="30"/>
          <w:szCs w:val="30"/>
        </w:rPr>
      </w:pPr>
      <w:r>
        <w:rPr>
          <w:rFonts w:hint="eastAsia" w:ascii="仿宋_GB2312" w:hAnsi="宋体" w:eastAsia="仿宋_GB2312"/>
          <w:bCs/>
          <w:sz w:val="30"/>
          <w:szCs w:val="30"/>
        </w:rPr>
        <w:t>（一）董事长、总经理、财务负责人及董事会秘书关于本期业绩预告</w:t>
      </w:r>
      <w:r>
        <w:rPr>
          <w:rFonts w:ascii="Times New Roman" w:hAnsi="Times New Roman" w:eastAsia="仿宋_GB2312"/>
          <w:color w:val="000000"/>
          <w:kern w:val="0"/>
          <w:sz w:val="30"/>
          <w:szCs w:val="30"/>
        </w:rPr>
        <w:t>更正公告</w:t>
      </w:r>
      <w:r>
        <w:rPr>
          <w:rFonts w:hint="eastAsia" w:ascii="仿宋_GB2312" w:hAnsi="宋体" w:eastAsia="仿宋_GB2312"/>
          <w:bCs/>
          <w:sz w:val="30"/>
          <w:szCs w:val="30"/>
        </w:rPr>
        <w:t>的情况说明</w:t>
      </w:r>
    </w:p>
    <w:p w14:paraId="0205A04F">
      <w:pPr>
        <w:widowControl/>
        <w:spacing w:line="600" w:lineRule="exact"/>
        <w:ind w:firstLine="600" w:firstLineChars="200"/>
        <w:jc w:val="left"/>
        <w:rPr>
          <w:rFonts w:ascii="仿宋_GB2312" w:hAnsi="宋体" w:eastAsia="仿宋_GB2312"/>
          <w:bCs/>
          <w:sz w:val="30"/>
          <w:szCs w:val="30"/>
        </w:rPr>
      </w:pPr>
      <w:r>
        <w:rPr>
          <w:rFonts w:hint="eastAsia" w:ascii="仿宋_GB2312" w:hAnsi="宋体" w:eastAsia="仿宋_GB2312"/>
          <w:bCs/>
          <w:sz w:val="30"/>
          <w:szCs w:val="30"/>
        </w:rPr>
        <w:t>（</w:t>
      </w:r>
      <w:r>
        <w:rPr>
          <w:rFonts w:hint="eastAsia" w:ascii="仿宋_GB2312" w:hAnsi="宋体" w:eastAsia="仿宋_GB2312"/>
          <w:bCs/>
          <w:sz w:val="30"/>
          <w:szCs w:val="30"/>
          <w:lang w:eastAsia="zh-CN"/>
        </w:rPr>
        <w:t>二</w:t>
      </w:r>
      <w:r>
        <w:rPr>
          <w:rFonts w:hint="eastAsia" w:ascii="仿宋_GB2312" w:hAnsi="宋体" w:eastAsia="仿宋_GB2312"/>
          <w:bCs/>
          <w:sz w:val="30"/>
          <w:szCs w:val="30"/>
        </w:rPr>
        <w:t>）注册会计师对公司本</w:t>
      </w:r>
      <w:bookmarkStart w:id="0" w:name="_GoBack"/>
      <w:bookmarkEnd w:id="0"/>
      <w:r>
        <w:rPr>
          <w:rFonts w:hint="eastAsia" w:ascii="仿宋_GB2312" w:hAnsi="宋体" w:eastAsia="仿宋_GB2312"/>
          <w:bCs/>
          <w:sz w:val="30"/>
          <w:szCs w:val="30"/>
        </w:rPr>
        <w:t>期业绩预告</w:t>
      </w:r>
      <w:r>
        <w:rPr>
          <w:rFonts w:ascii="Times New Roman" w:hAnsi="Times New Roman" w:eastAsia="仿宋_GB2312"/>
          <w:color w:val="000000"/>
          <w:kern w:val="0"/>
          <w:sz w:val="30"/>
          <w:szCs w:val="30"/>
        </w:rPr>
        <w:t>更正公告</w:t>
      </w:r>
      <w:r>
        <w:rPr>
          <w:rFonts w:hint="eastAsia" w:ascii="仿宋_GB2312" w:hAnsi="宋体" w:eastAsia="仿宋_GB2312"/>
          <w:bCs/>
          <w:sz w:val="30"/>
          <w:szCs w:val="30"/>
        </w:rPr>
        <w:t>是否适当和审慎的专项说明（如适用）</w:t>
      </w:r>
    </w:p>
    <w:p w14:paraId="3027D662">
      <w:pPr>
        <w:widowControl/>
        <w:spacing w:line="600" w:lineRule="exact"/>
        <w:ind w:firstLine="480" w:firstLineChars="200"/>
        <w:jc w:val="left"/>
        <w:rPr>
          <w:rFonts w:ascii="宋体" w:hAnsi="宋体"/>
          <w:sz w:val="24"/>
        </w:rPr>
      </w:pPr>
    </w:p>
    <w:p w14:paraId="07A06AAF">
      <w:pPr>
        <w:pStyle w:val="10"/>
        <w:numPr>
          <w:ilvl w:val="0"/>
          <w:numId w:val="2"/>
        </w:numPr>
        <w:spacing w:line="600" w:lineRule="exact"/>
        <w:ind w:left="0" w:firstLine="602"/>
        <w:rPr>
          <w:rFonts w:ascii="仿宋_GB2312" w:hAnsi="宋体" w:eastAsia="仿宋_GB2312"/>
          <w:b/>
          <w:color w:val="000000"/>
          <w:kern w:val="0"/>
          <w:sz w:val="30"/>
          <w:szCs w:val="30"/>
        </w:rPr>
      </w:pPr>
      <w:r>
        <w:rPr>
          <w:rFonts w:hint="eastAsia" w:ascii="仿宋_GB2312" w:hAnsi="宋体" w:eastAsia="仿宋_GB2312"/>
          <w:b/>
          <w:color w:val="000000"/>
          <w:kern w:val="0"/>
          <w:sz w:val="30"/>
          <w:szCs w:val="30"/>
        </w:rPr>
        <w:t>注意事项</w:t>
      </w:r>
    </w:p>
    <w:p w14:paraId="2C3D9F97">
      <w:pPr>
        <w:widowControl/>
        <w:spacing w:line="600" w:lineRule="exact"/>
        <w:ind w:firstLine="600" w:firstLineChars="200"/>
        <w:jc w:val="left"/>
      </w:pPr>
      <w:r>
        <w:rPr>
          <w:rFonts w:hint="eastAsia" w:ascii="仿宋_GB2312" w:hAnsi="宋体" w:eastAsia="仿宋_GB2312"/>
          <w:bCs/>
          <w:sz w:val="30"/>
          <w:szCs w:val="30"/>
        </w:rPr>
        <w:t>如有董事明确提出对本公告有关内容持反对或保留意见的，应在特别提示中简单说明相关情况，并在公告的“其他说明事项”里予以详细说明。</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501251"/>
    </w:sdtPr>
    <w:sdtContent>
      <w:p w14:paraId="65FD6BD5">
        <w:pPr>
          <w:pStyle w:val="5"/>
          <w:jc w:val="center"/>
        </w:pPr>
        <w:r>
          <w:fldChar w:fldCharType="begin"/>
        </w:r>
        <w:r>
          <w:instrText xml:space="preserve"> PAGE   \* MERGEFORMAT </w:instrText>
        </w:r>
        <w:r>
          <w:fldChar w:fldCharType="separate"/>
        </w:r>
        <w:r>
          <w:rPr>
            <w:lang w:val="zh-CN"/>
          </w:rPr>
          <w:t>5</w:t>
        </w:r>
        <w:r>
          <w:fldChar w:fldCharType="end"/>
        </w:r>
      </w:p>
    </w:sdtContent>
  </w:sdt>
  <w:p w14:paraId="5CDF816C">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FAA1F6"/>
    <w:multiLevelType w:val="singleLevel"/>
    <w:tmpl w:val="14FAA1F6"/>
    <w:lvl w:ilvl="0" w:tentative="0">
      <w:start w:val="3"/>
      <w:numFmt w:val="decimal"/>
      <w:suff w:val="nothing"/>
      <w:lvlText w:val="（%1）"/>
      <w:lvlJc w:val="left"/>
    </w:lvl>
  </w:abstractNum>
  <w:abstractNum w:abstractNumId="1">
    <w:nsid w:val="345731D6"/>
    <w:multiLevelType w:val="multilevel"/>
    <w:tmpl w:val="345731D6"/>
    <w:lvl w:ilvl="0" w:tentative="0">
      <w:start w:val="1"/>
      <w:numFmt w:val="bullet"/>
      <w:lvlText w:val=""/>
      <w:lvlJc w:val="left"/>
      <w:pPr>
        <w:tabs>
          <w:tab w:val="left" w:pos="420"/>
        </w:tabs>
        <w:ind w:left="420" w:hanging="420"/>
      </w:pPr>
      <w:rPr>
        <w:rFonts w:hint="default" w:ascii="Wingdings" w:hAnsi="Wingdings"/>
      </w:rPr>
    </w:lvl>
    <w:lvl w:ilvl="1" w:tentative="0">
      <w:start w:val="1"/>
      <w:numFmt w:val="japaneseCounting"/>
      <w:lvlText w:val="（%2）"/>
      <w:lvlJc w:val="left"/>
      <w:pPr>
        <w:tabs>
          <w:tab w:val="left" w:pos="1855"/>
        </w:tabs>
        <w:ind w:left="1855"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BC1"/>
    <w:rsid w:val="00000700"/>
    <w:rsid w:val="000034F6"/>
    <w:rsid w:val="0001775E"/>
    <w:rsid w:val="000A3F41"/>
    <w:rsid w:val="000B1D2A"/>
    <w:rsid w:val="00103DEB"/>
    <w:rsid w:val="00106AE1"/>
    <w:rsid w:val="00121260"/>
    <w:rsid w:val="001A24D4"/>
    <w:rsid w:val="00226BC1"/>
    <w:rsid w:val="00270300"/>
    <w:rsid w:val="00271F9B"/>
    <w:rsid w:val="00286E1B"/>
    <w:rsid w:val="002B4311"/>
    <w:rsid w:val="002D16B9"/>
    <w:rsid w:val="002E456F"/>
    <w:rsid w:val="002E65C1"/>
    <w:rsid w:val="003020A9"/>
    <w:rsid w:val="0032121C"/>
    <w:rsid w:val="00361300"/>
    <w:rsid w:val="00371658"/>
    <w:rsid w:val="003A440D"/>
    <w:rsid w:val="003B6ED8"/>
    <w:rsid w:val="004042E6"/>
    <w:rsid w:val="00483FF3"/>
    <w:rsid w:val="00492199"/>
    <w:rsid w:val="004A01CE"/>
    <w:rsid w:val="004D519A"/>
    <w:rsid w:val="004E2C63"/>
    <w:rsid w:val="0050122A"/>
    <w:rsid w:val="005034DC"/>
    <w:rsid w:val="00560797"/>
    <w:rsid w:val="005B0B1D"/>
    <w:rsid w:val="005C6733"/>
    <w:rsid w:val="005D6FE1"/>
    <w:rsid w:val="005E699E"/>
    <w:rsid w:val="00647A10"/>
    <w:rsid w:val="00687EA7"/>
    <w:rsid w:val="006D7FCE"/>
    <w:rsid w:val="007360D8"/>
    <w:rsid w:val="00743B26"/>
    <w:rsid w:val="007952BA"/>
    <w:rsid w:val="007A0281"/>
    <w:rsid w:val="007D5C68"/>
    <w:rsid w:val="008320EC"/>
    <w:rsid w:val="008E38DF"/>
    <w:rsid w:val="008F49D7"/>
    <w:rsid w:val="00901C1C"/>
    <w:rsid w:val="0094220B"/>
    <w:rsid w:val="00962983"/>
    <w:rsid w:val="00975794"/>
    <w:rsid w:val="009D38F0"/>
    <w:rsid w:val="00A43FB5"/>
    <w:rsid w:val="00A87A37"/>
    <w:rsid w:val="00AC3102"/>
    <w:rsid w:val="00AD1240"/>
    <w:rsid w:val="00BC1894"/>
    <w:rsid w:val="00BC5B2E"/>
    <w:rsid w:val="00BC73ED"/>
    <w:rsid w:val="00C051C6"/>
    <w:rsid w:val="00C634A4"/>
    <w:rsid w:val="00DA608A"/>
    <w:rsid w:val="00DD71CB"/>
    <w:rsid w:val="00E825FE"/>
    <w:rsid w:val="00E869BE"/>
    <w:rsid w:val="00E93ADB"/>
    <w:rsid w:val="00EA1790"/>
    <w:rsid w:val="00EA7DC8"/>
    <w:rsid w:val="00EF0F2B"/>
    <w:rsid w:val="00F74ECF"/>
    <w:rsid w:val="00FB619B"/>
    <w:rsid w:val="00FC25E1"/>
    <w:rsid w:val="00FE7B6B"/>
    <w:rsid w:val="01120306"/>
    <w:rsid w:val="04ED23F9"/>
    <w:rsid w:val="09A4631D"/>
    <w:rsid w:val="2E691A32"/>
    <w:rsid w:val="3DA34920"/>
    <w:rsid w:val="40F54B1F"/>
    <w:rsid w:val="48AB5302"/>
    <w:rsid w:val="58826EF3"/>
    <w:rsid w:val="6BED3538"/>
    <w:rsid w:val="74547836"/>
    <w:rsid w:val="77970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1"/>
    <w:semiHidden/>
    <w:unhideWhenUsed/>
    <w:qFormat/>
    <w:uiPriority w:val="99"/>
    <w:pPr>
      <w:jc w:val="left"/>
    </w:p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annotation reference"/>
    <w:basedOn w:val="8"/>
    <w:semiHidden/>
    <w:unhideWhenUsed/>
    <w:qFormat/>
    <w:uiPriority w:val="99"/>
    <w:rPr>
      <w:sz w:val="21"/>
      <w:szCs w:val="21"/>
    </w:rPr>
  </w:style>
  <w:style w:type="paragraph" w:styleId="10">
    <w:name w:val="List Paragraph"/>
    <w:basedOn w:val="1"/>
    <w:qFormat/>
    <w:uiPriority w:val="0"/>
    <w:pPr>
      <w:ind w:firstLine="420" w:firstLineChars="200"/>
    </w:pPr>
  </w:style>
  <w:style w:type="character" w:customStyle="1" w:styleId="11">
    <w:name w:val="批注文字 字符"/>
    <w:basedOn w:val="8"/>
    <w:link w:val="3"/>
    <w:semiHidden/>
    <w:qFormat/>
    <w:uiPriority w:val="99"/>
    <w:rPr>
      <w:rFonts w:ascii="Times New Roman" w:hAnsi="Times New Roman" w:eastAsia="宋体" w:cs="Times New Roman"/>
      <w:szCs w:val="24"/>
    </w:rPr>
  </w:style>
  <w:style w:type="character" w:customStyle="1" w:styleId="12">
    <w:name w:val="页脚 字符"/>
    <w:basedOn w:val="8"/>
    <w:link w:val="5"/>
    <w:qFormat/>
    <w:uiPriority w:val="99"/>
    <w:rPr>
      <w:rFonts w:ascii="Times New Roman" w:hAnsi="Times New Roman" w:eastAsia="宋体" w:cs="Times New Roman"/>
      <w:sz w:val="18"/>
      <w:szCs w:val="18"/>
    </w:rPr>
  </w:style>
  <w:style w:type="character" w:customStyle="1" w:styleId="13">
    <w:name w:val="批注框文本 字符"/>
    <w:basedOn w:val="8"/>
    <w:link w:val="4"/>
    <w:semiHidden/>
    <w:qFormat/>
    <w:uiPriority w:val="99"/>
    <w:rPr>
      <w:rFonts w:ascii="Times New Roman" w:hAnsi="Times New Roman" w:eastAsia="宋体" w:cs="Times New Roman"/>
      <w:sz w:val="18"/>
      <w:szCs w:val="18"/>
    </w:rPr>
  </w:style>
  <w:style w:type="character" w:customStyle="1" w:styleId="14">
    <w:name w:val="标题 1 字符"/>
    <w:basedOn w:val="8"/>
    <w:link w:val="2"/>
    <w:qFormat/>
    <w:uiPriority w:val="0"/>
    <w:rPr>
      <w:rFonts w:ascii="Times New Roman" w:hAnsi="Times New Roman" w:eastAsia="宋体" w:cs="Times New Roman"/>
      <w:b/>
      <w:bCs/>
      <w:kern w:val="44"/>
      <w:sz w:val="44"/>
      <w:szCs w:val="44"/>
    </w:rPr>
  </w:style>
  <w:style w:type="character" w:customStyle="1" w:styleId="15">
    <w:name w:val="页眉 字符"/>
    <w:basedOn w:val="8"/>
    <w:link w:val="6"/>
    <w:qFormat/>
    <w:uiPriority w:val="99"/>
    <w:rPr>
      <w:rFonts w:ascii="Times New Roman" w:hAnsi="Times New Roman" w:eastAsia="宋体" w:cs="Times New Roman"/>
      <w:sz w:val="18"/>
      <w:szCs w:val="18"/>
    </w:rPr>
  </w:style>
  <w:style w:type="paragraph" w:customStyle="1" w:styleId="16">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03AF27-3015-46FB-B4C7-AA95CB78F986}">
  <ds:schemaRefs/>
</ds:datastoreItem>
</file>

<file path=docProps/app.xml><?xml version="1.0" encoding="utf-8"?>
<Properties xmlns="http://schemas.openxmlformats.org/officeDocument/2006/extended-properties" xmlns:vt="http://schemas.openxmlformats.org/officeDocument/2006/docPropsVTypes">
  <Template>Normal</Template>
  <Pages>5</Pages>
  <Words>308</Words>
  <Characters>1756</Characters>
  <Lines>14</Lines>
  <Paragraphs>4</Paragraphs>
  <TotalTime>0</TotalTime>
  <ScaleCrop>false</ScaleCrop>
  <LinksUpToDate>false</LinksUpToDate>
  <CharactersWithSpaces>2060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2019-04-09T06:23:00Z</dcterms:created>
  <dc:creator>yjqin</dc:creator>
  <cp:lastModifiedBy>yjqin</cp:lastModifiedBy>
  <dcterms:modified xsi:type="dcterms:W3CDTF">2025-08-22T02:50:45Z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C329C29EE18F4946B6E84E25D52BF484_13</vt:lpwstr>
  </property>
</Properties>
</file>