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0FC3E">
      <w:pPr>
        <w:jc w:val="center"/>
        <w:rPr>
          <w:rFonts w:ascii="黑体" w:hAnsi="黑体" w:eastAsia="黑体"/>
          <w:b/>
          <w:bCs/>
          <w:sz w:val="36"/>
          <w:szCs w:val="36"/>
        </w:rPr>
      </w:pPr>
      <w:bookmarkStart w:id="0" w:name="_Toc330904132"/>
      <w:bookmarkStart w:id="1" w:name="_Toc340839617"/>
      <w:r>
        <w:rPr>
          <w:rFonts w:hint="eastAsia" w:ascii="黑体" w:hAnsi="黑体" w:eastAsia="黑体"/>
          <w:b/>
          <w:bCs/>
          <w:sz w:val="36"/>
          <w:szCs w:val="36"/>
        </w:rPr>
        <w:t>第一号 上市公司购买、出售资产公告</w:t>
      </w:r>
      <w:bookmarkEnd w:id="0"/>
      <w:bookmarkEnd w:id="1"/>
    </w:p>
    <w:p w14:paraId="1AFCF10B">
      <w:pPr>
        <w:widowControl/>
        <w:adjustRightInd w:val="0"/>
        <w:snapToGrid w:val="0"/>
        <w:spacing w:line="560" w:lineRule="exact"/>
        <w:ind w:firstLine="602" w:firstLineChars="200"/>
        <w:rPr>
          <w:rFonts w:ascii="仿宋_GB2312" w:eastAsia="仿宋_GB2312"/>
          <w:b/>
          <w:bCs/>
          <w:sz w:val="30"/>
          <w:szCs w:val="30"/>
        </w:rPr>
      </w:pPr>
    </w:p>
    <w:p w14:paraId="4E4FFB83">
      <w:pPr>
        <w:widowControl/>
        <w:adjustRightInd w:val="0"/>
        <w:snapToGrid w:val="0"/>
        <w:spacing w:line="560" w:lineRule="exact"/>
        <w:rPr>
          <w:rFonts w:ascii="仿宋_GB2312" w:eastAsia="仿宋_GB2312"/>
          <w:b/>
          <w:bCs/>
          <w:sz w:val="30"/>
          <w:szCs w:val="30"/>
        </w:rPr>
      </w:pPr>
      <w:r>
        <w:rPr>
          <w:rFonts w:hint="eastAsia" w:ascii="仿宋_GB2312" w:eastAsia="仿宋_GB2312"/>
          <w:b/>
          <w:bCs/>
          <w:sz w:val="30"/>
          <w:szCs w:val="30"/>
        </w:rPr>
        <w:t>适用情形：</w:t>
      </w:r>
    </w:p>
    <w:p w14:paraId="0E0CF0AF">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w:t>
      </w:r>
      <w:r>
        <w:rPr>
          <w:rFonts w:ascii="仿宋_GB2312" w:eastAsia="仿宋_GB2312"/>
          <w:color w:val="000000"/>
          <w:sz w:val="30"/>
          <w:szCs w:val="30"/>
        </w:rPr>
        <w:t>.</w:t>
      </w:r>
      <w:r>
        <w:rPr>
          <w:rFonts w:hint="eastAsia" w:ascii="仿宋_GB2312" w:eastAsia="仿宋_GB2312"/>
          <w:sz w:val="30"/>
          <w:szCs w:val="30"/>
        </w:rPr>
        <w:t>本公告格式适用于达到《股票上市规则》规定的购买、出售资产标准，但未达到重大资产重组标准的交易事项。</w:t>
      </w:r>
    </w:p>
    <w:p w14:paraId="3CEB3B7C">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w:t>
      </w:r>
      <w:r>
        <w:rPr>
          <w:rFonts w:ascii="仿宋_GB2312" w:eastAsia="仿宋_GB2312"/>
          <w:color w:val="000000"/>
          <w:sz w:val="30"/>
          <w:szCs w:val="30"/>
        </w:rPr>
        <w:t>.</w:t>
      </w:r>
      <w:r>
        <w:rPr>
          <w:rFonts w:hint="eastAsia" w:ascii="仿宋_GB2312" w:eastAsia="仿宋_GB2312"/>
          <w:sz w:val="30"/>
          <w:szCs w:val="30"/>
        </w:rPr>
        <w:t>上市公司发生放弃权利交易</w:t>
      </w:r>
      <w:bookmarkStart w:id="2" w:name="_GoBack"/>
      <w:r>
        <w:rPr>
          <w:rFonts w:hint="eastAsia" w:ascii="仿宋_GB2312" w:eastAsia="仿宋_GB2312"/>
          <w:sz w:val="30"/>
          <w:szCs w:val="30"/>
        </w:rPr>
        <w:t>对</w:t>
      </w:r>
      <w:bookmarkEnd w:id="2"/>
      <w:r>
        <w:rPr>
          <w:rFonts w:hint="eastAsia" w:ascii="仿宋_GB2312" w:eastAsia="仿宋_GB2312"/>
          <w:sz w:val="30"/>
          <w:szCs w:val="30"/>
        </w:rPr>
        <w:t>应的交易金额达到《股票上市规则》等规定的标准，参照本公告格式履行信息披露义务。</w:t>
      </w:r>
    </w:p>
    <w:p w14:paraId="0586F6A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w:t>
      </w:r>
      <w:r>
        <w:rPr>
          <w:rFonts w:ascii="仿宋_GB2312" w:eastAsia="仿宋_GB2312"/>
          <w:color w:val="000000"/>
          <w:sz w:val="30"/>
          <w:szCs w:val="30"/>
        </w:rPr>
        <w:t>.</w:t>
      </w:r>
      <w:r>
        <w:rPr>
          <w:rFonts w:hint="eastAsia" w:ascii="仿宋_GB2312" w:eastAsia="仿宋_GB2312"/>
          <w:sz w:val="30"/>
          <w:szCs w:val="30"/>
        </w:rPr>
        <w:t>上市公司发生债权债务重组事项，达到《股票上市规则》规定标准的，适用本公告格式。</w:t>
      </w:r>
    </w:p>
    <w:p w14:paraId="29741291">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w:t>
      </w:r>
      <w:r>
        <w:rPr>
          <w:rFonts w:ascii="仿宋_GB2312" w:eastAsia="仿宋_GB2312"/>
          <w:color w:val="000000"/>
          <w:sz w:val="30"/>
          <w:szCs w:val="30"/>
        </w:rPr>
        <w:t>.</w:t>
      </w:r>
      <w:r>
        <w:rPr>
          <w:rFonts w:hint="eastAsia" w:ascii="仿宋_GB2312" w:eastAsia="仿宋_GB2312"/>
          <w:sz w:val="30"/>
          <w:szCs w:val="30"/>
        </w:rPr>
        <w:t>如购买、出售资产构成《股票上市规则》规定的关联交易，上市公司按照《股票上市规则》有关关联交易的规定和上市公司关联交易相关公告格式的要求履行信息披露义务。</w:t>
      </w:r>
    </w:p>
    <w:p w14:paraId="2C72753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5.上市公司披露《股票上市规则》规定的日常交易的，参照本公告格式披露交易对方情况介绍、交易标的基本情况、交易合同或协议的主要内容及履约安排，并就上市公司影响、履约风险进行说明。</w:t>
      </w:r>
    </w:p>
    <w:p w14:paraId="4FC0DE37">
      <w:pPr>
        <w:widowControl/>
        <w:adjustRightInd w:val="0"/>
        <w:snapToGrid w:val="0"/>
        <w:spacing w:line="560" w:lineRule="exact"/>
        <w:ind w:firstLine="600" w:firstLineChars="200"/>
        <w:rPr>
          <w:rFonts w:ascii="仿宋_GB2312" w:eastAsia="仿宋_GB2312"/>
          <w:sz w:val="30"/>
          <w:szCs w:val="30"/>
        </w:rPr>
      </w:pPr>
    </w:p>
    <w:p w14:paraId="19E5E6D0">
      <w:pPr>
        <w:widowControl/>
        <w:adjustRightInd w:val="0"/>
        <w:snapToGrid w:val="0"/>
        <w:spacing w:line="560" w:lineRule="exact"/>
        <w:rPr>
          <w:rFonts w:ascii="仿宋_GB2312" w:eastAsia="仿宋_GB2312"/>
          <w:sz w:val="30"/>
          <w:szCs w:val="30"/>
        </w:rPr>
      </w:pPr>
      <w:r>
        <w:rPr>
          <w:rFonts w:hint="eastAsia" w:ascii="仿宋_GB2312" w:eastAsia="仿宋_GB2312"/>
          <w:sz w:val="30"/>
          <w:szCs w:val="30"/>
        </w:rPr>
        <w:t>证券代码：             证券简称：            公告编号：</w:t>
      </w:r>
    </w:p>
    <w:p w14:paraId="660AFE50">
      <w:pPr>
        <w:widowControl/>
        <w:adjustRightInd w:val="0"/>
        <w:snapToGrid w:val="0"/>
        <w:spacing w:line="560" w:lineRule="exact"/>
        <w:ind w:firstLine="600" w:firstLineChars="200"/>
        <w:rPr>
          <w:rFonts w:ascii="仿宋_GB2312" w:eastAsia="仿宋_GB2312"/>
          <w:sz w:val="30"/>
          <w:szCs w:val="30"/>
        </w:rPr>
      </w:pPr>
    </w:p>
    <w:p w14:paraId="12D10B46">
      <w:pPr>
        <w:widowControl/>
        <w:adjustRightInd w:val="0"/>
        <w:snapToGrid w:val="0"/>
        <w:spacing w:line="560" w:lineRule="exact"/>
        <w:jc w:val="center"/>
        <w:rPr>
          <w:rFonts w:ascii="仿宋_GB2312" w:eastAsia="仿宋_GB2312"/>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eastAsia="仿宋_GB2312"/>
          <w:sz w:val="30"/>
          <w:szCs w:val="30"/>
        </w:rPr>
        <w:t>股份有限公司购买、出售资产公告</w:t>
      </w:r>
    </w:p>
    <w:p w14:paraId="7A2A9575">
      <w:pPr>
        <w:widowControl/>
        <w:adjustRightInd w:val="0"/>
        <w:snapToGrid w:val="0"/>
        <w:spacing w:line="560" w:lineRule="exact"/>
        <w:ind w:firstLine="600" w:firstLineChars="200"/>
        <w:rPr>
          <w:rFonts w:ascii="仿宋_GB2312" w:eastAsia="仿宋_GB2312"/>
          <w:sz w:val="30"/>
          <w:szCs w:val="30"/>
        </w:rPr>
      </w:pPr>
    </w:p>
    <w:p w14:paraId="511F1BF9">
      <w:pPr>
        <w:pBdr>
          <w:top w:val="single" w:color="auto" w:sz="4" w:space="1"/>
          <w:left w:val="single" w:color="auto" w:sz="4" w:space="4"/>
          <w:bottom w:val="single" w:color="auto" w:sz="4" w:space="1"/>
          <w:right w:val="single" w:color="auto" w:sz="4" w:space="4"/>
        </w:pBdr>
        <w:adjustRightInd w:val="0"/>
        <w:snapToGrid w:val="0"/>
        <w:spacing w:line="560" w:lineRule="exact"/>
        <w:rPr>
          <w:rFonts w:ascii="仿宋_GB2312" w:eastAsia="仿宋_GB2312"/>
          <w:sz w:val="30"/>
          <w:szCs w:val="30"/>
        </w:rPr>
      </w:pPr>
      <w:r>
        <w:rPr>
          <w:rFonts w:hint="eastAsia" w:ascii="宋体" w:hAnsi="宋体"/>
          <w:color w:val="000000"/>
          <w:sz w:val="24"/>
        </w:rPr>
        <w:t xml:space="preserve">    </w:t>
      </w:r>
      <w:r>
        <w:rPr>
          <w:rFonts w:hint="eastAsia" w:ascii="仿宋_GB2312" w:eastAsia="仿宋_GB2312"/>
          <w:sz w:val="30"/>
          <w:szCs w:val="30"/>
        </w:rPr>
        <w:t>本公司董事会及全体董事保证本公告内容不存在任何虚假记载、误导性陈述或者重大遗漏，并对其内容的真实性、准确性和完整性承担法律责任。</w:t>
      </w:r>
    </w:p>
    <w:p w14:paraId="75BCA563">
      <w:pPr>
        <w:pBdr>
          <w:top w:val="single" w:color="auto" w:sz="4" w:space="1"/>
          <w:left w:val="single" w:color="auto" w:sz="4" w:space="4"/>
          <w:bottom w:val="single" w:color="auto" w:sz="4" w:space="1"/>
          <w:right w:val="single" w:color="auto" w:sz="4" w:space="4"/>
        </w:pBdr>
        <w:adjustRightInd w:val="0"/>
        <w:snapToGrid w:val="0"/>
        <w:spacing w:line="560" w:lineRule="exact"/>
        <w:rPr>
          <w:rFonts w:ascii="仿宋_GB2312" w:eastAsia="仿宋_GB2312"/>
          <w:sz w:val="30"/>
          <w:szCs w:val="30"/>
        </w:rPr>
      </w:pPr>
      <w:r>
        <w:rPr>
          <w:rFonts w:hint="eastAsia" w:ascii="仿宋_GB2312" w:eastAsia="仿宋_GB2312"/>
          <w:sz w:val="30"/>
          <w:szCs w:val="30"/>
        </w:rPr>
        <w:t xml:space="preserve">    如有董事对临时公告内容的真实性、准确性和完整性无法保证或存在异议的，公司</w:t>
      </w:r>
      <w:r>
        <w:rPr>
          <w:rFonts w:ascii="仿宋_GB2312" w:eastAsia="仿宋_GB2312"/>
          <w:sz w:val="30"/>
          <w:szCs w:val="30"/>
        </w:rPr>
        <w:t>应当</w:t>
      </w:r>
      <w:r>
        <w:rPr>
          <w:rFonts w:hint="eastAsia" w:ascii="仿宋_GB2312" w:eastAsia="仿宋_GB2312"/>
          <w:sz w:val="30"/>
          <w:szCs w:val="30"/>
        </w:rPr>
        <w:t>在公告中作特别提示。</w:t>
      </w:r>
    </w:p>
    <w:p w14:paraId="0E449ED6">
      <w:pPr>
        <w:adjustRightInd w:val="0"/>
        <w:snapToGrid w:val="0"/>
        <w:spacing w:line="560" w:lineRule="exact"/>
        <w:rPr>
          <w:rFonts w:ascii="仿宋_GB2312" w:eastAsia="仿宋_GB2312"/>
          <w:b/>
          <w:bCs/>
          <w:sz w:val="30"/>
          <w:szCs w:val="30"/>
        </w:rPr>
      </w:pPr>
    </w:p>
    <w:p w14:paraId="2D1CD511">
      <w:pPr>
        <w:adjustRightInd w:val="0"/>
        <w:snapToGrid w:val="0"/>
        <w:spacing w:line="560" w:lineRule="exact"/>
        <w:ind w:firstLine="420"/>
        <w:rPr>
          <w:rFonts w:ascii="仿宋_GB2312" w:eastAsia="仿宋_GB2312"/>
          <w:b/>
          <w:bCs/>
          <w:sz w:val="30"/>
          <w:szCs w:val="30"/>
        </w:rPr>
      </w:pPr>
      <w:r>
        <w:rPr>
          <w:rFonts w:hint="eastAsia" w:ascii="仿宋_GB2312" w:eastAsia="仿宋_GB2312"/>
          <w:b/>
          <w:bCs/>
          <w:sz w:val="30"/>
          <w:szCs w:val="30"/>
        </w:rPr>
        <w:t>重要内容提示：</w:t>
      </w:r>
    </w:p>
    <w:p w14:paraId="3A0493C9">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rPr>
        <w:t>交易简要内容（交易标的名称、交易事项、交易各方当事人名称、交易金额等）</w:t>
      </w:r>
    </w:p>
    <w:p w14:paraId="425C9E35">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rPr>
        <w:t>本次交易不构成关联交易</w:t>
      </w:r>
    </w:p>
    <w:p w14:paraId="5113432F">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rPr>
        <w:t>本次交易不构成重大资产重组</w:t>
      </w:r>
    </w:p>
    <w:p w14:paraId="35AB48D5">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rPr>
        <w:t>交易实施尚需履行的审批及其他相关程序</w:t>
      </w:r>
    </w:p>
    <w:p w14:paraId="2D94BDC4">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rPr>
        <w:t>其它需要提醒投资者重点关注的风险事项</w:t>
      </w:r>
    </w:p>
    <w:p w14:paraId="686826A8">
      <w:pPr>
        <w:adjustRightInd w:val="0"/>
        <w:snapToGrid w:val="0"/>
        <w:spacing w:line="560" w:lineRule="exact"/>
        <w:ind w:left="902"/>
        <w:rPr>
          <w:rFonts w:ascii="仿宋_GB2312" w:eastAsia="仿宋_GB2312"/>
          <w:sz w:val="30"/>
          <w:szCs w:val="30"/>
        </w:rPr>
      </w:pPr>
    </w:p>
    <w:p w14:paraId="46CCAA9E">
      <w:pPr>
        <w:widowControl/>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一、交易概述</w:t>
      </w:r>
    </w:p>
    <w:p w14:paraId="29DC81F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简要介绍本次交易的基本情况，例如交易各方当事人名称、交易标的名称（股权类资产的，说明股权比例）、交易事项（购买或出售、债权债务转移）、交易价格及与账面值相比的溢价情况、购买资产的资金来源（是否属于募集资金）、协议签署日期（如适用）等。</w:t>
      </w:r>
    </w:p>
    <w:p w14:paraId="52F88667">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（二）本次资产交易的目的和原因；</w:t>
      </w:r>
    </w:p>
    <w:p w14:paraId="0291B249">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（三）简要说明公司董事会审议本次交易相关议案的表决情况；</w:t>
      </w:r>
    </w:p>
    <w:p w14:paraId="158A302A">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（四）交易生效尚需履行的审批及其他程序（如是否需经过股东会或有关部门批准、是否需征得债权人同意、是否需征得其他第三方同意等）以及公司履行程序的情况。</w:t>
      </w:r>
    </w:p>
    <w:p w14:paraId="3EB4E8A8">
      <w:pPr>
        <w:widowControl/>
        <w:adjustRightInd w:val="0"/>
        <w:snapToGrid w:val="0"/>
        <w:spacing w:line="560" w:lineRule="exact"/>
        <w:ind w:firstLine="602" w:firstLineChars="200"/>
        <w:rPr>
          <w:rFonts w:ascii="黑体" w:hAnsi="黑体" w:eastAsia="黑体"/>
          <w:b/>
          <w:sz w:val="30"/>
          <w:szCs w:val="30"/>
        </w:rPr>
      </w:pPr>
    </w:p>
    <w:p w14:paraId="68473568">
      <w:pPr>
        <w:widowControl/>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二、 交易对方情况介绍</w:t>
      </w:r>
    </w:p>
    <w:p w14:paraId="4CA4BB89">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（一）交易对方为法人或其他组织的，</w:t>
      </w:r>
      <w:r>
        <w:rPr>
          <w:rFonts w:hint="eastAsia" w:ascii="仿宋_GB2312" w:hAnsi="宋体" w:eastAsia="仿宋_GB2312"/>
          <w:color w:val="000000"/>
          <w:kern w:val="0"/>
          <w:sz w:val="30"/>
          <w:szCs w:val="30"/>
        </w:rPr>
        <w:t>说明交易对方的基本法人信息，例如</w:t>
      </w:r>
      <w:r>
        <w:rPr>
          <w:rFonts w:hint="eastAsia" w:ascii="仿宋_GB2312" w:eastAsia="仿宋_GB2312"/>
          <w:sz w:val="30"/>
          <w:szCs w:val="30"/>
        </w:rPr>
        <w:t>名称、统一社会信用代码、成立时间、注册地、主要办公地点、法定代表人、注册资本、主营业务、主要股东或实际控制人；若上市公司向其出售资产的，应当披露交易对方</w:t>
      </w:r>
      <w:r>
        <w:rPr>
          <w:rFonts w:hint="eastAsia" w:ascii="仿宋_GB2312" w:eastAsia="仿宋_GB2312"/>
          <w:color w:val="000000"/>
          <w:sz w:val="30"/>
          <w:szCs w:val="30"/>
        </w:rPr>
        <w:t>具有履约能力的证明，例如</w:t>
      </w:r>
      <w:r>
        <w:rPr>
          <w:rFonts w:hint="eastAsia" w:ascii="仿宋_GB2312" w:eastAsia="仿宋_GB2312"/>
          <w:sz w:val="30"/>
          <w:szCs w:val="30"/>
        </w:rPr>
        <w:t>最近一年又一期的主要财务数据（交易对方成立时间不足一年或是专为本次交易而设立的，披露交易对方的实际控制人或者控股方的主要财务数据）。</w:t>
      </w:r>
    </w:p>
    <w:p w14:paraId="1570C6EA">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（二）交易对方为自然人的，披露其姓名</w:t>
      </w:r>
      <w:r>
        <w:rPr>
          <w:rFonts w:hint="eastAsia" w:ascii="仿宋_GB2312" w:hAnsi="仿宋_GB2312" w:eastAsia="仿宋_GB2312" w:cs="仿宋_GB2312"/>
          <w:sz w:val="30"/>
          <w:szCs w:val="30"/>
        </w:rPr>
        <w:t>、主要</w:t>
      </w:r>
      <w:r>
        <w:rPr>
          <w:rFonts w:hint="eastAsia" w:ascii="仿宋_GB2312" w:hAnsi="Calibri" w:eastAsia="仿宋_GB2312"/>
          <w:color w:val="000000"/>
          <w:sz w:val="30"/>
          <w:szCs w:val="30"/>
        </w:rPr>
        <w:t>就职单位</w:t>
      </w:r>
      <w:r>
        <w:rPr>
          <w:rFonts w:hint="eastAsia" w:ascii="仿宋_GB2312" w:eastAsia="仿宋_GB2312"/>
          <w:sz w:val="30"/>
          <w:szCs w:val="30"/>
        </w:rPr>
        <w:t>等基本情况</w:t>
      </w:r>
      <w:r>
        <w:rPr>
          <w:rFonts w:hint="eastAsia" w:ascii="仿宋_GB2312" w:eastAsia="仿宋_GB2312"/>
          <w:color w:val="000000"/>
          <w:sz w:val="30"/>
          <w:szCs w:val="30"/>
        </w:rPr>
        <w:t>；若上市公司向其出售资产的，披露其具有履约能力的证明</w:t>
      </w:r>
      <w:r>
        <w:rPr>
          <w:rFonts w:hint="eastAsia" w:ascii="仿宋_GB2312" w:hAnsi="宋体" w:eastAsia="仿宋_GB2312"/>
          <w:color w:val="000000"/>
          <w:kern w:val="0"/>
          <w:sz w:val="30"/>
          <w:szCs w:val="30"/>
        </w:rPr>
        <w:t>。</w:t>
      </w:r>
    </w:p>
    <w:p w14:paraId="2D831BA6">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（三）交易对方与上市公司之间存在产权、业务、资产、债权债务、人员等方面的其它关系的说明。</w:t>
      </w:r>
    </w:p>
    <w:p w14:paraId="3E18486E">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（四）交易对方的资信状况，若被列为失信被执行人，披露其失信情况，及对本次交易的影响。</w:t>
      </w:r>
    </w:p>
    <w:p w14:paraId="41E379D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（五）本所要求的其他内容。</w:t>
      </w:r>
    </w:p>
    <w:p w14:paraId="06AE9026">
      <w:pPr>
        <w:widowControl/>
        <w:adjustRightInd w:val="0"/>
        <w:snapToGrid w:val="0"/>
        <w:spacing w:line="560" w:lineRule="exact"/>
        <w:rPr>
          <w:rFonts w:ascii="黑体" w:hAnsi="黑体" w:eastAsia="黑体"/>
          <w:b/>
          <w:sz w:val="30"/>
          <w:szCs w:val="30"/>
        </w:rPr>
      </w:pPr>
    </w:p>
    <w:p w14:paraId="6DA31209">
      <w:pPr>
        <w:widowControl/>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三、交易标的基本情况</w:t>
      </w:r>
    </w:p>
    <w:p w14:paraId="5B2F497E">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（一）交易标的概况</w:t>
      </w:r>
    </w:p>
    <w:p w14:paraId="783F7FC3">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1.列明交易标的的名称和类型。</w:t>
      </w:r>
    </w:p>
    <w:p w14:paraId="1DE4CB47">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2.说明交易标的的权属情况，例如交易标的产权是否清晰，是否存在抵押、质押及其他任何限制转让的情况，是否涉及诉讼、仲裁事项或查封、冻结等司法措施，以及是否存在妨碍权属转移的其他情况。</w:t>
      </w:r>
    </w:p>
    <w:p w14:paraId="1E9009F1">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3.说明相关资产的运营情况，例如出让方经营该项资产的时间或者获得该资产的时间、方式和价格、该项资产投入使用的时间、已计提折旧或摊销的年限、资产目前使用状况及其他需要特别说明的事项。</w:t>
      </w:r>
    </w:p>
    <w:p w14:paraId="24D330D3">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4.交易标的如为公司股权或其他组织中权益份额，披露以下方面：</w:t>
      </w:r>
    </w:p>
    <w:p w14:paraId="35479396">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（1）该公司主要股东及各自持股比例、主营业务、注册资本、成立时间、注册地点等基本情况。</w:t>
      </w:r>
    </w:p>
    <w:p w14:paraId="1E8A5F9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（2）有优先受让权的其他股东是否放弃优先受让权。</w:t>
      </w:r>
    </w:p>
    <w:p w14:paraId="364133B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（3）交易</w:t>
      </w:r>
      <w:r>
        <w:rPr>
          <w:rFonts w:hint="eastAsia" w:ascii="仿宋_GB2312" w:hAnsi="宋体" w:eastAsia="仿宋_GB2312"/>
          <w:sz w:val="30"/>
          <w:szCs w:val="30"/>
        </w:rPr>
        <w:t>标的对应的实体是否为失信被执行人，如是，进一步披露其失信情况、受到的惩戒措施、对本次交易的影响，以及公司所采取的</w:t>
      </w:r>
      <w:r>
        <w:rPr>
          <w:rFonts w:ascii="仿宋_GB2312" w:hAnsi="宋体" w:eastAsia="仿宋_GB2312"/>
          <w:sz w:val="30"/>
          <w:szCs w:val="30"/>
        </w:rPr>
        <w:t>应</w:t>
      </w:r>
      <w:r>
        <w:rPr>
          <w:rFonts w:hint="eastAsia" w:ascii="仿宋_GB2312" w:hAnsi="宋体" w:eastAsia="仿宋_GB2312"/>
          <w:sz w:val="30"/>
          <w:szCs w:val="30"/>
        </w:rPr>
        <w:t>对措施等。</w:t>
      </w:r>
    </w:p>
    <w:p w14:paraId="1CF2ACBF">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（二）交易标的主要财务信息</w:t>
      </w:r>
    </w:p>
    <w:p w14:paraId="3FE057CA">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1.标的如为非股权资产，披露最近一年又一期财务报表的账面价值（例如账面原值、已计提的折旧、摊销或减值准备、账面净值等），并注明是否经过审计。</w:t>
      </w:r>
    </w:p>
    <w:p w14:paraId="53B5C69E">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若购买的资产为商标等无形资产的，还需要披露以下内容：</w:t>
      </w:r>
    </w:p>
    <w:p w14:paraId="0832428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此次交易完成后，该无形资产的预计使用寿命、是否需要摊销以及摊销对上市公司未来经营产生的影响，披露该项交易对经营财务指标的预计影响，尤其是对净利润的影响。若公司预计该项无形资产使用寿命不确定而无需摊销，充分说明原因，说明</w:t>
      </w:r>
      <w:r>
        <w:rPr>
          <w:rFonts w:ascii="仿宋_GB2312" w:eastAsia="仿宋_GB2312"/>
          <w:sz w:val="30"/>
          <w:szCs w:val="30"/>
        </w:rPr>
        <w:t>是否</w:t>
      </w:r>
      <w:r>
        <w:rPr>
          <w:rFonts w:hint="eastAsia" w:ascii="仿宋_GB2312" w:eastAsia="仿宋_GB2312"/>
          <w:sz w:val="30"/>
          <w:szCs w:val="30"/>
        </w:rPr>
        <w:t>已在</w:t>
      </w:r>
      <w:r>
        <w:rPr>
          <w:rFonts w:ascii="仿宋_GB2312" w:eastAsia="仿宋_GB2312"/>
          <w:sz w:val="30"/>
          <w:szCs w:val="30"/>
        </w:rPr>
        <w:t>交易对价中考虑。</w:t>
      </w:r>
    </w:p>
    <w:p w14:paraId="5066E78E">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（2）此次交易完成后，交易对方是否还使用此无形资产，如果继续使用的，说明对上市公司的影响。</w:t>
      </w:r>
    </w:p>
    <w:p w14:paraId="2A46143A">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2.交易标的如为公司股权或其他组织中权益份额，披露以下方面：</w:t>
      </w:r>
    </w:p>
    <w:p w14:paraId="518F50C4">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该标的最近一年又一期的主要财务指标，包括资产总额、负债总额、净资产、营业收入、净利润、扣除非经常性损益后的净利润等财务数据，并注明是否经过审计、审计机构名称、是否为符合规定条件的审计机构，审计报告需为标准无保留意见。</w:t>
      </w:r>
    </w:p>
    <w:p w14:paraId="2784F8AC">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（2）如该标的最近12个月内曾进行资产评估、增资、减资或改制的，披露相关评估、增资、减资或改制的基本情况。</w:t>
      </w:r>
    </w:p>
    <w:p w14:paraId="28025780">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（3）购买标的为公司参股权的，分析说明未购买控股权的原因、如何保证上市公司利益。</w:t>
      </w:r>
    </w:p>
    <w:p w14:paraId="034A2507">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（三）购买、出售的资产的行业特殊信息（如适用）</w:t>
      </w:r>
    </w:p>
    <w:p w14:paraId="28BC6999">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四）</w:t>
      </w:r>
      <w:r>
        <w:rPr>
          <w:rFonts w:hint="eastAsia" w:ascii="仿宋_GB2312" w:eastAsia="仿宋_GB2312"/>
          <w:sz w:val="30"/>
          <w:szCs w:val="30"/>
        </w:rPr>
        <w:t>如上市公司购买、出售资产交易中涉及债权债务转移，详细介绍该项债权债务的基本情况，包括债权债务人名称、债权债务金额、期限、发生日期、发生原因等。对转移的债务，还应当说明已取得债权人的书面认可情况，以及交易完成后上市公司是否存在偿债风险和其他或有风险等。</w:t>
      </w:r>
    </w:p>
    <w:p w14:paraId="7ADB0FCA">
      <w:pPr>
        <w:widowControl/>
        <w:adjustRightInd w:val="0"/>
        <w:snapToGrid w:val="0"/>
        <w:spacing w:line="560" w:lineRule="exact"/>
        <w:ind w:firstLine="602" w:firstLineChars="200"/>
        <w:rPr>
          <w:rFonts w:ascii="黑体" w:hAnsi="黑体" w:eastAsia="黑体"/>
          <w:b/>
          <w:sz w:val="30"/>
          <w:szCs w:val="30"/>
        </w:rPr>
      </w:pPr>
    </w:p>
    <w:p w14:paraId="5B2E6476">
      <w:pPr>
        <w:widowControl/>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四、交易标的评估、定价情况</w:t>
      </w:r>
    </w:p>
    <w:p w14:paraId="1F7CBABD">
      <w:pPr>
        <w:widowControl/>
        <w:adjustRightInd w:val="0"/>
        <w:snapToGrid w:val="0"/>
        <w:spacing w:line="560" w:lineRule="exact"/>
        <w:rPr>
          <w:rFonts w:ascii="仿宋_GB2312" w:eastAsia="仿宋_GB2312"/>
          <w:sz w:val="30"/>
          <w:szCs w:val="30"/>
        </w:rPr>
      </w:pPr>
      <w:r>
        <w:rPr>
          <w:rFonts w:hint="eastAsia" w:ascii="仿宋_GB2312" w:eastAsia="仿宋_GB2312"/>
          <w:sz w:val="30"/>
          <w:szCs w:val="30"/>
        </w:rPr>
        <w:t xml:space="preserve">   （一）定价情况及依据</w:t>
      </w:r>
    </w:p>
    <w:p w14:paraId="74B004D3">
      <w:pPr>
        <w:widowControl/>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1.简要介绍本次交易的定价方法和结果。</w:t>
      </w:r>
    </w:p>
    <w:p w14:paraId="04CBCDC2">
      <w:pP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2.上市公司以协商定价的，披露定价的原则、方法和依据。</w:t>
      </w:r>
    </w:p>
    <w:p w14:paraId="0FB34A63">
      <w:pP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3.上市公司以评估结果为依据确定交易价格的，披露以下信息：</w:t>
      </w:r>
    </w:p>
    <w:p w14:paraId="391A50A2">
      <w:pP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（1）评估方法、评估基准日、重要评估假设和评估参数及其合理性；</w:t>
      </w:r>
    </w:p>
    <w:p w14:paraId="28FA1E96">
      <w:pP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（2）为其提供评估服务的评估机构名称。</w:t>
      </w:r>
    </w:p>
    <w:p w14:paraId="5068D13B">
      <w:pP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（3）如最近12个月内有关机构出具评估报告或估值报告的，披露与本次定价的差异情况及原因。</w:t>
      </w:r>
    </w:p>
    <w:p w14:paraId="10544BAC">
      <w:pP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4）评估基准日至相关评估结果披露日期间，发生可能对评估结论产生重大影响的事项的，充分披露相关事项对评估结论的影响程度，并结合资产评估报告书“特别事项说明”的相关事项，在公告中充分提示资产评估事项的风险。</w:t>
      </w:r>
    </w:p>
    <w:p w14:paraId="172EDC65">
      <w:pPr>
        <w:widowControl/>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4.交易金额达到《股票上市规则》规定的股东会审议标准的，若交易标的为公司股权，上市公司需要披露符合规定的标的资产经会计师事务所审计的最近一年又一期财务会计报告。如因上市公司在交易前后均无法对交易标的形成控制、共同控制或重大影响等客观原因，导致确实无法对交易标的最近一年又一期财务会计报告进行审计或者提供相</w:t>
      </w:r>
      <w:r>
        <w:rPr>
          <w:rFonts w:ascii="仿宋_GB2312" w:hAnsi="宋体" w:eastAsia="仿宋_GB2312"/>
          <w:color w:val="000000"/>
          <w:sz w:val="30"/>
          <w:szCs w:val="30"/>
        </w:rPr>
        <w:t>应</w:t>
      </w:r>
      <w:r>
        <w:rPr>
          <w:rFonts w:hint="eastAsia" w:ascii="仿宋_GB2312" w:hAnsi="宋体" w:eastAsia="仿宋_GB2312"/>
          <w:color w:val="000000"/>
          <w:sz w:val="30"/>
          <w:szCs w:val="30"/>
        </w:rPr>
        <w:t>审计报告的，上市公司可以充分披露相关情况后免于提交。</w:t>
      </w:r>
    </w:p>
    <w:p w14:paraId="78B4CCB5">
      <w:pPr>
        <w:widowControl/>
        <w:adjustRightInd w:val="0"/>
        <w:snapToGrid w:val="0"/>
        <w:spacing w:line="560" w:lineRule="exact"/>
        <w:ind w:firstLine="600" w:firstLineChars="200"/>
        <w:rPr>
          <w:rFonts w:ascii="仿宋_GB2312" w:eastAsia="仿宋_GB2312"/>
          <w:b/>
          <w:sz w:val="30"/>
          <w:szCs w:val="30"/>
        </w:rPr>
      </w:pPr>
      <w:r>
        <w:rPr>
          <w:rFonts w:hint="eastAsia" w:ascii="仿宋_GB2312" w:eastAsia="仿宋_GB2312"/>
          <w:bCs/>
          <w:sz w:val="30"/>
          <w:szCs w:val="30"/>
        </w:rPr>
        <w:t>（二）定价合理性分析</w:t>
      </w:r>
    </w:p>
    <w:p w14:paraId="414CB9BE">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color w:val="000000"/>
          <w:sz w:val="30"/>
          <w:szCs w:val="30"/>
        </w:rPr>
        <w:t>1.说明成交价格与交易标的账面值、评估值</w:t>
      </w:r>
      <w:r>
        <w:rPr>
          <w:rFonts w:hint="eastAsia" w:ascii="仿宋_GB2312" w:hAnsi="宋体" w:eastAsia="仿宋_GB2312"/>
          <w:sz w:val="30"/>
          <w:szCs w:val="30"/>
        </w:rPr>
        <w:t>（如有）、公开市场价格（如有）</w:t>
      </w:r>
      <w:r>
        <w:rPr>
          <w:rFonts w:hint="eastAsia" w:ascii="仿宋_GB2312" w:hAnsi="宋体" w:eastAsia="仿宋_GB2312"/>
          <w:color w:val="000000"/>
          <w:sz w:val="30"/>
          <w:szCs w:val="30"/>
        </w:rPr>
        <w:t>之间的差异情况、潜在风险，及公平合理性分析，以及因交易标的特殊而需要说明的与定价有关的其他特定事项。如果相关差异较大的，视其所采用的不同评估方法，详细披露评估结果的推算过程。</w:t>
      </w:r>
    </w:p>
    <w:p w14:paraId="6C95BDC0">
      <w:pPr>
        <w:pStyle w:val="40"/>
        <w:spacing w:line="560" w:lineRule="exact"/>
        <w:ind w:firstLine="600"/>
        <w:rPr>
          <w:rFonts w:hint="default" w:ascii="仿宋_GB2312" w:eastAsia="仿宋_GB2312"/>
          <w:sz w:val="30"/>
          <w:szCs w:val="30"/>
        </w:rPr>
      </w:pPr>
      <w:r>
        <w:rPr>
          <w:rFonts w:ascii="仿宋_GB2312" w:hAnsi="宋体" w:eastAsia="仿宋_GB2312"/>
          <w:sz w:val="30"/>
          <w:szCs w:val="30"/>
        </w:rPr>
        <w:t>2.</w:t>
      </w:r>
      <w:r>
        <w:rPr>
          <w:rFonts w:ascii="仿宋_GB2312" w:hAnsi="仿宋_GB2312" w:eastAsia="仿宋_GB2312" w:cs="仿宋_GB2312"/>
          <w:sz w:val="30"/>
          <w:szCs w:val="30"/>
          <w:lang w:val="zh-TW" w:eastAsia="zh-TW"/>
        </w:rPr>
        <w:t xml:space="preserve"> 交易有商誉产生的，结合公司当前商誉占净资产比例的变化情况、标的资产行业情况、经营发展方向等对商誉减值风险进行充分的提示。</w:t>
      </w:r>
    </w:p>
    <w:p w14:paraId="7EF82E4F">
      <w:pPr>
        <w:widowControl/>
        <w:adjustRightInd w:val="0"/>
        <w:snapToGrid w:val="0"/>
        <w:spacing w:line="560" w:lineRule="exact"/>
        <w:ind w:firstLine="602" w:firstLineChars="200"/>
        <w:rPr>
          <w:rFonts w:ascii="黑体" w:hAnsi="黑体" w:eastAsia="黑体"/>
          <w:b/>
          <w:sz w:val="30"/>
          <w:szCs w:val="30"/>
        </w:rPr>
      </w:pPr>
    </w:p>
    <w:p w14:paraId="6EEAB3B2">
      <w:pPr>
        <w:widowControl/>
        <w:adjustRightInd w:val="0"/>
        <w:snapToGrid w:val="0"/>
        <w:spacing w:line="560" w:lineRule="exact"/>
        <w:ind w:firstLine="602" w:firstLineChars="200"/>
        <w:rPr>
          <w:rFonts w:ascii="仿宋_GB2312" w:eastAsia="仿宋_GB2312"/>
          <w:b/>
          <w:bCs/>
          <w:sz w:val="30"/>
          <w:szCs w:val="30"/>
        </w:rPr>
      </w:pPr>
      <w:r>
        <w:rPr>
          <w:rFonts w:hint="eastAsia" w:ascii="黑体" w:hAnsi="黑体" w:eastAsia="黑体"/>
          <w:b/>
          <w:sz w:val="30"/>
          <w:szCs w:val="30"/>
        </w:rPr>
        <w:t>五、交易合同或协议的主要内容及履约安排</w:t>
      </w:r>
    </w:p>
    <w:p w14:paraId="37E0E5EA">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购买、出售资产协议的主要条款。例如，合同主体、交易价格、支付方式（现金、股权、承债、资产置换等）、支付期限（全额一次付清、分期付款）、交付或过户时间安排、过渡期安排、合同的生效条件、生效时间、业绩对赌条款或超额业绩奖励、违约责任等。如该协议附带有任何形式的附加或保留条款（如约定将来某种情况发生时资产需恢复原状等）的，需特别说明。</w:t>
      </w:r>
    </w:p>
    <w:p w14:paraId="759ED1C4">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（二）交易涉及对方或其他方向上市公司支付款项的，董事会需要对付款方的支付能力及该等款项收回的或有风险作出判断和说明。</w:t>
      </w:r>
    </w:p>
    <w:p w14:paraId="7B171310">
      <w:pPr>
        <w:widowControl/>
        <w:adjustRightInd w:val="0"/>
        <w:snapToGrid w:val="0"/>
        <w:spacing w:line="560" w:lineRule="exact"/>
        <w:ind w:firstLine="753" w:firstLineChars="250"/>
        <w:rPr>
          <w:rFonts w:ascii="仿宋_GB2312" w:eastAsia="仿宋_GB2312"/>
          <w:b/>
          <w:bCs/>
          <w:sz w:val="30"/>
          <w:szCs w:val="30"/>
        </w:rPr>
      </w:pPr>
    </w:p>
    <w:p w14:paraId="570BFFEC">
      <w:pPr>
        <w:widowControl/>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六、购买、出售资产对上市公司的影响</w:t>
      </w:r>
    </w:p>
    <w:p w14:paraId="78481C79">
      <w:pPr>
        <w:spacing w:line="560" w:lineRule="exact"/>
        <w:ind w:firstLine="600" w:firstLineChars="200"/>
        <w:rPr>
          <w:rFonts w:ascii="仿宋_GB2312" w:eastAsia="仿宋_GB2312"/>
          <w:sz w:val="30"/>
          <w:szCs w:val="30"/>
        </w:rPr>
      </w:pPr>
      <w:r>
        <w:rPr>
          <w:rFonts w:hint="eastAsia" w:ascii="仿宋_GB2312" w:eastAsia="仿宋_GB2312"/>
          <w:sz w:val="30"/>
          <w:szCs w:val="30"/>
        </w:rPr>
        <w:t>（一）交易对上市公司未来财务状况和经营成果的影响。</w:t>
      </w:r>
    </w:p>
    <w:p w14:paraId="6896C80B">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（二）交易所涉及标的的管理层变动、人员安置、土地租赁等情况。</w:t>
      </w:r>
    </w:p>
    <w:p w14:paraId="10518B76">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（三）交易完成后是否可能产生关联交易的说明。</w:t>
      </w:r>
    </w:p>
    <w:p w14:paraId="6C8A77FD">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（四）本次交易是否会产生同业竞争的说明以及解决措施。</w:t>
      </w:r>
    </w:p>
    <w:p w14:paraId="4F25F3AB">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（五）如交易完成后，上市公司新增控股子公司的，说明该公司对外担保、委托理财等相关情况。</w:t>
      </w:r>
    </w:p>
    <w:p w14:paraId="0992DE64">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如出售控股子公司股权导致上市公司合并报表范围变更的，还需要说明上市公司是否存在为该子公司提供担保、委托该子公司理财，以及该子公司占用上市公司资金等方面的情况；如存在，披露前述事项涉及的金额，对上市公司的影响和解决措施。</w:t>
      </w:r>
    </w:p>
    <w:p w14:paraId="5A7EEC5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（七）上市公司因购买或出售资产将导致交易完成后上市公司控股股东、实际控制人及其关联人对上市公司形成非经营性资金占用的，需要明确解决方案，并在相关交易实施完成前解决。</w:t>
      </w:r>
    </w:p>
    <w:p w14:paraId="757D2036">
      <w:pPr>
        <w:widowControl/>
        <w:adjustRightInd w:val="0"/>
        <w:snapToGrid w:val="0"/>
        <w:spacing w:line="560" w:lineRule="exact"/>
        <w:ind w:firstLine="480" w:firstLineChars="200"/>
        <w:rPr>
          <w:rFonts w:ascii="楷体" w:hAnsi="楷体" w:eastAsia="楷体" w:cs="宋体-WinCharSetFFFF-H"/>
          <w:color w:val="000000"/>
          <w:kern w:val="0"/>
          <w:sz w:val="24"/>
          <w:szCs w:val="22"/>
        </w:rPr>
      </w:pPr>
      <w:r>
        <w:rPr>
          <w:rFonts w:hint="eastAsia" w:ascii="楷体" w:hAnsi="楷体" w:eastAsia="楷体" w:cs="宋体-WinCharSetFFFF-H"/>
          <w:color w:val="000000"/>
          <w:kern w:val="0"/>
          <w:sz w:val="24"/>
          <w:szCs w:val="22"/>
        </w:rPr>
        <w:t>（编制提醒：公司因交易或关联交易导致被担保方成为公司的关联人，在实施该交易或者关联交易的同时，就存续的关联担保履行相应审议程序。）</w:t>
      </w:r>
    </w:p>
    <w:p w14:paraId="7AA7701A">
      <w:pPr>
        <w:adjustRightInd w:val="0"/>
        <w:snapToGrid w:val="0"/>
        <w:spacing w:line="560" w:lineRule="exact"/>
        <w:rPr>
          <w:rFonts w:ascii="仿宋_GB2312" w:eastAsia="仿宋_GB2312"/>
          <w:sz w:val="30"/>
          <w:szCs w:val="30"/>
        </w:rPr>
      </w:pPr>
      <w:r>
        <w:rPr>
          <w:rFonts w:hint="eastAsia" w:ascii="仿宋_GB2312" w:eastAsia="仿宋_GB2312"/>
          <w:sz w:val="30"/>
          <w:szCs w:val="30"/>
        </w:rPr>
        <w:t xml:space="preserve"> </w:t>
      </w:r>
    </w:p>
    <w:p w14:paraId="5A9BC9E9">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七、中介机构对本次购买、出售资产交易的意见（如适用）</w:t>
      </w:r>
    </w:p>
    <w:p w14:paraId="3F5444D8">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若上市公司就本次交易聘请中介机构的，披露其对本次交易的结论性意见。</w:t>
      </w:r>
    </w:p>
    <w:p w14:paraId="36AD9D40">
      <w:pPr>
        <w:widowControl/>
        <w:adjustRightInd w:val="0"/>
        <w:snapToGrid w:val="0"/>
        <w:spacing w:line="560" w:lineRule="exact"/>
        <w:ind w:firstLine="600" w:firstLineChars="200"/>
        <w:rPr>
          <w:rFonts w:ascii="仿宋_GB2312" w:eastAsia="仿宋_GB2312"/>
          <w:sz w:val="30"/>
          <w:szCs w:val="30"/>
        </w:rPr>
      </w:pPr>
    </w:p>
    <w:p w14:paraId="7A477683">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特此公告。</w:t>
      </w:r>
    </w:p>
    <w:p w14:paraId="5C129902">
      <w:pPr>
        <w:widowControl/>
        <w:adjustRightInd w:val="0"/>
        <w:snapToGrid w:val="0"/>
        <w:spacing w:line="560" w:lineRule="exact"/>
        <w:ind w:firstLine="600" w:firstLineChars="200"/>
        <w:jc w:val="right"/>
        <w:rPr>
          <w:rFonts w:ascii="仿宋_GB2312" w:eastAsia="仿宋_GB2312"/>
          <w:sz w:val="30"/>
          <w:szCs w:val="30"/>
        </w:rPr>
      </w:pPr>
    </w:p>
    <w:p w14:paraId="2DD62784">
      <w:pPr>
        <w:widowControl/>
        <w:adjustRightInd w:val="0"/>
        <w:snapToGrid w:val="0"/>
        <w:spacing w:line="560" w:lineRule="exact"/>
        <w:ind w:firstLine="600" w:firstLineChars="200"/>
        <w:jc w:val="right"/>
        <w:rPr>
          <w:rFonts w:ascii="仿宋_GB2312" w:eastAsia="仿宋_GB2312"/>
          <w:sz w:val="30"/>
          <w:szCs w:val="30"/>
        </w:rPr>
      </w:pPr>
      <w:r>
        <w:rPr>
          <w:rFonts w:hint="eastAsia" w:ascii="仿宋_GB2312" w:hAnsi="宋体" w:eastAsia="仿宋_GB2312" w:cs="宋体"/>
          <w:color w:val="000000"/>
          <w:kern w:val="0"/>
          <w:sz w:val="30"/>
          <w:szCs w:val="30"/>
        </w:rPr>
        <w:t>××××</w:t>
      </w:r>
      <w:r>
        <w:rPr>
          <w:rFonts w:hint="eastAsia" w:ascii="仿宋_GB2312" w:eastAsia="仿宋_GB2312"/>
          <w:sz w:val="30"/>
          <w:szCs w:val="30"/>
        </w:rPr>
        <w:t>股份有限公司董事会</w:t>
      </w:r>
    </w:p>
    <w:p w14:paraId="165FC468">
      <w:pPr>
        <w:widowControl/>
        <w:adjustRightInd w:val="0"/>
        <w:snapToGrid w:val="0"/>
        <w:spacing w:line="560" w:lineRule="exact"/>
        <w:ind w:firstLine="600" w:firstLineChars="200"/>
        <w:jc w:val="right"/>
        <w:rPr>
          <w:rFonts w:ascii="仿宋_GB2312" w:eastAsia="仿宋_GB2312"/>
          <w:sz w:val="30"/>
          <w:szCs w:val="30"/>
        </w:rPr>
      </w:pPr>
      <w:r>
        <w:rPr>
          <w:rFonts w:hint="eastAsia" w:ascii="仿宋_GB2312" w:eastAsia="仿宋_GB2312"/>
          <w:sz w:val="30"/>
          <w:szCs w:val="30"/>
        </w:rPr>
        <w:t>年  月  日</w:t>
      </w:r>
    </w:p>
    <w:p w14:paraId="7F40C1EC">
      <w:pPr>
        <w:widowControl/>
        <w:adjustRightInd w:val="0"/>
        <w:snapToGrid w:val="0"/>
        <w:spacing w:line="560" w:lineRule="exact"/>
        <w:ind w:firstLine="600" w:firstLineChars="200"/>
        <w:rPr>
          <w:rFonts w:ascii="仿宋_GB2312" w:eastAsia="仿宋_GB2312"/>
          <w:sz w:val="30"/>
          <w:szCs w:val="30"/>
        </w:rPr>
      </w:pPr>
    </w:p>
    <w:p w14:paraId="66F02A26">
      <w:pPr>
        <w:widowControl/>
        <w:numPr>
          <w:ilvl w:val="0"/>
          <w:numId w:val="2"/>
        </w:numPr>
        <w:adjustRightInd w:val="0"/>
        <w:snapToGrid w:val="0"/>
        <w:spacing w:line="560" w:lineRule="exact"/>
        <w:ind w:firstLine="431"/>
        <w:rPr>
          <w:rFonts w:ascii="仿宋_GB2312" w:eastAsia="仿宋_GB2312"/>
          <w:b/>
          <w:bCs/>
          <w:sz w:val="30"/>
          <w:szCs w:val="30"/>
        </w:rPr>
      </w:pPr>
      <w:r>
        <w:rPr>
          <w:rFonts w:hint="eastAsia" w:ascii="仿宋_GB2312" w:eastAsia="仿宋_GB2312"/>
          <w:b/>
          <w:bCs/>
          <w:sz w:val="30"/>
          <w:szCs w:val="30"/>
        </w:rPr>
        <w:t>上网公告文件</w:t>
      </w:r>
    </w:p>
    <w:p w14:paraId="5637E8DD">
      <w:pPr>
        <w:widowControl/>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rPr>
        <w:t>1.审计报告（如适用）</w:t>
      </w:r>
    </w:p>
    <w:p w14:paraId="1C7A312C">
      <w:pPr>
        <w:widowControl/>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rPr>
        <w:t>2.评估报告（如适用）</w:t>
      </w:r>
    </w:p>
    <w:p w14:paraId="681CF2F4">
      <w:pPr>
        <w:widowControl/>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rPr>
        <w:t>3.法律意见书（如适用）</w:t>
      </w:r>
    </w:p>
    <w:p w14:paraId="5EF94FBB">
      <w:pPr>
        <w:widowControl/>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rPr>
        <w:t>4.其他中介机构</w:t>
      </w:r>
      <w:r>
        <w:rPr>
          <w:rFonts w:ascii="仿宋_GB2312" w:eastAsia="仿宋_GB2312"/>
          <w:sz w:val="30"/>
          <w:szCs w:val="30"/>
        </w:rPr>
        <w:t>意见（如适用）</w:t>
      </w:r>
    </w:p>
    <w:p w14:paraId="7A43EEE5">
      <w:pPr>
        <w:widowControl/>
        <w:adjustRightInd w:val="0"/>
        <w:snapToGrid w:val="0"/>
        <w:spacing w:line="560" w:lineRule="exact"/>
        <w:rPr>
          <w:rFonts w:ascii="仿宋_GB2312" w:eastAsia="仿宋_GB2312"/>
          <w:sz w:val="30"/>
          <w:szCs w:val="30"/>
        </w:rPr>
      </w:pPr>
    </w:p>
    <w:p w14:paraId="3F189544">
      <w:pPr>
        <w:widowControl/>
        <w:numPr>
          <w:ilvl w:val="0"/>
          <w:numId w:val="2"/>
        </w:numPr>
        <w:adjustRightInd w:val="0"/>
        <w:snapToGrid w:val="0"/>
        <w:spacing w:line="560" w:lineRule="exact"/>
        <w:ind w:firstLine="431"/>
        <w:rPr>
          <w:rFonts w:ascii="仿宋_GB2312" w:eastAsia="仿宋_GB2312"/>
          <w:b/>
          <w:bCs/>
          <w:sz w:val="30"/>
          <w:szCs w:val="30"/>
        </w:rPr>
      </w:pPr>
      <w:r>
        <w:rPr>
          <w:rFonts w:hint="eastAsia" w:ascii="仿宋_GB2312" w:eastAsia="仿宋_GB2312"/>
          <w:b/>
          <w:bCs/>
          <w:sz w:val="30"/>
          <w:szCs w:val="30"/>
        </w:rPr>
        <w:t>报备文件</w:t>
      </w:r>
    </w:p>
    <w:p w14:paraId="7AB8A71F">
      <w:pPr>
        <w:widowControl/>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rPr>
        <w:t>与交易有关的意向书、协议或合同</w:t>
      </w:r>
    </w:p>
    <w:p w14:paraId="77538ED9">
      <w:pPr>
        <w:widowControl/>
        <w:adjustRightInd w:val="0"/>
        <w:snapToGrid w:val="0"/>
        <w:spacing w:line="560" w:lineRule="exact"/>
        <w:ind w:firstLine="900" w:firstLineChars="300"/>
        <w:rPr>
          <w:rFonts w:ascii="仿宋_GB2312" w:eastAsia="仿宋_GB2312"/>
          <w:sz w:val="30"/>
          <w:szCs w:val="30"/>
        </w:rPr>
      </w:pP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Arial Unicode MS">
    <w:altName w:val="Times New Roman"/>
    <w:panose1 w:val="020B0604020202020204"/>
    <w:charset w:val="86"/>
    <w:family w:val="swiss"/>
    <w:pitch w:val="default"/>
    <w:sig w:usb0="00000000" w:usb1="00000000" w:usb2="0000003F" w:usb3="00000000" w:csb0="003F01F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71E4F">
    <w:pPr>
      <w:pStyle w:val="11"/>
      <w:jc w:val="center"/>
    </w:pPr>
    <w:r>
      <w:rPr>
        <w:vanish/>
        <w:highlight w:val="yellow"/>
      </w:rPr>
      <w:t>&lt;</w:t>
    </w:r>
    <w:r>
      <w:fldChar w:fldCharType="begin"/>
    </w:r>
    <w:r>
      <w:instrText xml:space="preserve"> PAGE   \* MERGEFORMAT </w:instrText>
    </w:r>
    <w:r>
      <w:fldChar w:fldCharType="separate"/>
    </w:r>
    <w:r>
      <w:t>9</w:t>
    </w:r>
    <w:r>
      <w:fldChar w:fldCharType="end"/>
    </w:r>
    <w:r>
      <w:rPr>
        <w:vanish/>
        <w:highlight w:val="yellow"/>
      </w:rPr>
      <w:t>&gt;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A5255">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81735"/>
    <w:multiLevelType w:val="multilevel"/>
    <w:tmpl w:val="1238173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1E2477EB"/>
    <w:multiLevelType w:val="multilevel"/>
    <w:tmpl w:val="1E2477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E75E92"/>
    <w:rsid w:val="00001768"/>
    <w:rsid w:val="00007992"/>
    <w:rsid w:val="0001279C"/>
    <w:rsid w:val="000171B0"/>
    <w:rsid w:val="00020A7E"/>
    <w:rsid w:val="00021484"/>
    <w:rsid w:val="000244DA"/>
    <w:rsid w:val="00030660"/>
    <w:rsid w:val="00031024"/>
    <w:rsid w:val="0003129F"/>
    <w:rsid w:val="00031BD0"/>
    <w:rsid w:val="000355A3"/>
    <w:rsid w:val="00035A91"/>
    <w:rsid w:val="00041FC8"/>
    <w:rsid w:val="000445B6"/>
    <w:rsid w:val="00045B5D"/>
    <w:rsid w:val="00045DBB"/>
    <w:rsid w:val="00046958"/>
    <w:rsid w:val="000563CA"/>
    <w:rsid w:val="000617D3"/>
    <w:rsid w:val="00061896"/>
    <w:rsid w:val="00061B22"/>
    <w:rsid w:val="00061C9A"/>
    <w:rsid w:val="000629EC"/>
    <w:rsid w:val="00063EC5"/>
    <w:rsid w:val="00064D46"/>
    <w:rsid w:val="000663E8"/>
    <w:rsid w:val="0007084E"/>
    <w:rsid w:val="000721A0"/>
    <w:rsid w:val="00072FE4"/>
    <w:rsid w:val="0007424F"/>
    <w:rsid w:val="000802F2"/>
    <w:rsid w:val="00082F1E"/>
    <w:rsid w:val="00083240"/>
    <w:rsid w:val="00084008"/>
    <w:rsid w:val="00092BC9"/>
    <w:rsid w:val="00092FBB"/>
    <w:rsid w:val="00093B2B"/>
    <w:rsid w:val="00095C61"/>
    <w:rsid w:val="00095D9C"/>
    <w:rsid w:val="000A092F"/>
    <w:rsid w:val="000A0E13"/>
    <w:rsid w:val="000A2E48"/>
    <w:rsid w:val="000B69C8"/>
    <w:rsid w:val="000C0C4A"/>
    <w:rsid w:val="000C3FB3"/>
    <w:rsid w:val="000C479C"/>
    <w:rsid w:val="000C5C89"/>
    <w:rsid w:val="000D040A"/>
    <w:rsid w:val="000D2233"/>
    <w:rsid w:val="000D274F"/>
    <w:rsid w:val="000D3B3B"/>
    <w:rsid w:val="000D75F9"/>
    <w:rsid w:val="000E159B"/>
    <w:rsid w:val="000E3AA3"/>
    <w:rsid w:val="000E451E"/>
    <w:rsid w:val="000E5366"/>
    <w:rsid w:val="000F33C4"/>
    <w:rsid w:val="000F4148"/>
    <w:rsid w:val="000F4F72"/>
    <w:rsid w:val="001002E6"/>
    <w:rsid w:val="00102775"/>
    <w:rsid w:val="00103A23"/>
    <w:rsid w:val="00110B19"/>
    <w:rsid w:val="00111297"/>
    <w:rsid w:val="001136BA"/>
    <w:rsid w:val="00114305"/>
    <w:rsid w:val="0011791E"/>
    <w:rsid w:val="0012008C"/>
    <w:rsid w:val="00130F51"/>
    <w:rsid w:val="00133476"/>
    <w:rsid w:val="001419AB"/>
    <w:rsid w:val="00145AF4"/>
    <w:rsid w:val="00146E6F"/>
    <w:rsid w:val="00151630"/>
    <w:rsid w:val="00154627"/>
    <w:rsid w:val="00154AC7"/>
    <w:rsid w:val="00154BD8"/>
    <w:rsid w:val="00155FAF"/>
    <w:rsid w:val="00160F3D"/>
    <w:rsid w:val="001616C3"/>
    <w:rsid w:val="00165A80"/>
    <w:rsid w:val="00166C2D"/>
    <w:rsid w:val="001713CA"/>
    <w:rsid w:val="00174518"/>
    <w:rsid w:val="00174C31"/>
    <w:rsid w:val="00174C82"/>
    <w:rsid w:val="00177566"/>
    <w:rsid w:val="00180D1A"/>
    <w:rsid w:val="00181915"/>
    <w:rsid w:val="00183D96"/>
    <w:rsid w:val="001847F2"/>
    <w:rsid w:val="00184B52"/>
    <w:rsid w:val="001857F8"/>
    <w:rsid w:val="00186157"/>
    <w:rsid w:val="001A059C"/>
    <w:rsid w:val="001A5001"/>
    <w:rsid w:val="001A595C"/>
    <w:rsid w:val="001A6D15"/>
    <w:rsid w:val="001A761A"/>
    <w:rsid w:val="001A791A"/>
    <w:rsid w:val="001A7E9D"/>
    <w:rsid w:val="001B0668"/>
    <w:rsid w:val="001B0EDA"/>
    <w:rsid w:val="001C1F9B"/>
    <w:rsid w:val="001C26FB"/>
    <w:rsid w:val="001C2A74"/>
    <w:rsid w:val="001C41C0"/>
    <w:rsid w:val="001C52C4"/>
    <w:rsid w:val="001C6A68"/>
    <w:rsid w:val="001C700B"/>
    <w:rsid w:val="001D1574"/>
    <w:rsid w:val="001D160D"/>
    <w:rsid w:val="001D250E"/>
    <w:rsid w:val="001D3A5D"/>
    <w:rsid w:val="001D4295"/>
    <w:rsid w:val="001D6593"/>
    <w:rsid w:val="001E1745"/>
    <w:rsid w:val="001E1F9F"/>
    <w:rsid w:val="001E43C6"/>
    <w:rsid w:val="001F0FA1"/>
    <w:rsid w:val="001F3891"/>
    <w:rsid w:val="001F43B1"/>
    <w:rsid w:val="001F5E83"/>
    <w:rsid w:val="0020157B"/>
    <w:rsid w:val="002023F8"/>
    <w:rsid w:val="00205CAB"/>
    <w:rsid w:val="00210097"/>
    <w:rsid w:val="00214C9B"/>
    <w:rsid w:val="00216198"/>
    <w:rsid w:val="002211E5"/>
    <w:rsid w:val="00221AF7"/>
    <w:rsid w:val="00223D14"/>
    <w:rsid w:val="002248B6"/>
    <w:rsid w:val="00224C2B"/>
    <w:rsid w:val="002253D7"/>
    <w:rsid w:val="002265B3"/>
    <w:rsid w:val="0022763B"/>
    <w:rsid w:val="0023071C"/>
    <w:rsid w:val="00233E63"/>
    <w:rsid w:val="00235802"/>
    <w:rsid w:val="0024233B"/>
    <w:rsid w:val="00247B9F"/>
    <w:rsid w:val="00250BCB"/>
    <w:rsid w:val="002514A0"/>
    <w:rsid w:val="00251F78"/>
    <w:rsid w:val="002551ED"/>
    <w:rsid w:val="002601FD"/>
    <w:rsid w:val="0026455E"/>
    <w:rsid w:val="002645BC"/>
    <w:rsid w:val="0026516F"/>
    <w:rsid w:val="002651C8"/>
    <w:rsid w:val="00266CC9"/>
    <w:rsid w:val="00266D1D"/>
    <w:rsid w:val="00270F13"/>
    <w:rsid w:val="0027321F"/>
    <w:rsid w:val="0027459F"/>
    <w:rsid w:val="0027630F"/>
    <w:rsid w:val="00276510"/>
    <w:rsid w:val="0028014C"/>
    <w:rsid w:val="0028183E"/>
    <w:rsid w:val="002924E7"/>
    <w:rsid w:val="00292A8F"/>
    <w:rsid w:val="002937FF"/>
    <w:rsid w:val="00294976"/>
    <w:rsid w:val="00295A2E"/>
    <w:rsid w:val="002A7868"/>
    <w:rsid w:val="002B1216"/>
    <w:rsid w:val="002B2E7D"/>
    <w:rsid w:val="002B4196"/>
    <w:rsid w:val="002B4BDB"/>
    <w:rsid w:val="002B5E3B"/>
    <w:rsid w:val="002C0628"/>
    <w:rsid w:val="002C27BC"/>
    <w:rsid w:val="002C39E4"/>
    <w:rsid w:val="002C49AA"/>
    <w:rsid w:val="002C7672"/>
    <w:rsid w:val="002C7BAF"/>
    <w:rsid w:val="002D38FC"/>
    <w:rsid w:val="002D3EE0"/>
    <w:rsid w:val="002D4D8B"/>
    <w:rsid w:val="002D53E9"/>
    <w:rsid w:val="002E2B71"/>
    <w:rsid w:val="002E3102"/>
    <w:rsid w:val="002E45E2"/>
    <w:rsid w:val="002F1A1D"/>
    <w:rsid w:val="002F4877"/>
    <w:rsid w:val="002F4DA2"/>
    <w:rsid w:val="002F687B"/>
    <w:rsid w:val="00302667"/>
    <w:rsid w:val="00304269"/>
    <w:rsid w:val="00304576"/>
    <w:rsid w:val="00305E51"/>
    <w:rsid w:val="00306380"/>
    <w:rsid w:val="003116E9"/>
    <w:rsid w:val="00311744"/>
    <w:rsid w:val="00311751"/>
    <w:rsid w:val="00313090"/>
    <w:rsid w:val="003130B1"/>
    <w:rsid w:val="0031559E"/>
    <w:rsid w:val="00317A88"/>
    <w:rsid w:val="00330518"/>
    <w:rsid w:val="00333083"/>
    <w:rsid w:val="003365F4"/>
    <w:rsid w:val="00336BAB"/>
    <w:rsid w:val="00337F5D"/>
    <w:rsid w:val="003451AB"/>
    <w:rsid w:val="00350BA0"/>
    <w:rsid w:val="00353852"/>
    <w:rsid w:val="00355F2A"/>
    <w:rsid w:val="00357ACF"/>
    <w:rsid w:val="003618B3"/>
    <w:rsid w:val="00364199"/>
    <w:rsid w:val="00365DCD"/>
    <w:rsid w:val="00366EDC"/>
    <w:rsid w:val="0037339D"/>
    <w:rsid w:val="003739D7"/>
    <w:rsid w:val="003774C8"/>
    <w:rsid w:val="00381381"/>
    <w:rsid w:val="00382558"/>
    <w:rsid w:val="00385A93"/>
    <w:rsid w:val="00385E63"/>
    <w:rsid w:val="0038691F"/>
    <w:rsid w:val="00387D19"/>
    <w:rsid w:val="00391795"/>
    <w:rsid w:val="00392793"/>
    <w:rsid w:val="00393C41"/>
    <w:rsid w:val="003A1AC7"/>
    <w:rsid w:val="003B27BA"/>
    <w:rsid w:val="003C146F"/>
    <w:rsid w:val="003C525E"/>
    <w:rsid w:val="003C5D54"/>
    <w:rsid w:val="003C6347"/>
    <w:rsid w:val="003D1444"/>
    <w:rsid w:val="003D61FF"/>
    <w:rsid w:val="003E0273"/>
    <w:rsid w:val="003E09F2"/>
    <w:rsid w:val="003E2B08"/>
    <w:rsid w:val="003E36B4"/>
    <w:rsid w:val="003E45C9"/>
    <w:rsid w:val="003E4E31"/>
    <w:rsid w:val="003E6E9A"/>
    <w:rsid w:val="003E7B0E"/>
    <w:rsid w:val="003F173C"/>
    <w:rsid w:val="003F256B"/>
    <w:rsid w:val="003F2651"/>
    <w:rsid w:val="003F478E"/>
    <w:rsid w:val="00400F02"/>
    <w:rsid w:val="004028BB"/>
    <w:rsid w:val="00407395"/>
    <w:rsid w:val="00410EFF"/>
    <w:rsid w:val="004123F3"/>
    <w:rsid w:val="00414A65"/>
    <w:rsid w:val="0041616E"/>
    <w:rsid w:val="00416A81"/>
    <w:rsid w:val="00416ABF"/>
    <w:rsid w:val="00416E65"/>
    <w:rsid w:val="00423C0D"/>
    <w:rsid w:val="004248B7"/>
    <w:rsid w:val="004308A8"/>
    <w:rsid w:val="00435031"/>
    <w:rsid w:val="004441BB"/>
    <w:rsid w:val="00444834"/>
    <w:rsid w:val="00445DAF"/>
    <w:rsid w:val="00454769"/>
    <w:rsid w:val="00457859"/>
    <w:rsid w:val="004639AC"/>
    <w:rsid w:val="004645A4"/>
    <w:rsid w:val="00464958"/>
    <w:rsid w:val="00465DA9"/>
    <w:rsid w:val="004669B8"/>
    <w:rsid w:val="004733B0"/>
    <w:rsid w:val="004739DF"/>
    <w:rsid w:val="004760B6"/>
    <w:rsid w:val="00477F7A"/>
    <w:rsid w:val="00481445"/>
    <w:rsid w:val="00482525"/>
    <w:rsid w:val="00483A3D"/>
    <w:rsid w:val="00485B79"/>
    <w:rsid w:val="0048665C"/>
    <w:rsid w:val="00487755"/>
    <w:rsid w:val="00490F8C"/>
    <w:rsid w:val="00494C95"/>
    <w:rsid w:val="00494D37"/>
    <w:rsid w:val="00497877"/>
    <w:rsid w:val="004A01BD"/>
    <w:rsid w:val="004A4D92"/>
    <w:rsid w:val="004A79C7"/>
    <w:rsid w:val="004B2907"/>
    <w:rsid w:val="004B546B"/>
    <w:rsid w:val="004B56B1"/>
    <w:rsid w:val="004C1F3D"/>
    <w:rsid w:val="004C5762"/>
    <w:rsid w:val="004D4592"/>
    <w:rsid w:val="004E4FF7"/>
    <w:rsid w:val="004E77EC"/>
    <w:rsid w:val="004F31AC"/>
    <w:rsid w:val="004F3E9D"/>
    <w:rsid w:val="004F466A"/>
    <w:rsid w:val="0050134C"/>
    <w:rsid w:val="0050225E"/>
    <w:rsid w:val="00505F76"/>
    <w:rsid w:val="0050692B"/>
    <w:rsid w:val="005138B7"/>
    <w:rsid w:val="00514AC9"/>
    <w:rsid w:val="00515642"/>
    <w:rsid w:val="005161A0"/>
    <w:rsid w:val="00517526"/>
    <w:rsid w:val="0052165E"/>
    <w:rsid w:val="0052229E"/>
    <w:rsid w:val="00522490"/>
    <w:rsid w:val="005230FF"/>
    <w:rsid w:val="00526419"/>
    <w:rsid w:val="00527FE9"/>
    <w:rsid w:val="00531740"/>
    <w:rsid w:val="0053327B"/>
    <w:rsid w:val="00537A5C"/>
    <w:rsid w:val="00540E30"/>
    <w:rsid w:val="00542097"/>
    <w:rsid w:val="00542D72"/>
    <w:rsid w:val="005450E1"/>
    <w:rsid w:val="00545B0E"/>
    <w:rsid w:val="00547DF1"/>
    <w:rsid w:val="00555E5E"/>
    <w:rsid w:val="005573EB"/>
    <w:rsid w:val="0056085E"/>
    <w:rsid w:val="0056108E"/>
    <w:rsid w:val="005625B3"/>
    <w:rsid w:val="00563313"/>
    <w:rsid w:val="00563A67"/>
    <w:rsid w:val="00563D53"/>
    <w:rsid w:val="00563D82"/>
    <w:rsid w:val="0057254E"/>
    <w:rsid w:val="0057329D"/>
    <w:rsid w:val="0057779E"/>
    <w:rsid w:val="005810CE"/>
    <w:rsid w:val="00590220"/>
    <w:rsid w:val="005919CF"/>
    <w:rsid w:val="0059351A"/>
    <w:rsid w:val="0059389B"/>
    <w:rsid w:val="005954D4"/>
    <w:rsid w:val="00596F66"/>
    <w:rsid w:val="005A63E3"/>
    <w:rsid w:val="005A796B"/>
    <w:rsid w:val="005B231B"/>
    <w:rsid w:val="005B26FE"/>
    <w:rsid w:val="005B574B"/>
    <w:rsid w:val="005C4BFA"/>
    <w:rsid w:val="005C645F"/>
    <w:rsid w:val="005D1361"/>
    <w:rsid w:val="005D2177"/>
    <w:rsid w:val="005D2A97"/>
    <w:rsid w:val="005D33FF"/>
    <w:rsid w:val="005D4D58"/>
    <w:rsid w:val="005E4400"/>
    <w:rsid w:val="005E44C2"/>
    <w:rsid w:val="005E4FB8"/>
    <w:rsid w:val="005E5F44"/>
    <w:rsid w:val="005E6589"/>
    <w:rsid w:val="005E6C70"/>
    <w:rsid w:val="005E7F62"/>
    <w:rsid w:val="005F0021"/>
    <w:rsid w:val="005F24CD"/>
    <w:rsid w:val="006026E7"/>
    <w:rsid w:val="00602F10"/>
    <w:rsid w:val="006038DC"/>
    <w:rsid w:val="00611760"/>
    <w:rsid w:val="00611BC4"/>
    <w:rsid w:val="00613DCC"/>
    <w:rsid w:val="00614880"/>
    <w:rsid w:val="00615A15"/>
    <w:rsid w:val="00617997"/>
    <w:rsid w:val="00621280"/>
    <w:rsid w:val="00623821"/>
    <w:rsid w:val="00626C03"/>
    <w:rsid w:val="006272E0"/>
    <w:rsid w:val="00633561"/>
    <w:rsid w:val="00634F18"/>
    <w:rsid w:val="006362CB"/>
    <w:rsid w:val="00641600"/>
    <w:rsid w:val="00645346"/>
    <w:rsid w:val="00646194"/>
    <w:rsid w:val="00654FA2"/>
    <w:rsid w:val="006571FE"/>
    <w:rsid w:val="00660697"/>
    <w:rsid w:val="006615DA"/>
    <w:rsid w:val="0066315E"/>
    <w:rsid w:val="00663185"/>
    <w:rsid w:val="00663331"/>
    <w:rsid w:val="00665F05"/>
    <w:rsid w:val="00665F2B"/>
    <w:rsid w:val="00667DAA"/>
    <w:rsid w:val="00670129"/>
    <w:rsid w:val="00670D5F"/>
    <w:rsid w:val="0067393D"/>
    <w:rsid w:val="00677641"/>
    <w:rsid w:val="006810D0"/>
    <w:rsid w:val="00687CDC"/>
    <w:rsid w:val="00690985"/>
    <w:rsid w:val="006A5056"/>
    <w:rsid w:val="006A5174"/>
    <w:rsid w:val="006B289E"/>
    <w:rsid w:val="006B4C26"/>
    <w:rsid w:val="006B5985"/>
    <w:rsid w:val="006C1348"/>
    <w:rsid w:val="006C32AC"/>
    <w:rsid w:val="006C4163"/>
    <w:rsid w:val="006C520E"/>
    <w:rsid w:val="006C7118"/>
    <w:rsid w:val="006D06B0"/>
    <w:rsid w:val="006D2131"/>
    <w:rsid w:val="006D6B1D"/>
    <w:rsid w:val="006D6F39"/>
    <w:rsid w:val="006E1A84"/>
    <w:rsid w:val="006E1DEF"/>
    <w:rsid w:val="006E23E4"/>
    <w:rsid w:val="006E2FBA"/>
    <w:rsid w:val="006E672C"/>
    <w:rsid w:val="006E7F2D"/>
    <w:rsid w:val="006F03EC"/>
    <w:rsid w:val="006F61B7"/>
    <w:rsid w:val="0070105E"/>
    <w:rsid w:val="007033CE"/>
    <w:rsid w:val="00704D26"/>
    <w:rsid w:val="0070502E"/>
    <w:rsid w:val="00705416"/>
    <w:rsid w:val="00705B9C"/>
    <w:rsid w:val="00711372"/>
    <w:rsid w:val="00716D3D"/>
    <w:rsid w:val="0071784A"/>
    <w:rsid w:val="0072139A"/>
    <w:rsid w:val="0072255C"/>
    <w:rsid w:val="00723842"/>
    <w:rsid w:val="00723FCD"/>
    <w:rsid w:val="00724E12"/>
    <w:rsid w:val="00730ACA"/>
    <w:rsid w:val="00735D2F"/>
    <w:rsid w:val="00737D41"/>
    <w:rsid w:val="0074041C"/>
    <w:rsid w:val="00740900"/>
    <w:rsid w:val="007411C7"/>
    <w:rsid w:val="00742C79"/>
    <w:rsid w:val="00743E44"/>
    <w:rsid w:val="007449F0"/>
    <w:rsid w:val="007471DB"/>
    <w:rsid w:val="00747F58"/>
    <w:rsid w:val="00750BB2"/>
    <w:rsid w:val="00751C4A"/>
    <w:rsid w:val="00752FB5"/>
    <w:rsid w:val="00754790"/>
    <w:rsid w:val="007566F7"/>
    <w:rsid w:val="00756924"/>
    <w:rsid w:val="00757391"/>
    <w:rsid w:val="0075764F"/>
    <w:rsid w:val="007601AB"/>
    <w:rsid w:val="007612C9"/>
    <w:rsid w:val="00764E8A"/>
    <w:rsid w:val="00772FE5"/>
    <w:rsid w:val="00773979"/>
    <w:rsid w:val="007813E1"/>
    <w:rsid w:val="00786652"/>
    <w:rsid w:val="007A0BC6"/>
    <w:rsid w:val="007A1D49"/>
    <w:rsid w:val="007B2644"/>
    <w:rsid w:val="007B5375"/>
    <w:rsid w:val="007C03B7"/>
    <w:rsid w:val="007C3402"/>
    <w:rsid w:val="007C64F3"/>
    <w:rsid w:val="007D54A5"/>
    <w:rsid w:val="007D62DE"/>
    <w:rsid w:val="007E5EAC"/>
    <w:rsid w:val="007F1D5F"/>
    <w:rsid w:val="007F5617"/>
    <w:rsid w:val="007F7459"/>
    <w:rsid w:val="008012B7"/>
    <w:rsid w:val="00802E6E"/>
    <w:rsid w:val="008055A2"/>
    <w:rsid w:val="00805D09"/>
    <w:rsid w:val="0081466A"/>
    <w:rsid w:val="00815526"/>
    <w:rsid w:val="00815671"/>
    <w:rsid w:val="00816630"/>
    <w:rsid w:val="0081674A"/>
    <w:rsid w:val="00816750"/>
    <w:rsid w:val="008168BD"/>
    <w:rsid w:val="00820A16"/>
    <w:rsid w:val="00822D9D"/>
    <w:rsid w:val="00824A02"/>
    <w:rsid w:val="00825CE1"/>
    <w:rsid w:val="008274FC"/>
    <w:rsid w:val="00835F7B"/>
    <w:rsid w:val="008360B9"/>
    <w:rsid w:val="008365B2"/>
    <w:rsid w:val="00837AC6"/>
    <w:rsid w:val="00841D4F"/>
    <w:rsid w:val="00847793"/>
    <w:rsid w:val="0084787F"/>
    <w:rsid w:val="0085060F"/>
    <w:rsid w:val="00853997"/>
    <w:rsid w:val="008550EF"/>
    <w:rsid w:val="008564F7"/>
    <w:rsid w:val="00857126"/>
    <w:rsid w:val="00861623"/>
    <w:rsid w:val="008634ED"/>
    <w:rsid w:val="00863E78"/>
    <w:rsid w:val="00865A79"/>
    <w:rsid w:val="00873375"/>
    <w:rsid w:val="00873BBB"/>
    <w:rsid w:val="00874BB0"/>
    <w:rsid w:val="00877068"/>
    <w:rsid w:val="008805F6"/>
    <w:rsid w:val="008826A7"/>
    <w:rsid w:val="00882995"/>
    <w:rsid w:val="00882F3C"/>
    <w:rsid w:val="00882FA9"/>
    <w:rsid w:val="008850EE"/>
    <w:rsid w:val="00890B64"/>
    <w:rsid w:val="00896FC5"/>
    <w:rsid w:val="008A063B"/>
    <w:rsid w:val="008A0D7B"/>
    <w:rsid w:val="008A3F0E"/>
    <w:rsid w:val="008A42D2"/>
    <w:rsid w:val="008A55C3"/>
    <w:rsid w:val="008B1BBD"/>
    <w:rsid w:val="008B66AD"/>
    <w:rsid w:val="008C065B"/>
    <w:rsid w:val="008C094D"/>
    <w:rsid w:val="008C11F1"/>
    <w:rsid w:val="008C1648"/>
    <w:rsid w:val="008C78FB"/>
    <w:rsid w:val="008D1329"/>
    <w:rsid w:val="008D1EE1"/>
    <w:rsid w:val="008D224D"/>
    <w:rsid w:val="008D385A"/>
    <w:rsid w:val="008D47D6"/>
    <w:rsid w:val="008D6F55"/>
    <w:rsid w:val="008D7ABC"/>
    <w:rsid w:val="008E027B"/>
    <w:rsid w:val="008E0B21"/>
    <w:rsid w:val="008E22E7"/>
    <w:rsid w:val="008E3A11"/>
    <w:rsid w:val="00903BF9"/>
    <w:rsid w:val="009128CF"/>
    <w:rsid w:val="00912BC8"/>
    <w:rsid w:val="009171DE"/>
    <w:rsid w:val="00920CA1"/>
    <w:rsid w:val="00921679"/>
    <w:rsid w:val="0092445B"/>
    <w:rsid w:val="00926D77"/>
    <w:rsid w:val="009278EB"/>
    <w:rsid w:val="009315A7"/>
    <w:rsid w:val="0093439A"/>
    <w:rsid w:val="00934502"/>
    <w:rsid w:val="00934891"/>
    <w:rsid w:val="00935547"/>
    <w:rsid w:val="0094003E"/>
    <w:rsid w:val="00941F25"/>
    <w:rsid w:val="009426DC"/>
    <w:rsid w:val="00942BA1"/>
    <w:rsid w:val="00944193"/>
    <w:rsid w:val="0094609F"/>
    <w:rsid w:val="00946CCC"/>
    <w:rsid w:val="009475C2"/>
    <w:rsid w:val="00951590"/>
    <w:rsid w:val="00953249"/>
    <w:rsid w:val="00954985"/>
    <w:rsid w:val="009556A8"/>
    <w:rsid w:val="00957470"/>
    <w:rsid w:val="009606AE"/>
    <w:rsid w:val="0096202A"/>
    <w:rsid w:val="00962AC4"/>
    <w:rsid w:val="009634A3"/>
    <w:rsid w:val="00964482"/>
    <w:rsid w:val="00964675"/>
    <w:rsid w:val="00966A9E"/>
    <w:rsid w:val="00966E20"/>
    <w:rsid w:val="00967A65"/>
    <w:rsid w:val="00970039"/>
    <w:rsid w:val="00970829"/>
    <w:rsid w:val="009742D4"/>
    <w:rsid w:val="00976994"/>
    <w:rsid w:val="00976F6F"/>
    <w:rsid w:val="00980B44"/>
    <w:rsid w:val="00983391"/>
    <w:rsid w:val="00990488"/>
    <w:rsid w:val="00991B82"/>
    <w:rsid w:val="0099723A"/>
    <w:rsid w:val="009A1B09"/>
    <w:rsid w:val="009A2662"/>
    <w:rsid w:val="009A3342"/>
    <w:rsid w:val="009A4D6D"/>
    <w:rsid w:val="009A4E77"/>
    <w:rsid w:val="009C03BE"/>
    <w:rsid w:val="009C79F9"/>
    <w:rsid w:val="009C7FB0"/>
    <w:rsid w:val="009D34D1"/>
    <w:rsid w:val="009D4AAF"/>
    <w:rsid w:val="009D4FD2"/>
    <w:rsid w:val="009E00B5"/>
    <w:rsid w:val="009E381E"/>
    <w:rsid w:val="009E79E4"/>
    <w:rsid w:val="009F1B41"/>
    <w:rsid w:val="009F6BC5"/>
    <w:rsid w:val="009F7048"/>
    <w:rsid w:val="009F74F9"/>
    <w:rsid w:val="009F760C"/>
    <w:rsid w:val="00A00B3E"/>
    <w:rsid w:val="00A06425"/>
    <w:rsid w:val="00A12423"/>
    <w:rsid w:val="00A148D0"/>
    <w:rsid w:val="00A14D7C"/>
    <w:rsid w:val="00A154F5"/>
    <w:rsid w:val="00A208F4"/>
    <w:rsid w:val="00A20A52"/>
    <w:rsid w:val="00A220DE"/>
    <w:rsid w:val="00A23099"/>
    <w:rsid w:val="00A249FD"/>
    <w:rsid w:val="00A30555"/>
    <w:rsid w:val="00A3072A"/>
    <w:rsid w:val="00A34FB1"/>
    <w:rsid w:val="00A41DF7"/>
    <w:rsid w:val="00A435A7"/>
    <w:rsid w:val="00A438DF"/>
    <w:rsid w:val="00A47305"/>
    <w:rsid w:val="00A50019"/>
    <w:rsid w:val="00A524D3"/>
    <w:rsid w:val="00A5271E"/>
    <w:rsid w:val="00A53537"/>
    <w:rsid w:val="00A543F5"/>
    <w:rsid w:val="00A549F1"/>
    <w:rsid w:val="00A60388"/>
    <w:rsid w:val="00A61D40"/>
    <w:rsid w:val="00A6319C"/>
    <w:rsid w:val="00A636BA"/>
    <w:rsid w:val="00A63DD9"/>
    <w:rsid w:val="00A65076"/>
    <w:rsid w:val="00A676E4"/>
    <w:rsid w:val="00A70333"/>
    <w:rsid w:val="00A70608"/>
    <w:rsid w:val="00A72B46"/>
    <w:rsid w:val="00A84E16"/>
    <w:rsid w:val="00A90773"/>
    <w:rsid w:val="00A90BEA"/>
    <w:rsid w:val="00A9541A"/>
    <w:rsid w:val="00A9634D"/>
    <w:rsid w:val="00AA6345"/>
    <w:rsid w:val="00AB09EE"/>
    <w:rsid w:val="00AB32FE"/>
    <w:rsid w:val="00AB3B42"/>
    <w:rsid w:val="00AB7B45"/>
    <w:rsid w:val="00AC00A2"/>
    <w:rsid w:val="00AC3809"/>
    <w:rsid w:val="00AD3A03"/>
    <w:rsid w:val="00AD3F3F"/>
    <w:rsid w:val="00AD7478"/>
    <w:rsid w:val="00AE0B24"/>
    <w:rsid w:val="00AE0D5F"/>
    <w:rsid w:val="00AE2A25"/>
    <w:rsid w:val="00AE3D87"/>
    <w:rsid w:val="00AE471F"/>
    <w:rsid w:val="00AE53CA"/>
    <w:rsid w:val="00AE75B9"/>
    <w:rsid w:val="00AF5CF2"/>
    <w:rsid w:val="00B04013"/>
    <w:rsid w:val="00B04B94"/>
    <w:rsid w:val="00B0732C"/>
    <w:rsid w:val="00B11711"/>
    <w:rsid w:val="00B12ECE"/>
    <w:rsid w:val="00B1581C"/>
    <w:rsid w:val="00B158A7"/>
    <w:rsid w:val="00B17897"/>
    <w:rsid w:val="00B24A30"/>
    <w:rsid w:val="00B26E40"/>
    <w:rsid w:val="00B3081E"/>
    <w:rsid w:val="00B32060"/>
    <w:rsid w:val="00B346CA"/>
    <w:rsid w:val="00B45840"/>
    <w:rsid w:val="00B47EBE"/>
    <w:rsid w:val="00B528EF"/>
    <w:rsid w:val="00B52D1A"/>
    <w:rsid w:val="00B54C5B"/>
    <w:rsid w:val="00B6117B"/>
    <w:rsid w:val="00B6236F"/>
    <w:rsid w:val="00B636FC"/>
    <w:rsid w:val="00B648C0"/>
    <w:rsid w:val="00B7439A"/>
    <w:rsid w:val="00B753E2"/>
    <w:rsid w:val="00B80C1F"/>
    <w:rsid w:val="00B90B34"/>
    <w:rsid w:val="00B90BBA"/>
    <w:rsid w:val="00B9215E"/>
    <w:rsid w:val="00B9371C"/>
    <w:rsid w:val="00B95117"/>
    <w:rsid w:val="00B97D5B"/>
    <w:rsid w:val="00BA165C"/>
    <w:rsid w:val="00BA1909"/>
    <w:rsid w:val="00BA1E2D"/>
    <w:rsid w:val="00BB181D"/>
    <w:rsid w:val="00BB3ED7"/>
    <w:rsid w:val="00BB513F"/>
    <w:rsid w:val="00BC7E52"/>
    <w:rsid w:val="00BD111C"/>
    <w:rsid w:val="00BD2939"/>
    <w:rsid w:val="00BE0D3D"/>
    <w:rsid w:val="00BE347B"/>
    <w:rsid w:val="00BE592A"/>
    <w:rsid w:val="00BE5B6B"/>
    <w:rsid w:val="00BE6245"/>
    <w:rsid w:val="00BE6EA8"/>
    <w:rsid w:val="00BE7E6C"/>
    <w:rsid w:val="00BF0D2C"/>
    <w:rsid w:val="00BF4118"/>
    <w:rsid w:val="00BF44C3"/>
    <w:rsid w:val="00BF76A5"/>
    <w:rsid w:val="00C00EF1"/>
    <w:rsid w:val="00C023C5"/>
    <w:rsid w:val="00C03749"/>
    <w:rsid w:val="00C03C0F"/>
    <w:rsid w:val="00C06B82"/>
    <w:rsid w:val="00C07673"/>
    <w:rsid w:val="00C10162"/>
    <w:rsid w:val="00C10747"/>
    <w:rsid w:val="00C15716"/>
    <w:rsid w:val="00C15954"/>
    <w:rsid w:val="00C22B36"/>
    <w:rsid w:val="00C23295"/>
    <w:rsid w:val="00C24C24"/>
    <w:rsid w:val="00C253FB"/>
    <w:rsid w:val="00C256E4"/>
    <w:rsid w:val="00C2632E"/>
    <w:rsid w:val="00C26A93"/>
    <w:rsid w:val="00C30311"/>
    <w:rsid w:val="00C31B9D"/>
    <w:rsid w:val="00C40FC2"/>
    <w:rsid w:val="00C423F5"/>
    <w:rsid w:val="00C5441F"/>
    <w:rsid w:val="00C605AC"/>
    <w:rsid w:val="00C607C7"/>
    <w:rsid w:val="00C60C27"/>
    <w:rsid w:val="00C62995"/>
    <w:rsid w:val="00C62F8D"/>
    <w:rsid w:val="00C63CF6"/>
    <w:rsid w:val="00C64556"/>
    <w:rsid w:val="00C646E6"/>
    <w:rsid w:val="00C67129"/>
    <w:rsid w:val="00C67A63"/>
    <w:rsid w:val="00C70C50"/>
    <w:rsid w:val="00C71397"/>
    <w:rsid w:val="00C71632"/>
    <w:rsid w:val="00C738EC"/>
    <w:rsid w:val="00C74CA2"/>
    <w:rsid w:val="00C82462"/>
    <w:rsid w:val="00C85785"/>
    <w:rsid w:val="00C8595F"/>
    <w:rsid w:val="00C87B52"/>
    <w:rsid w:val="00C90163"/>
    <w:rsid w:val="00C911D2"/>
    <w:rsid w:val="00C9220C"/>
    <w:rsid w:val="00C92488"/>
    <w:rsid w:val="00C9383C"/>
    <w:rsid w:val="00C94B38"/>
    <w:rsid w:val="00C956DE"/>
    <w:rsid w:val="00C95D65"/>
    <w:rsid w:val="00C97C72"/>
    <w:rsid w:val="00C97F81"/>
    <w:rsid w:val="00CA36E2"/>
    <w:rsid w:val="00CA4FC2"/>
    <w:rsid w:val="00CB4BE6"/>
    <w:rsid w:val="00CB5E24"/>
    <w:rsid w:val="00CC1F6C"/>
    <w:rsid w:val="00CC2ED3"/>
    <w:rsid w:val="00CC6558"/>
    <w:rsid w:val="00CD02AF"/>
    <w:rsid w:val="00CD5431"/>
    <w:rsid w:val="00CD78A3"/>
    <w:rsid w:val="00CD7C44"/>
    <w:rsid w:val="00CE01FC"/>
    <w:rsid w:val="00CE3A42"/>
    <w:rsid w:val="00CE4322"/>
    <w:rsid w:val="00CE51DA"/>
    <w:rsid w:val="00CF12B1"/>
    <w:rsid w:val="00CF20C2"/>
    <w:rsid w:val="00CF34E0"/>
    <w:rsid w:val="00CF4021"/>
    <w:rsid w:val="00CF4690"/>
    <w:rsid w:val="00CF5427"/>
    <w:rsid w:val="00CF6046"/>
    <w:rsid w:val="00CF67B8"/>
    <w:rsid w:val="00D018FE"/>
    <w:rsid w:val="00D037A7"/>
    <w:rsid w:val="00D04C78"/>
    <w:rsid w:val="00D04F6B"/>
    <w:rsid w:val="00D05B8A"/>
    <w:rsid w:val="00D0656B"/>
    <w:rsid w:val="00D10DBD"/>
    <w:rsid w:val="00D1189B"/>
    <w:rsid w:val="00D17D18"/>
    <w:rsid w:val="00D306B1"/>
    <w:rsid w:val="00D330F1"/>
    <w:rsid w:val="00D34E71"/>
    <w:rsid w:val="00D35A9B"/>
    <w:rsid w:val="00D366B5"/>
    <w:rsid w:val="00D463EE"/>
    <w:rsid w:val="00D51C7B"/>
    <w:rsid w:val="00D57B98"/>
    <w:rsid w:val="00D57BA2"/>
    <w:rsid w:val="00D63DC5"/>
    <w:rsid w:val="00D70DD1"/>
    <w:rsid w:val="00D71A22"/>
    <w:rsid w:val="00D749C2"/>
    <w:rsid w:val="00D751AF"/>
    <w:rsid w:val="00D77AFF"/>
    <w:rsid w:val="00D80659"/>
    <w:rsid w:val="00D852F1"/>
    <w:rsid w:val="00D859EF"/>
    <w:rsid w:val="00D91777"/>
    <w:rsid w:val="00D927F6"/>
    <w:rsid w:val="00DA281C"/>
    <w:rsid w:val="00DA561B"/>
    <w:rsid w:val="00DB104B"/>
    <w:rsid w:val="00DB670A"/>
    <w:rsid w:val="00DB6B74"/>
    <w:rsid w:val="00DB7E5F"/>
    <w:rsid w:val="00DC256B"/>
    <w:rsid w:val="00DD017F"/>
    <w:rsid w:val="00DD3CD6"/>
    <w:rsid w:val="00DD46D0"/>
    <w:rsid w:val="00DD4F3C"/>
    <w:rsid w:val="00DE02C6"/>
    <w:rsid w:val="00DE0B43"/>
    <w:rsid w:val="00DE16E9"/>
    <w:rsid w:val="00DE6246"/>
    <w:rsid w:val="00DF57A8"/>
    <w:rsid w:val="00DF6A8E"/>
    <w:rsid w:val="00E00058"/>
    <w:rsid w:val="00E070E1"/>
    <w:rsid w:val="00E12029"/>
    <w:rsid w:val="00E17256"/>
    <w:rsid w:val="00E211FC"/>
    <w:rsid w:val="00E241FE"/>
    <w:rsid w:val="00E2502A"/>
    <w:rsid w:val="00E25B65"/>
    <w:rsid w:val="00E31D70"/>
    <w:rsid w:val="00E320C9"/>
    <w:rsid w:val="00E32220"/>
    <w:rsid w:val="00E3444C"/>
    <w:rsid w:val="00E358B1"/>
    <w:rsid w:val="00E3717D"/>
    <w:rsid w:val="00E43D09"/>
    <w:rsid w:val="00E44388"/>
    <w:rsid w:val="00E44DDB"/>
    <w:rsid w:val="00E47C39"/>
    <w:rsid w:val="00E525FB"/>
    <w:rsid w:val="00E52EB1"/>
    <w:rsid w:val="00E535F2"/>
    <w:rsid w:val="00E551D2"/>
    <w:rsid w:val="00E5780C"/>
    <w:rsid w:val="00E601A3"/>
    <w:rsid w:val="00E613C6"/>
    <w:rsid w:val="00E62C67"/>
    <w:rsid w:val="00E62EDE"/>
    <w:rsid w:val="00E64C44"/>
    <w:rsid w:val="00E66359"/>
    <w:rsid w:val="00E66656"/>
    <w:rsid w:val="00E67E2B"/>
    <w:rsid w:val="00E70A44"/>
    <w:rsid w:val="00E71753"/>
    <w:rsid w:val="00E7276F"/>
    <w:rsid w:val="00E73FD0"/>
    <w:rsid w:val="00E7408E"/>
    <w:rsid w:val="00E75E92"/>
    <w:rsid w:val="00E76F2F"/>
    <w:rsid w:val="00E7729D"/>
    <w:rsid w:val="00E80700"/>
    <w:rsid w:val="00E85314"/>
    <w:rsid w:val="00E8577C"/>
    <w:rsid w:val="00E875FC"/>
    <w:rsid w:val="00E87C7C"/>
    <w:rsid w:val="00E91D2D"/>
    <w:rsid w:val="00E9599E"/>
    <w:rsid w:val="00E95D24"/>
    <w:rsid w:val="00E96855"/>
    <w:rsid w:val="00E97ACB"/>
    <w:rsid w:val="00EA1035"/>
    <w:rsid w:val="00EA4D22"/>
    <w:rsid w:val="00EA607B"/>
    <w:rsid w:val="00EA6C54"/>
    <w:rsid w:val="00EB0181"/>
    <w:rsid w:val="00EC0057"/>
    <w:rsid w:val="00EC41B2"/>
    <w:rsid w:val="00EC722E"/>
    <w:rsid w:val="00EC77CD"/>
    <w:rsid w:val="00ED3E80"/>
    <w:rsid w:val="00ED5C21"/>
    <w:rsid w:val="00ED7D6D"/>
    <w:rsid w:val="00EE00E7"/>
    <w:rsid w:val="00EE0B11"/>
    <w:rsid w:val="00EE17DB"/>
    <w:rsid w:val="00EE2D22"/>
    <w:rsid w:val="00EE3D5F"/>
    <w:rsid w:val="00EE660F"/>
    <w:rsid w:val="00EF7CAC"/>
    <w:rsid w:val="00F0156A"/>
    <w:rsid w:val="00F048AD"/>
    <w:rsid w:val="00F06C01"/>
    <w:rsid w:val="00F07394"/>
    <w:rsid w:val="00F10940"/>
    <w:rsid w:val="00F118A4"/>
    <w:rsid w:val="00F1343F"/>
    <w:rsid w:val="00F13B4B"/>
    <w:rsid w:val="00F13C6F"/>
    <w:rsid w:val="00F2259F"/>
    <w:rsid w:val="00F251E8"/>
    <w:rsid w:val="00F25458"/>
    <w:rsid w:val="00F27A39"/>
    <w:rsid w:val="00F30F25"/>
    <w:rsid w:val="00F332FF"/>
    <w:rsid w:val="00F33F23"/>
    <w:rsid w:val="00F35FD4"/>
    <w:rsid w:val="00F41592"/>
    <w:rsid w:val="00F42EE6"/>
    <w:rsid w:val="00F439A2"/>
    <w:rsid w:val="00F43D25"/>
    <w:rsid w:val="00F46ADE"/>
    <w:rsid w:val="00F473BA"/>
    <w:rsid w:val="00F548CB"/>
    <w:rsid w:val="00F55484"/>
    <w:rsid w:val="00F60A62"/>
    <w:rsid w:val="00F61593"/>
    <w:rsid w:val="00F64E0D"/>
    <w:rsid w:val="00F66102"/>
    <w:rsid w:val="00F6769B"/>
    <w:rsid w:val="00F70D1C"/>
    <w:rsid w:val="00F72203"/>
    <w:rsid w:val="00F74285"/>
    <w:rsid w:val="00F811BA"/>
    <w:rsid w:val="00F8161C"/>
    <w:rsid w:val="00F81896"/>
    <w:rsid w:val="00F8480A"/>
    <w:rsid w:val="00F86DBF"/>
    <w:rsid w:val="00F90D24"/>
    <w:rsid w:val="00F91509"/>
    <w:rsid w:val="00F91E6B"/>
    <w:rsid w:val="00F97268"/>
    <w:rsid w:val="00FA69ED"/>
    <w:rsid w:val="00FA6EAD"/>
    <w:rsid w:val="00FB1957"/>
    <w:rsid w:val="00FB2300"/>
    <w:rsid w:val="00FB24F9"/>
    <w:rsid w:val="00FB7696"/>
    <w:rsid w:val="00FC20DA"/>
    <w:rsid w:val="00FC2292"/>
    <w:rsid w:val="00FC63A5"/>
    <w:rsid w:val="00FD2BE5"/>
    <w:rsid w:val="00FD59AE"/>
    <w:rsid w:val="00FE31EE"/>
    <w:rsid w:val="00FE52B0"/>
    <w:rsid w:val="00FE64E3"/>
    <w:rsid w:val="00FF1C09"/>
    <w:rsid w:val="00FF26B4"/>
    <w:rsid w:val="00FF337D"/>
    <w:rsid w:val="00FF3E1F"/>
    <w:rsid w:val="00FF45C6"/>
    <w:rsid w:val="00FF66F0"/>
    <w:rsid w:val="00FF795E"/>
    <w:rsid w:val="1BC85AA0"/>
    <w:rsid w:val="33FBCB8F"/>
    <w:rsid w:val="35D733DA"/>
    <w:rsid w:val="3AF6D68E"/>
    <w:rsid w:val="3E835A32"/>
    <w:rsid w:val="3FFFB0D4"/>
    <w:rsid w:val="42BF4B6A"/>
    <w:rsid w:val="51222640"/>
    <w:rsid w:val="6D7F6AA4"/>
    <w:rsid w:val="6DBD4044"/>
    <w:rsid w:val="6F7EE6C0"/>
    <w:rsid w:val="74FDC8E9"/>
    <w:rsid w:val="77E30EBF"/>
    <w:rsid w:val="7CDB2579"/>
    <w:rsid w:val="7FFF4423"/>
    <w:rsid w:val="B6DF4A09"/>
    <w:rsid w:val="DEBB7B14"/>
    <w:rsid w:val="DEEC2B11"/>
    <w:rsid w:val="EBFB2C49"/>
    <w:rsid w:val="FA49395A"/>
    <w:rsid w:val="FF57DEB2"/>
    <w:rsid w:val="FFFFB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lang w:val="zh-CN"/>
    </w:rPr>
  </w:style>
  <w:style w:type="paragraph" w:styleId="3">
    <w:name w:val="heading 3"/>
    <w:basedOn w:val="1"/>
    <w:next w:val="1"/>
    <w:link w:val="25"/>
    <w:qFormat/>
    <w:uiPriority w:val="0"/>
    <w:pPr>
      <w:keepNext/>
      <w:keepLines/>
      <w:spacing w:before="260" w:after="260" w:line="416" w:lineRule="auto"/>
      <w:outlineLvl w:val="2"/>
    </w:pPr>
    <w:rPr>
      <w:b/>
      <w:bCs/>
      <w:kern w:val="0"/>
      <w:sz w:val="32"/>
      <w:szCs w:val="32"/>
      <w:lang w:val="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ody Text"/>
    <w:basedOn w:val="1"/>
    <w:qFormat/>
    <w:uiPriority w:val="0"/>
    <w:pPr>
      <w:spacing w:after="120"/>
    </w:pPr>
  </w:style>
  <w:style w:type="paragraph" w:styleId="6">
    <w:name w:val="Body Text Indent"/>
    <w:basedOn w:val="1"/>
    <w:link w:val="36"/>
    <w:unhideWhenUsed/>
    <w:qFormat/>
    <w:uiPriority w:val="0"/>
    <w:pPr>
      <w:spacing w:after="120"/>
      <w:ind w:left="420" w:leftChars="200"/>
    </w:pPr>
    <w:rPr>
      <w:kern w:val="0"/>
      <w:sz w:val="20"/>
      <w:lang w:val="zh-CN"/>
    </w:rPr>
  </w:style>
  <w:style w:type="paragraph" w:styleId="7">
    <w:name w:val="toc 3"/>
    <w:basedOn w:val="1"/>
    <w:next w:val="1"/>
    <w:unhideWhenUsed/>
    <w:qFormat/>
    <w:uiPriority w:val="39"/>
    <w:pPr>
      <w:ind w:left="840" w:leftChars="400"/>
    </w:pPr>
  </w:style>
  <w:style w:type="paragraph" w:styleId="8">
    <w:name w:val="Date"/>
    <w:basedOn w:val="1"/>
    <w:next w:val="1"/>
    <w:link w:val="33"/>
    <w:unhideWhenUsed/>
    <w:qFormat/>
    <w:uiPriority w:val="0"/>
    <w:pPr>
      <w:ind w:left="100" w:leftChars="2500"/>
    </w:pPr>
    <w:rPr>
      <w:kern w:val="0"/>
      <w:sz w:val="20"/>
      <w:lang w:val="zh-CN"/>
    </w:rPr>
  </w:style>
  <w:style w:type="paragraph" w:styleId="9">
    <w:name w:val="Body Text Indent 2"/>
    <w:basedOn w:val="1"/>
    <w:link w:val="34"/>
    <w:qFormat/>
    <w:uiPriority w:val="0"/>
    <w:pPr>
      <w:spacing w:line="600" w:lineRule="exact"/>
      <w:ind w:firstLine="600" w:firstLineChars="200"/>
    </w:pPr>
    <w:rPr>
      <w:rFonts w:ascii="仿宋_GB2312" w:hAnsi="宋体" w:eastAsia="仿宋_GB2312"/>
      <w:kern w:val="0"/>
      <w:sz w:val="30"/>
      <w:szCs w:val="30"/>
      <w:lang w:val="zh-CN"/>
    </w:rPr>
  </w:style>
  <w:style w:type="paragraph" w:styleId="10">
    <w:name w:val="Balloon Text"/>
    <w:basedOn w:val="1"/>
    <w:link w:val="27"/>
    <w:semiHidden/>
    <w:qFormat/>
    <w:uiPriority w:val="0"/>
    <w:rPr>
      <w:kern w:val="0"/>
      <w:sz w:val="18"/>
      <w:szCs w:val="18"/>
      <w:lang w:val="zh-CN"/>
    </w:rPr>
  </w:style>
  <w:style w:type="paragraph" w:styleId="11">
    <w:name w:val="footer"/>
    <w:basedOn w:val="1"/>
    <w:link w:val="28"/>
    <w:qFormat/>
    <w:uiPriority w:val="99"/>
    <w:pPr>
      <w:tabs>
        <w:tab w:val="center" w:pos="4153"/>
        <w:tab w:val="right" w:pos="8306"/>
      </w:tabs>
      <w:snapToGrid w:val="0"/>
      <w:jc w:val="left"/>
    </w:pPr>
    <w:rPr>
      <w:kern w:val="0"/>
      <w:sz w:val="18"/>
      <w:szCs w:val="18"/>
      <w:lang w:val="zh-CN"/>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3">
    <w:name w:val="toc 1"/>
    <w:basedOn w:val="1"/>
    <w:next w:val="1"/>
    <w:unhideWhenUsed/>
    <w:qFormat/>
    <w:uiPriority w:val="39"/>
    <w:pPr>
      <w:tabs>
        <w:tab w:val="right" w:leader="dot" w:pos="8302"/>
      </w:tabs>
      <w:spacing w:line="360" w:lineRule="auto"/>
    </w:pPr>
  </w:style>
  <w:style w:type="paragraph" w:styleId="14">
    <w:name w:val="Body Text Indent 3"/>
    <w:basedOn w:val="1"/>
    <w:link w:val="29"/>
    <w:unhideWhenUsed/>
    <w:qFormat/>
    <w:uiPriority w:val="0"/>
    <w:pPr>
      <w:spacing w:after="120"/>
      <w:ind w:left="420" w:leftChars="200"/>
    </w:pPr>
    <w:rPr>
      <w:kern w:val="0"/>
      <w:sz w:val="16"/>
      <w:szCs w:val="16"/>
      <w:lang w:val="zh-CN"/>
    </w:rPr>
  </w:style>
  <w:style w:type="paragraph" w:styleId="15">
    <w:name w:val="HTML Preformatted"/>
    <w:basedOn w:val="1"/>
    <w:link w:val="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4"/>
    <w:next w:val="4"/>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basedOn w:val="20"/>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character" w:customStyle="1" w:styleId="25">
    <w:name w:val="标题 3 Char"/>
    <w:link w:val="3"/>
    <w:qFormat/>
    <w:uiPriority w:val="0"/>
    <w:rPr>
      <w:rFonts w:ascii="Times New Roman" w:hAnsi="Times New Roman" w:eastAsia="宋体" w:cs="Times New Roman"/>
      <w:b/>
      <w:bCs/>
      <w:sz w:val="32"/>
      <w:szCs w:val="32"/>
    </w:rPr>
  </w:style>
  <w:style w:type="character" w:customStyle="1" w:styleId="26">
    <w:name w:val="标题 1 Char"/>
    <w:link w:val="2"/>
    <w:qFormat/>
    <w:uiPriority w:val="0"/>
    <w:rPr>
      <w:rFonts w:ascii="Times New Roman" w:hAnsi="Times New Roman" w:eastAsia="宋体" w:cs="Times New Roman"/>
      <w:b/>
      <w:bCs/>
      <w:kern w:val="44"/>
      <w:sz w:val="44"/>
      <w:szCs w:val="44"/>
    </w:rPr>
  </w:style>
  <w:style w:type="character" w:customStyle="1" w:styleId="27">
    <w:name w:val="批注框文本 Char"/>
    <w:link w:val="10"/>
    <w:semiHidden/>
    <w:qFormat/>
    <w:uiPriority w:val="0"/>
    <w:rPr>
      <w:rFonts w:ascii="Times New Roman" w:hAnsi="Times New Roman" w:eastAsia="宋体" w:cs="Times New Roman"/>
      <w:sz w:val="18"/>
      <w:szCs w:val="18"/>
    </w:rPr>
  </w:style>
  <w:style w:type="character" w:customStyle="1" w:styleId="28">
    <w:name w:val="页脚 Char"/>
    <w:link w:val="11"/>
    <w:qFormat/>
    <w:uiPriority w:val="99"/>
    <w:rPr>
      <w:rFonts w:ascii="Times New Roman" w:hAnsi="Times New Roman" w:eastAsia="宋体" w:cs="Times New Roman"/>
      <w:sz w:val="18"/>
      <w:szCs w:val="18"/>
    </w:rPr>
  </w:style>
  <w:style w:type="character" w:customStyle="1" w:styleId="29">
    <w:name w:val="正文文本缩进 3 Char"/>
    <w:link w:val="14"/>
    <w:qFormat/>
    <w:uiPriority w:val="0"/>
    <w:rPr>
      <w:rFonts w:ascii="Times New Roman" w:hAnsi="Times New Roman" w:eastAsia="宋体" w:cs="Times New Roman"/>
      <w:sz w:val="16"/>
      <w:szCs w:val="16"/>
    </w:rPr>
  </w:style>
  <w:style w:type="character" w:customStyle="1" w:styleId="30">
    <w:name w:val="已访问的超链接1"/>
    <w:qFormat/>
    <w:uiPriority w:val="0"/>
    <w:rPr>
      <w:color w:val="800080"/>
      <w:u w:val="single"/>
    </w:rPr>
  </w:style>
  <w:style w:type="character" w:customStyle="1" w:styleId="31">
    <w:name w:val="页眉 Char"/>
    <w:link w:val="12"/>
    <w:qFormat/>
    <w:uiPriority w:val="99"/>
    <w:rPr>
      <w:rFonts w:ascii="Times New Roman" w:hAnsi="Times New Roman" w:eastAsia="宋体" w:cs="Times New Roman"/>
      <w:sz w:val="18"/>
      <w:szCs w:val="18"/>
    </w:rPr>
  </w:style>
  <w:style w:type="character" w:customStyle="1" w:styleId="32">
    <w:name w:val="HTML 预设格式 Char"/>
    <w:link w:val="15"/>
    <w:qFormat/>
    <w:uiPriority w:val="0"/>
    <w:rPr>
      <w:rFonts w:ascii="宋体" w:hAnsi="宋体" w:eastAsia="宋体" w:cs="宋体"/>
      <w:kern w:val="0"/>
      <w:sz w:val="24"/>
      <w:szCs w:val="24"/>
    </w:rPr>
  </w:style>
  <w:style w:type="character" w:customStyle="1" w:styleId="33">
    <w:name w:val="日期 Char"/>
    <w:link w:val="8"/>
    <w:qFormat/>
    <w:uiPriority w:val="0"/>
    <w:rPr>
      <w:rFonts w:ascii="Times New Roman" w:hAnsi="Times New Roman" w:eastAsia="宋体" w:cs="Times New Roman"/>
      <w:szCs w:val="24"/>
    </w:rPr>
  </w:style>
  <w:style w:type="character" w:customStyle="1" w:styleId="34">
    <w:name w:val="正文文本缩进 2 Char"/>
    <w:link w:val="9"/>
    <w:qFormat/>
    <w:uiPriority w:val="0"/>
    <w:rPr>
      <w:rFonts w:ascii="仿宋_GB2312" w:hAnsi="宋体" w:eastAsia="仿宋_GB2312" w:cs="Times New Roman"/>
      <w:sz w:val="30"/>
      <w:szCs w:val="30"/>
    </w:rPr>
  </w:style>
  <w:style w:type="character" w:customStyle="1" w:styleId="35">
    <w:name w:val="apple-style-span"/>
    <w:basedOn w:val="20"/>
    <w:qFormat/>
    <w:uiPriority w:val="0"/>
  </w:style>
  <w:style w:type="character" w:customStyle="1" w:styleId="36">
    <w:name w:val="正文文本缩进 Char"/>
    <w:link w:val="6"/>
    <w:qFormat/>
    <w:uiPriority w:val="0"/>
    <w:rPr>
      <w:rFonts w:ascii="Times New Roman" w:hAnsi="Times New Roman" w:eastAsia="宋体" w:cs="Times New Roman"/>
      <w:szCs w:val="24"/>
    </w:rPr>
  </w:style>
  <w:style w:type="paragraph" w:customStyle="1" w:styleId="37">
    <w:name w:val="修订1"/>
    <w:unhideWhenUsed/>
    <w:qFormat/>
    <w:uiPriority w:val="99"/>
    <w:rPr>
      <w:rFonts w:ascii="Times New Roman" w:hAnsi="Times New Roman" w:eastAsia="宋体" w:cs="Times New Roman"/>
      <w:kern w:val="2"/>
      <w:sz w:val="21"/>
      <w:szCs w:val="24"/>
      <w:lang w:val="en-US" w:eastAsia="zh-CN" w:bidi="ar-SA"/>
    </w:rPr>
  </w:style>
  <w:style w:type="paragraph" w:styleId="38">
    <w:name w:val="List Paragraph"/>
    <w:basedOn w:val="1"/>
    <w:qFormat/>
    <w:uiPriority w:val="34"/>
    <w:pPr>
      <w:ind w:firstLine="420" w:firstLineChars="200"/>
    </w:pPr>
  </w:style>
  <w:style w:type="paragraph" w:customStyle="1" w:styleId="3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40">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Fifth Edition" SelectedStyle="\APA.XSL"/>
</file>

<file path=customXml/itemProps1.xml><?xml version="1.0" encoding="utf-8"?>
<ds:datastoreItem xmlns:ds="http://schemas.openxmlformats.org/officeDocument/2006/customXml" ds:itemID="{5B95258E-B0E9-49A3-A0C4-9ED54656894D}">
  <ds:schemaRefs/>
</ds:datastoreItem>
</file>

<file path=docProps/app.xml><?xml version="1.0" encoding="utf-8"?>
<Properties xmlns="http://schemas.openxmlformats.org/officeDocument/2006/extended-properties" xmlns:vt="http://schemas.openxmlformats.org/officeDocument/2006/docPropsVTypes">
  <Template>Normal</Template>
  <Pages>9</Pages>
  <Words>575</Words>
  <Characters>3278</Characters>
  <Lines>27</Lines>
  <Paragraphs>7</Paragraphs>
  <TotalTime>3</TotalTime>
  <ScaleCrop>false</ScaleCrop>
  <LinksUpToDate>false</LinksUpToDate>
  <CharactersWithSpaces>3846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2023-08-04T10:57:00Z</dcterms:created>
  <dc:creator>whzhou</dc:creator>
  <cp:lastModifiedBy>wentinglou</cp:lastModifiedBy>
  <cp:lastPrinted>2012-11-20T09:56:00Z</cp:lastPrinted>
  <dcterms:modified xsi:type="dcterms:W3CDTF">2025-08-25T15:50:44Z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5AF6CDB480CD4F188113FA848C960F84_13</vt:lpwstr>
  </property>
</Properties>
</file>