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AC4E">
      <w:pPr>
        <w:jc w:val="center"/>
        <w:rPr>
          <w:rFonts w:ascii="黑体" w:hAnsi="黑体" w:eastAsia="黑体"/>
          <w:b/>
          <w:bCs/>
          <w:sz w:val="36"/>
          <w:szCs w:val="36"/>
        </w:rPr>
      </w:pPr>
      <w:bookmarkStart w:id="3" w:name="_GoBack"/>
      <w:bookmarkEnd w:id="3"/>
      <w:bookmarkStart w:id="0" w:name="_Toc50034148"/>
      <w:r>
        <w:rPr>
          <w:rFonts w:hint="eastAsia" w:ascii="黑体" w:hAnsi="黑体" w:eastAsia="黑体"/>
          <w:b/>
          <w:bCs/>
          <w:sz w:val="36"/>
          <w:szCs w:val="36"/>
        </w:rPr>
        <w:t>第三十八号</w:t>
      </w:r>
      <w:r>
        <w:rPr>
          <w:rFonts w:ascii="黑体" w:hAnsi="黑体" w:eastAsia="黑体"/>
          <w:b/>
          <w:bCs/>
          <w:sz w:val="36"/>
          <w:szCs w:val="36"/>
        </w:rPr>
        <w:t xml:space="preserve"> </w:t>
      </w:r>
      <w:r>
        <w:rPr>
          <w:rFonts w:hint="eastAsia" w:ascii="黑体" w:hAnsi="黑体" w:eastAsia="黑体"/>
          <w:b/>
          <w:bCs/>
          <w:sz w:val="36"/>
          <w:szCs w:val="36"/>
        </w:rPr>
        <w:t>上市公司回购股份方案、进展公告</w:t>
      </w:r>
      <w:bookmarkEnd w:id="0"/>
    </w:p>
    <w:p w14:paraId="0CF54DA7">
      <w:pPr>
        <w:autoSpaceDE w:val="0"/>
        <w:autoSpaceDN w:val="0"/>
        <w:adjustRightInd w:val="0"/>
        <w:spacing w:line="560" w:lineRule="exact"/>
        <w:jc w:val="center"/>
        <w:rPr>
          <w:rFonts w:ascii="宋体" w:hAnsi="宋体" w:cs="楷体_GB2312-WinCharSetFFFF-H"/>
          <w:color w:val="000000"/>
          <w:kern w:val="0"/>
          <w:sz w:val="32"/>
          <w:szCs w:val="32"/>
        </w:rPr>
      </w:pPr>
    </w:p>
    <w:p w14:paraId="3773DF95">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3B63842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1.上市公司拟以</w:t>
      </w:r>
      <w:bookmarkStart w:id="1" w:name="OLE_LINK19"/>
      <w:bookmarkStart w:id="2" w:name="OLE_LINK18"/>
      <w:r>
        <w:rPr>
          <w:rFonts w:hint="eastAsia" w:ascii="仿宋_GB2312" w:eastAsia="仿宋_GB2312"/>
          <w:color w:val="000000"/>
          <w:sz w:val="30"/>
          <w:szCs w:val="30"/>
        </w:rPr>
        <w:t>集中竞价交易方式</w:t>
      </w:r>
      <w:bookmarkEnd w:id="1"/>
      <w:bookmarkEnd w:id="2"/>
      <w:r>
        <w:rPr>
          <w:rFonts w:hint="eastAsia" w:ascii="仿宋_GB2312" w:eastAsia="仿宋_GB2312"/>
          <w:color w:val="000000"/>
          <w:sz w:val="30"/>
          <w:szCs w:val="30"/>
        </w:rPr>
        <w:t>回购股份，编制披露回购股份方案/进展公告的，适用本公告格式。</w:t>
      </w:r>
    </w:p>
    <w:p w14:paraId="02CBB64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2.上市公司拟以要约方式回购股份，编制披露回购股份方案/进展公告的，参照适用本公告格式。</w:t>
      </w:r>
    </w:p>
    <w:p w14:paraId="49624939">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3.A+H股上市公司仅回购H股股份的，不适用本公告格式，但应当遵守A股和H股市场同步信息披露的相关规定。</w:t>
      </w:r>
    </w:p>
    <w:p w14:paraId="55AEFE4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4.上市公司应当遵守证监会和本所相关规定，并参照本公告格式编制回购报告书。</w:t>
      </w:r>
    </w:p>
    <w:p w14:paraId="20547555">
      <w:pPr>
        <w:adjustRightInd w:val="0"/>
        <w:snapToGrid w:val="0"/>
        <w:spacing w:line="560" w:lineRule="exact"/>
        <w:rPr>
          <w:rFonts w:ascii="仿宋_GB2312" w:eastAsia="仿宋_GB2312"/>
          <w:color w:val="000000"/>
          <w:sz w:val="30"/>
          <w:szCs w:val="30"/>
        </w:rPr>
      </w:pPr>
    </w:p>
    <w:p w14:paraId="23D091B3">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5ACC0D85">
      <w:pPr>
        <w:adjustRightInd w:val="0"/>
        <w:snapToGrid w:val="0"/>
        <w:spacing w:line="560" w:lineRule="exact"/>
        <w:jc w:val="center"/>
        <w:rPr>
          <w:rFonts w:ascii="仿宋_GB2312" w:hAnsi="宋体" w:eastAsia="仿宋_GB2312"/>
          <w:color w:val="000000"/>
          <w:sz w:val="30"/>
          <w:szCs w:val="30"/>
        </w:rPr>
      </w:pPr>
    </w:p>
    <w:p w14:paraId="6CAD051B">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XXXX股份有限公司关于以集中竞价交易方式回购股份方案/进展公告</w:t>
      </w:r>
    </w:p>
    <w:p w14:paraId="69992754">
      <w:pPr>
        <w:snapToGrid w:val="0"/>
        <w:spacing w:line="560" w:lineRule="exact"/>
        <w:jc w:val="center"/>
        <w:rPr>
          <w:rFonts w:ascii="仿宋_GB2312" w:hAnsi="宋体" w:eastAsia="仿宋_GB2312"/>
          <w:color w:val="000000"/>
          <w:sz w:val="30"/>
          <w:szCs w:val="30"/>
        </w:rPr>
      </w:pPr>
    </w:p>
    <w:p w14:paraId="6338D835">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6D4ACC0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7B7769C">
      <w:pPr>
        <w:adjustRightInd w:val="0"/>
        <w:snapToGrid w:val="0"/>
        <w:spacing w:line="560" w:lineRule="exact"/>
        <w:rPr>
          <w:rFonts w:ascii="仿宋_GB2312" w:hAnsi="宋体" w:eastAsia="仿宋_GB2312"/>
          <w:sz w:val="30"/>
          <w:szCs w:val="30"/>
        </w:rPr>
      </w:pPr>
    </w:p>
    <w:p w14:paraId="329DA01D">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AE7AECA">
      <w:pPr>
        <w:pStyle w:val="12"/>
        <w:numPr>
          <w:ilvl w:val="0"/>
          <w:numId w:val="1"/>
        </w:numPr>
        <w:adjustRightInd w:val="0"/>
        <w:snapToGrid w:val="0"/>
        <w:spacing w:line="560" w:lineRule="exact"/>
        <w:ind w:firstLineChars="0"/>
        <w:rPr>
          <w:rFonts w:ascii="仿宋_GB2312" w:hAnsi="宋体" w:eastAsia="仿宋_GB2312"/>
          <w:bCs/>
          <w:sz w:val="30"/>
          <w:szCs w:val="30"/>
        </w:rPr>
      </w:pPr>
      <w:r>
        <w:rPr>
          <w:rFonts w:hint="eastAsia" w:ascii="仿宋_GB2312" w:hAnsi="宋体" w:eastAsia="仿宋_GB2312"/>
          <w:bCs/>
          <w:sz w:val="30"/>
          <w:szCs w:val="30"/>
        </w:rPr>
        <w:t>拟回购股份的用途、数量或资金总额、回购期限、回购价格或价格区间</w:t>
      </w:r>
    </w:p>
    <w:p w14:paraId="4DA82A79">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回购资金来源</w:t>
      </w:r>
    </w:p>
    <w:p w14:paraId="1EAE9285">
      <w:pPr>
        <w:numPr>
          <w:ilvl w:val="0"/>
          <w:numId w:val="1"/>
        </w:numPr>
        <w:adjustRightInd w:val="0"/>
        <w:snapToGrid w:val="0"/>
        <w:spacing w:line="560" w:lineRule="exact"/>
        <w:rPr>
          <w:rFonts w:ascii="仿宋" w:hAnsi="仿宋" w:eastAsia="仿宋_GB2312"/>
          <w:bCs/>
          <w:sz w:val="30"/>
          <w:szCs w:val="30"/>
        </w:rPr>
      </w:pPr>
      <w:r>
        <w:rPr>
          <w:rFonts w:hint="eastAsia" w:ascii="仿宋" w:hAnsi="仿宋" w:eastAsia="仿宋_GB2312"/>
          <w:bCs/>
          <w:sz w:val="30"/>
          <w:szCs w:val="30"/>
        </w:rPr>
        <w:t>相关风险提示，例如相关股东是否存在减持计划</w:t>
      </w:r>
    </w:p>
    <w:p w14:paraId="6F093BC8">
      <w:pPr>
        <w:numPr>
          <w:ilvl w:val="0"/>
          <w:numId w:val="1"/>
        </w:numPr>
        <w:adjustRightInd w:val="0"/>
        <w:snapToGrid w:val="0"/>
        <w:spacing w:line="560" w:lineRule="exact"/>
        <w:rPr>
          <w:rFonts w:ascii="仿宋" w:hAnsi="仿宋" w:eastAsia="仿宋_GB2312"/>
          <w:bCs/>
          <w:sz w:val="30"/>
          <w:szCs w:val="30"/>
        </w:rPr>
      </w:pPr>
      <w:r>
        <w:rPr>
          <w:rFonts w:hint="eastAsia" w:ascii="仿宋" w:hAnsi="仿宋" w:eastAsia="仿宋_GB2312"/>
          <w:bCs/>
          <w:sz w:val="30"/>
          <w:szCs w:val="30"/>
        </w:rPr>
        <w:t>回购方案的实施情况（适用于回购进展公告）</w:t>
      </w:r>
    </w:p>
    <w:p w14:paraId="30AE3AA6">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5F4F1FC9">
      <w:pPr>
        <w:ind w:firstLine="602" w:firstLineChars="200"/>
        <w:rPr>
          <w:rFonts w:ascii="黑体" w:hAnsi="黑体" w:eastAsia="黑体"/>
          <w:b/>
          <w:bCs/>
          <w:sz w:val="30"/>
          <w:szCs w:val="30"/>
        </w:rPr>
      </w:pPr>
      <w:r>
        <w:rPr>
          <w:rFonts w:hint="eastAsia" w:ascii="黑体" w:hAnsi="黑体" w:eastAsia="黑体"/>
          <w:b/>
          <w:bCs/>
          <w:sz w:val="30"/>
          <w:szCs w:val="30"/>
        </w:rPr>
        <w:t>一、回购方案的审议及实施程序</w:t>
      </w:r>
    </w:p>
    <w:p w14:paraId="0FF2C12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（一）本次回购股份方案提议及董事会审议情况</w:t>
      </w:r>
    </w:p>
    <w:p w14:paraId="29BDE1E9">
      <w:pPr>
        <w:autoSpaceDE w:val="0"/>
        <w:autoSpaceDN w:val="0"/>
        <w:adjustRightInd w:val="0"/>
        <w:snapToGrid w:val="0"/>
        <w:spacing w:line="560" w:lineRule="exact"/>
        <w:ind w:firstLine="600" w:firstLineChars="200"/>
        <w:rPr>
          <w:rFonts w:ascii="仿宋_GB2312" w:hAnsi="宋体" w:eastAsia="仿宋_GB2312"/>
          <w:b/>
          <w:color w:val="000000"/>
          <w:kern w:val="0"/>
          <w:sz w:val="30"/>
          <w:szCs w:val="30"/>
        </w:rPr>
      </w:pPr>
      <w:r>
        <w:rPr>
          <w:rFonts w:hint="eastAsia" w:ascii="仿宋_GB2312" w:hAnsi="宋体" w:eastAsia="仿宋_GB2312"/>
          <w:color w:val="000000"/>
          <w:kern w:val="0"/>
          <w:sz w:val="30"/>
          <w:szCs w:val="30"/>
        </w:rPr>
        <w:t>说明董事会审议情况，包括审议时间及结果等。</w:t>
      </w:r>
    </w:p>
    <w:p w14:paraId="6BA4A6D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如本次方案为</w:t>
      </w:r>
      <w:r>
        <w:rPr>
          <w:rFonts w:hint="eastAsia" w:ascii="仿宋_GB2312" w:hAnsi="宋体" w:eastAsia="仿宋_GB2312"/>
          <w:color w:val="000000"/>
          <w:kern w:val="0"/>
          <w:sz w:val="30"/>
          <w:szCs w:val="30"/>
        </w:rPr>
        <w:t>提议人提议的，说明提议的相关情况，包括提议人名称、与公司的关系、提议时间、提议的原因和目的等，并明确上述提议时间、程序和董事会审议时间、程序等均符合《上海证券交易所上市公司自律监管指引第7号——回购股份》（以下简称《回购指引》）等相关规定。（如适用）</w:t>
      </w:r>
    </w:p>
    <w:p w14:paraId="58880A4C">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（二）本次回购股份方案提交股东会审议情况</w:t>
      </w:r>
    </w:p>
    <w:p w14:paraId="7DBB4ED1">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明确回购股份方案是否需要提交股东会审议</w:t>
      </w:r>
      <w:r>
        <w:rPr>
          <w:rFonts w:hint="eastAsia" w:eastAsia="仿宋_GB2312" w:asciiTheme="minorHAnsi" w:hAnsiTheme="minorHAnsi"/>
          <w:bCs/>
          <w:color w:val="000000"/>
          <w:kern w:val="0"/>
          <w:sz w:val="30"/>
          <w:szCs w:val="30"/>
        </w:rPr>
        <w:t>及</w:t>
      </w:r>
      <w:r>
        <w:rPr>
          <w:rFonts w:hint="eastAsia" w:ascii="仿宋_GB2312" w:hAnsi="宋体" w:eastAsia="仿宋_GB2312"/>
          <w:bCs/>
          <w:color w:val="000000"/>
          <w:kern w:val="0"/>
          <w:sz w:val="30"/>
          <w:szCs w:val="30"/>
        </w:rPr>
        <w:t>具体情况。</w:t>
      </w:r>
    </w:p>
    <w:p w14:paraId="72D7F1F6">
      <w:pPr>
        <w:autoSpaceDE w:val="0"/>
        <w:autoSpaceDN w:val="0"/>
        <w:adjustRightInd w:val="0"/>
        <w:snapToGrid w:val="0"/>
        <w:spacing w:line="560" w:lineRule="exact"/>
        <w:ind w:firstLine="6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（三）公司为减少注册资本实施本次回购，根据《公司法》有关规定，尚需</w:t>
      </w:r>
      <w:r>
        <w:rPr>
          <w:rFonts w:ascii="仿宋_GB2312" w:hAnsi="宋体" w:eastAsia="仿宋_GB2312"/>
          <w:bCs/>
          <w:color w:val="000000"/>
          <w:kern w:val="0"/>
          <w:sz w:val="30"/>
          <w:szCs w:val="30"/>
        </w:rPr>
        <w:t>/</w:t>
      </w:r>
      <w:r>
        <w:rPr>
          <w:rFonts w:hint="eastAsia" w:ascii="仿宋_GB2312" w:hAnsi="宋体" w:eastAsia="仿宋_GB2312"/>
          <w:bCs/>
          <w:color w:val="000000"/>
          <w:kern w:val="0"/>
          <w:sz w:val="30"/>
          <w:szCs w:val="30"/>
        </w:rPr>
        <w:t>已经取得债权人同意。</w:t>
      </w:r>
    </w:p>
    <w:p w14:paraId="18254DB7">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（四）本次回购股份中存在</w:t>
      </w:r>
      <w:r>
        <w:rPr>
          <w:rFonts w:hint="eastAsia" w:ascii="仿宋_GB2312" w:hAnsi="宋体" w:eastAsia="仿宋_GB2312"/>
          <w:color w:val="000000"/>
          <w:kern w:val="0"/>
          <w:sz w:val="30"/>
          <w:szCs w:val="30"/>
        </w:rPr>
        <w:t>为维护公司价值及股东权益部分的，需要明确具体符合何种回购条件，明确</w:t>
      </w:r>
      <w:r>
        <w:rPr>
          <w:rFonts w:hint="eastAsia" w:ascii="仿宋_GB2312" w:hAnsi="宋体" w:eastAsia="仿宋_GB2312"/>
          <w:bCs/>
          <w:color w:val="000000"/>
          <w:kern w:val="0"/>
          <w:sz w:val="30"/>
          <w:szCs w:val="30"/>
        </w:rPr>
        <w:t>符合《回购指引》有关董事会召开时间和程序的要求。</w:t>
      </w:r>
    </w:p>
    <w:p w14:paraId="75603415">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编制提醒：为维护公司价值及股东权益部分的回购，需符合《回购指引》第二条第二款规定的“公司股票收盘价格低于最近一期每股净资产”、“连续20个交易日内公司股票收盘价格跌幅累计达到20%”或者“公司股票收盘价格低于最近一年股票最高收盘价格的50%”</w:t>
      </w:r>
      <w:r>
        <w:rPr>
          <w:rFonts w:hint="eastAsia" w:ascii="楷体" w:hAnsi="楷体" w:eastAsia="楷体" w:cs="宋体-WinCharSetFFFF-H"/>
          <w:color w:val="000000"/>
          <w:kern w:val="0"/>
          <w:sz w:val="24"/>
          <w:szCs w:val="24"/>
        </w:rPr>
        <w:t>等</w:t>
      </w:r>
      <w:r>
        <w:rPr>
          <w:rFonts w:ascii="楷体" w:hAnsi="楷体" w:eastAsia="楷体" w:cs="宋体-WinCharSetFFFF-H"/>
          <w:color w:val="000000"/>
          <w:kern w:val="0"/>
          <w:sz w:val="24"/>
          <w:szCs w:val="24"/>
        </w:rPr>
        <w:t>条件。）</w:t>
      </w:r>
    </w:p>
    <w:p w14:paraId="4FC23B2D">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p>
    <w:p w14:paraId="06C72555">
      <w:pPr>
        <w:ind w:firstLine="602" w:firstLineChars="200"/>
        <w:rPr>
          <w:rFonts w:ascii="黑体" w:hAnsi="黑体" w:eastAsia="黑体"/>
          <w:b/>
          <w:bCs/>
          <w:sz w:val="30"/>
          <w:szCs w:val="30"/>
        </w:rPr>
      </w:pPr>
      <w:r>
        <w:rPr>
          <w:rFonts w:hint="eastAsia" w:ascii="黑体" w:hAnsi="黑体" w:eastAsia="黑体"/>
          <w:b/>
          <w:bCs/>
          <w:sz w:val="30"/>
          <w:szCs w:val="30"/>
        </w:rPr>
        <w:t>二、回购方案的主要内容</w:t>
      </w:r>
    </w:p>
    <w:p w14:paraId="5CB832D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（一）公司本次回购股份的目的</w:t>
      </w:r>
    </w:p>
    <w:p w14:paraId="4FF344D0">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（二）拟回购股份的种类：A股/B股/A股和B股。</w:t>
      </w:r>
    </w:p>
    <w:p w14:paraId="79FDA6E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（三）拟回购股份的方式</w:t>
      </w:r>
    </w:p>
    <w:p w14:paraId="7EA95C67">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（四）回购期限、起止日期</w:t>
      </w:r>
    </w:p>
    <w:p w14:paraId="2EAACFA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回购实施期间，公司股票如因筹划重大事项连续停牌10个交易日以上的，回购方案将在股票复牌后顺延实施并及时披露。</w:t>
      </w:r>
    </w:p>
    <w:p w14:paraId="35D7C7E1">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（五）拟回购股份的用途、数量、占公司总股本的比例、资金总额</w:t>
      </w:r>
    </w:p>
    <w:tbl>
      <w:tblPr>
        <w:tblStyle w:val="8"/>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5"/>
        <w:gridCol w:w="1701"/>
        <w:gridCol w:w="1417"/>
        <w:gridCol w:w="1559"/>
        <w:gridCol w:w="2127"/>
        <w:gridCol w:w="1559"/>
      </w:tblGrid>
      <w:tr w14:paraId="3069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EBC901A">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序号</w:t>
            </w:r>
          </w:p>
        </w:tc>
        <w:tc>
          <w:tcPr>
            <w:tcW w:w="2836" w:type="dxa"/>
            <w:gridSpan w:val="2"/>
            <w:vAlign w:val="center"/>
          </w:tcPr>
          <w:p w14:paraId="2F33704A">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回购用途</w:t>
            </w:r>
          </w:p>
        </w:tc>
        <w:tc>
          <w:tcPr>
            <w:tcW w:w="1417" w:type="dxa"/>
            <w:vAlign w:val="center"/>
          </w:tcPr>
          <w:p w14:paraId="12562998">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拟回购数量</w:t>
            </w:r>
          </w:p>
          <w:p w14:paraId="2A94C57A">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（股）</w:t>
            </w:r>
          </w:p>
        </w:tc>
        <w:tc>
          <w:tcPr>
            <w:tcW w:w="1559" w:type="dxa"/>
            <w:vAlign w:val="center"/>
          </w:tcPr>
          <w:p w14:paraId="065746C0">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占公司总股本的比例（</w:t>
            </w:r>
            <w:r>
              <w:rPr>
                <w:rFonts w:ascii="仿宋" w:hAnsi="仿宋" w:eastAsia="仿宋_GB2312"/>
                <w:bCs/>
                <w:sz w:val="24"/>
                <w:szCs w:val="24"/>
              </w:rPr>
              <w:t>%）</w:t>
            </w:r>
          </w:p>
        </w:tc>
        <w:tc>
          <w:tcPr>
            <w:tcW w:w="2127" w:type="dxa"/>
            <w:vAlign w:val="center"/>
          </w:tcPr>
          <w:p w14:paraId="13A7A09E">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拟回购资金总额</w:t>
            </w:r>
          </w:p>
          <w:p w14:paraId="6F8E865A">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（万元）</w:t>
            </w:r>
          </w:p>
        </w:tc>
        <w:tc>
          <w:tcPr>
            <w:tcW w:w="1559" w:type="dxa"/>
            <w:vAlign w:val="center"/>
          </w:tcPr>
          <w:p w14:paraId="1B770C7F">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回购实施期限</w:t>
            </w:r>
          </w:p>
        </w:tc>
      </w:tr>
      <w:tr w14:paraId="5B0F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72572BBE">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1</w:t>
            </w:r>
          </w:p>
        </w:tc>
        <w:tc>
          <w:tcPr>
            <w:tcW w:w="2836" w:type="dxa"/>
            <w:gridSpan w:val="2"/>
            <w:vAlign w:val="center"/>
          </w:tcPr>
          <w:p w14:paraId="0148DA24">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减少注册资本</w:t>
            </w:r>
          </w:p>
        </w:tc>
        <w:tc>
          <w:tcPr>
            <w:tcW w:w="1417" w:type="dxa"/>
            <w:vAlign w:val="center"/>
          </w:tcPr>
          <w:p w14:paraId="7B3D1CE3">
            <w:pPr>
              <w:adjustRightInd w:val="0"/>
              <w:snapToGrid w:val="0"/>
              <w:spacing w:line="560" w:lineRule="exact"/>
              <w:jc w:val="center"/>
              <w:rPr>
                <w:rFonts w:ascii="仿宋" w:hAnsi="仿宋" w:eastAsia="仿宋_GB2312"/>
                <w:bCs/>
                <w:sz w:val="24"/>
                <w:szCs w:val="24"/>
              </w:rPr>
            </w:pPr>
          </w:p>
        </w:tc>
        <w:tc>
          <w:tcPr>
            <w:tcW w:w="1559" w:type="dxa"/>
            <w:vAlign w:val="center"/>
          </w:tcPr>
          <w:p w14:paraId="4E77A14D">
            <w:pPr>
              <w:adjustRightInd w:val="0"/>
              <w:snapToGrid w:val="0"/>
              <w:spacing w:line="560" w:lineRule="exact"/>
              <w:jc w:val="center"/>
              <w:rPr>
                <w:rFonts w:ascii="仿宋" w:hAnsi="仿宋" w:eastAsia="仿宋_GB2312"/>
                <w:bCs/>
                <w:sz w:val="24"/>
                <w:szCs w:val="24"/>
              </w:rPr>
            </w:pPr>
          </w:p>
        </w:tc>
        <w:tc>
          <w:tcPr>
            <w:tcW w:w="2127" w:type="dxa"/>
            <w:vAlign w:val="center"/>
          </w:tcPr>
          <w:p w14:paraId="281977AD">
            <w:pPr>
              <w:adjustRightInd w:val="0"/>
              <w:snapToGrid w:val="0"/>
              <w:spacing w:line="560" w:lineRule="exact"/>
              <w:jc w:val="center"/>
              <w:rPr>
                <w:rFonts w:ascii="仿宋" w:hAnsi="仿宋" w:eastAsia="仿宋_GB2312"/>
                <w:bCs/>
                <w:sz w:val="24"/>
                <w:szCs w:val="24"/>
              </w:rPr>
            </w:pPr>
          </w:p>
        </w:tc>
        <w:tc>
          <w:tcPr>
            <w:tcW w:w="1559" w:type="dxa"/>
            <w:vMerge w:val="restart"/>
            <w:vAlign w:val="center"/>
          </w:tcPr>
          <w:p w14:paraId="1F4B0AB9">
            <w:pPr>
              <w:adjustRightInd w:val="0"/>
              <w:snapToGrid w:val="0"/>
              <w:spacing w:line="560" w:lineRule="exact"/>
              <w:jc w:val="center"/>
              <w:rPr>
                <w:rFonts w:ascii="仿宋" w:hAnsi="仿宋" w:eastAsia="仿宋_GB2312"/>
                <w:bCs/>
                <w:sz w:val="24"/>
                <w:szCs w:val="24"/>
              </w:rPr>
            </w:pPr>
          </w:p>
        </w:tc>
      </w:tr>
      <w:tr w14:paraId="0ED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F3B4B92">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2</w:t>
            </w:r>
          </w:p>
        </w:tc>
        <w:tc>
          <w:tcPr>
            <w:tcW w:w="2836" w:type="dxa"/>
            <w:gridSpan w:val="2"/>
            <w:vAlign w:val="center"/>
          </w:tcPr>
          <w:p w14:paraId="36B1C01D">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用于员工持股计划</w:t>
            </w:r>
          </w:p>
        </w:tc>
        <w:tc>
          <w:tcPr>
            <w:tcW w:w="1417" w:type="dxa"/>
            <w:vAlign w:val="center"/>
          </w:tcPr>
          <w:p w14:paraId="10F81985">
            <w:pPr>
              <w:adjustRightInd w:val="0"/>
              <w:snapToGrid w:val="0"/>
              <w:spacing w:line="560" w:lineRule="exact"/>
              <w:jc w:val="center"/>
              <w:rPr>
                <w:rFonts w:ascii="仿宋" w:hAnsi="仿宋" w:eastAsia="仿宋_GB2312"/>
                <w:bCs/>
                <w:sz w:val="24"/>
                <w:szCs w:val="24"/>
              </w:rPr>
            </w:pPr>
          </w:p>
        </w:tc>
        <w:tc>
          <w:tcPr>
            <w:tcW w:w="1559" w:type="dxa"/>
            <w:vAlign w:val="center"/>
          </w:tcPr>
          <w:p w14:paraId="42F8CA7F">
            <w:pPr>
              <w:adjustRightInd w:val="0"/>
              <w:snapToGrid w:val="0"/>
              <w:spacing w:line="560" w:lineRule="exact"/>
              <w:jc w:val="center"/>
              <w:rPr>
                <w:rFonts w:ascii="仿宋" w:hAnsi="仿宋" w:eastAsia="仿宋_GB2312"/>
                <w:bCs/>
                <w:sz w:val="24"/>
                <w:szCs w:val="24"/>
              </w:rPr>
            </w:pPr>
          </w:p>
        </w:tc>
        <w:tc>
          <w:tcPr>
            <w:tcW w:w="2127" w:type="dxa"/>
            <w:vAlign w:val="center"/>
          </w:tcPr>
          <w:p w14:paraId="13656898">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14:paraId="7F20230D">
            <w:pPr>
              <w:adjustRightInd w:val="0"/>
              <w:snapToGrid w:val="0"/>
              <w:spacing w:line="560" w:lineRule="exact"/>
              <w:jc w:val="center"/>
              <w:rPr>
                <w:rFonts w:ascii="仿宋" w:hAnsi="仿宋" w:eastAsia="仿宋_GB2312"/>
                <w:bCs/>
                <w:sz w:val="24"/>
                <w:szCs w:val="24"/>
              </w:rPr>
            </w:pPr>
          </w:p>
        </w:tc>
      </w:tr>
      <w:tr w14:paraId="1D42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523197D">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3</w:t>
            </w:r>
          </w:p>
        </w:tc>
        <w:tc>
          <w:tcPr>
            <w:tcW w:w="2836" w:type="dxa"/>
            <w:gridSpan w:val="2"/>
            <w:vAlign w:val="center"/>
          </w:tcPr>
          <w:p w14:paraId="7B688DC7">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用于股权激励</w:t>
            </w:r>
          </w:p>
        </w:tc>
        <w:tc>
          <w:tcPr>
            <w:tcW w:w="1417" w:type="dxa"/>
            <w:vAlign w:val="center"/>
          </w:tcPr>
          <w:p w14:paraId="1BD17825">
            <w:pPr>
              <w:adjustRightInd w:val="0"/>
              <w:snapToGrid w:val="0"/>
              <w:spacing w:line="560" w:lineRule="exact"/>
              <w:jc w:val="center"/>
              <w:rPr>
                <w:rFonts w:ascii="仿宋" w:hAnsi="仿宋" w:eastAsia="仿宋_GB2312"/>
                <w:bCs/>
                <w:sz w:val="24"/>
                <w:szCs w:val="24"/>
              </w:rPr>
            </w:pPr>
          </w:p>
        </w:tc>
        <w:tc>
          <w:tcPr>
            <w:tcW w:w="1559" w:type="dxa"/>
            <w:vAlign w:val="center"/>
          </w:tcPr>
          <w:p w14:paraId="4CC9099D">
            <w:pPr>
              <w:adjustRightInd w:val="0"/>
              <w:snapToGrid w:val="0"/>
              <w:spacing w:line="560" w:lineRule="exact"/>
              <w:jc w:val="center"/>
              <w:rPr>
                <w:rFonts w:ascii="仿宋" w:hAnsi="仿宋" w:eastAsia="仿宋_GB2312"/>
                <w:bCs/>
                <w:sz w:val="24"/>
                <w:szCs w:val="24"/>
              </w:rPr>
            </w:pPr>
          </w:p>
        </w:tc>
        <w:tc>
          <w:tcPr>
            <w:tcW w:w="2127" w:type="dxa"/>
            <w:vAlign w:val="center"/>
          </w:tcPr>
          <w:p w14:paraId="00443209">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14:paraId="787E152C">
            <w:pPr>
              <w:adjustRightInd w:val="0"/>
              <w:snapToGrid w:val="0"/>
              <w:spacing w:line="560" w:lineRule="exact"/>
              <w:jc w:val="center"/>
              <w:rPr>
                <w:rFonts w:ascii="仿宋" w:hAnsi="仿宋" w:eastAsia="仿宋_GB2312"/>
                <w:bCs/>
                <w:sz w:val="24"/>
                <w:szCs w:val="24"/>
              </w:rPr>
            </w:pPr>
          </w:p>
        </w:tc>
      </w:tr>
      <w:tr w14:paraId="4E8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7445A799">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4</w:t>
            </w:r>
          </w:p>
        </w:tc>
        <w:tc>
          <w:tcPr>
            <w:tcW w:w="2836" w:type="dxa"/>
            <w:gridSpan w:val="2"/>
            <w:vAlign w:val="center"/>
          </w:tcPr>
          <w:p w14:paraId="10A6AF22">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用于转换公司可转债</w:t>
            </w:r>
          </w:p>
        </w:tc>
        <w:tc>
          <w:tcPr>
            <w:tcW w:w="1417" w:type="dxa"/>
            <w:vAlign w:val="center"/>
          </w:tcPr>
          <w:p w14:paraId="75E5EDD9">
            <w:pPr>
              <w:adjustRightInd w:val="0"/>
              <w:snapToGrid w:val="0"/>
              <w:spacing w:line="560" w:lineRule="exact"/>
              <w:jc w:val="center"/>
              <w:rPr>
                <w:rFonts w:ascii="仿宋" w:hAnsi="仿宋" w:eastAsia="仿宋_GB2312"/>
                <w:bCs/>
                <w:sz w:val="24"/>
                <w:szCs w:val="24"/>
              </w:rPr>
            </w:pPr>
          </w:p>
        </w:tc>
        <w:tc>
          <w:tcPr>
            <w:tcW w:w="1559" w:type="dxa"/>
            <w:vAlign w:val="center"/>
          </w:tcPr>
          <w:p w14:paraId="17C55855">
            <w:pPr>
              <w:adjustRightInd w:val="0"/>
              <w:snapToGrid w:val="0"/>
              <w:spacing w:line="560" w:lineRule="exact"/>
              <w:jc w:val="center"/>
              <w:rPr>
                <w:rFonts w:ascii="仿宋" w:hAnsi="仿宋" w:eastAsia="仿宋_GB2312"/>
                <w:bCs/>
                <w:sz w:val="24"/>
                <w:szCs w:val="24"/>
              </w:rPr>
            </w:pPr>
          </w:p>
        </w:tc>
        <w:tc>
          <w:tcPr>
            <w:tcW w:w="2127" w:type="dxa"/>
            <w:vAlign w:val="center"/>
          </w:tcPr>
          <w:p w14:paraId="0620C9A5">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14:paraId="746D8BCC">
            <w:pPr>
              <w:adjustRightInd w:val="0"/>
              <w:snapToGrid w:val="0"/>
              <w:spacing w:line="560" w:lineRule="exact"/>
              <w:jc w:val="center"/>
              <w:rPr>
                <w:rFonts w:ascii="仿宋" w:hAnsi="仿宋" w:eastAsia="仿宋_GB2312"/>
                <w:bCs/>
                <w:sz w:val="24"/>
                <w:szCs w:val="24"/>
              </w:rPr>
            </w:pPr>
          </w:p>
        </w:tc>
      </w:tr>
      <w:tr w14:paraId="2E76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vAlign w:val="center"/>
          </w:tcPr>
          <w:p w14:paraId="198DDBC7">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5</w:t>
            </w:r>
          </w:p>
        </w:tc>
        <w:tc>
          <w:tcPr>
            <w:tcW w:w="1135" w:type="dxa"/>
            <w:vMerge w:val="restart"/>
            <w:vAlign w:val="center"/>
          </w:tcPr>
          <w:p w14:paraId="2EDEAF1C">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为维护公司价值及股东权益</w:t>
            </w:r>
          </w:p>
        </w:tc>
        <w:tc>
          <w:tcPr>
            <w:tcW w:w="1701" w:type="dxa"/>
            <w:vAlign w:val="center"/>
          </w:tcPr>
          <w:p w14:paraId="5D6D8623">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减少注册资本</w:t>
            </w:r>
          </w:p>
        </w:tc>
        <w:tc>
          <w:tcPr>
            <w:tcW w:w="1417" w:type="dxa"/>
            <w:vAlign w:val="center"/>
          </w:tcPr>
          <w:p w14:paraId="6587A2A8">
            <w:pPr>
              <w:adjustRightInd w:val="0"/>
              <w:snapToGrid w:val="0"/>
              <w:spacing w:line="560" w:lineRule="exact"/>
              <w:jc w:val="center"/>
              <w:rPr>
                <w:rFonts w:ascii="仿宋" w:hAnsi="仿宋" w:eastAsia="仿宋_GB2312"/>
                <w:bCs/>
                <w:sz w:val="24"/>
                <w:szCs w:val="24"/>
              </w:rPr>
            </w:pPr>
          </w:p>
        </w:tc>
        <w:tc>
          <w:tcPr>
            <w:tcW w:w="1559" w:type="dxa"/>
            <w:vAlign w:val="center"/>
          </w:tcPr>
          <w:p w14:paraId="13063DE6">
            <w:pPr>
              <w:adjustRightInd w:val="0"/>
              <w:snapToGrid w:val="0"/>
              <w:spacing w:line="560" w:lineRule="exact"/>
              <w:jc w:val="center"/>
              <w:rPr>
                <w:rFonts w:ascii="仿宋" w:hAnsi="仿宋" w:eastAsia="仿宋_GB2312"/>
                <w:bCs/>
                <w:sz w:val="24"/>
                <w:szCs w:val="24"/>
              </w:rPr>
            </w:pPr>
          </w:p>
        </w:tc>
        <w:tc>
          <w:tcPr>
            <w:tcW w:w="2127" w:type="dxa"/>
            <w:vAlign w:val="center"/>
          </w:tcPr>
          <w:p w14:paraId="304B8A9D">
            <w:pPr>
              <w:adjustRightInd w:val="0"/>
              <w:snapToGrid w:val="0"/>
              <w:spacing w:line="560" w:lineRule="exact"/>
              <w:jc w:val="center"/>
              <w:rPr>
                <w:rFonts w:ascii="仿宋" w:hAnsi="仿宋" w:eastAsia="仿宋_GB2312"/>
                <w:bCs/>
                <w:sz w:val="24"/>
                <w:szCs w:val="24"/>
              </w:rPr>
            </w:pPr>
          </w:p>
        </w:tc>
        <w:tc>
          <w:tcPr>
            <w:tcW w:w="1559" w:type="dxa"/>
            <w:vMerge w:val="restart"/>
            <w:vAlign w:val="center"/>
          </w:tcPr>
          <w:p w14:paraId="7CF15027">
            <w:pPr>
              <w:adjustRightInd w:val="0"/>
              <w:snapToGrid w:val="0"/>
              <w:spacing w:line="560" w:lineRule="exact"/>
              <w:jc w:val="center"/>
              <w:rPr>
                <w:rFonts w:ascii="仿宋" w:hAnsi="仿宋" w:eastAsia="仿宋_GB2312"/>
                <w:bCs/>
                <w:sz w:val="24"/>
                <w:szCs w:val="24"/>
              </w:rPr>
            </w:pPr>
          </w:p>
        </w:tc>
      </w:tr>
      <w:tr w14:paraId="0EAC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14:paraId="2CFB4DBA">
            <w:pPr>
              <w:adjustRightInd w:val="0"/>
              <w:snapToGrid w:val="0"/>
              <w:spacing w:line="560" w:lineRule="exact"/>
              <w:jc w:val="center"/>
              <w:rPr>
                <w:rFonts w:ascii="仿宋" w:hAnsi="仿宋" w:eastAsia="仿宋"/>
                <w:bCs/>
                <w:sz w:val="24"/>
                <w:szCs w:val="24"/>
              </w:rPr>
            </w:pPr>
          </w:p>
        </w:tc>
        <w:tc>
          <w:tcPr>
            <w:tcW w:w="1135" w:type="dxa"/>
            <w:vMerge w:val="continue"/>
            <w:vAlign w:val="center"/>
          </w:tcPr>
          <w:p w14:paraId="2DA7FA82">
            <w:pPr>
              <w:adjustRightInd w:val="0"/>
              <w:snapToGrid w:val="0"/>
              <w:spacing w:line="560" w:lineRule="exact"/>
              <w:jc w:val="center"/>
              <w:rPr>
                <w:rFonts w:ascii="仿宋" w:hAnsi="仿宋" w:eastAsia="仿宋_GB2312"/>
                <w:bCs/>
                <w:sz w:val="24"/>
                <w:szCs w:val="24"/>
              </w:rPr>
            </w:pPr>
          </w:p>
        </w:tc>
        <w:tc>
          <w:tcPr>
            <w:tcW w:w="1701" w:type="dxa"/>
            <w:vAlign w:val="center"/>
          </w:tcPr>
          <w:p w14:paraId="24CDE10D">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出售</w:t>
            </w:r>
          </w:p>
        </w:tc>
        <w:tc>
          <w:tcPr>
            <w:tcW w:w="1417" w:type="dxa"/>
            <w:vAlign w:val="center"/>
          </w:tcPr>
          <w:p w14:paraId="45083422">
            <w:pPr>
              <w:adjustRightInd w:val="0"/>
              <w:snapToGrid w:val="0"/>
              <w:spacing w:line="560" w:lineRule="exact"/>
              <w:jc w:val="center"/>
              <w:rPr>
                <w:rFonts w:ascii="仿宋" w:hAnsi="仿宋" w:eastAsia="仿宋_GB2312"/>
                <w:bCs/>
                <w:sz w:val="24"/>
                <w:szCs w:val="24"/>
              </w:rPr>
            </w:pPr>
          </w:p>
        </w:tc>
        <w:tc>
          <w:tcPr>
            <w:tcW w:w="1559" w:type="dxa"/>
            <w:vAlign w:val="center"/>
          </w:tcPr>
          <w:p w14:paraId="51F2FF22">
            <w:pPr>
              <w:adjustRightInd w:val="0"/>
              <w:snapToGrid w:val="0"/>
              <w:spacing w:line="560" w:lineRule="exact"/>
              <w:jc w:val="center"/>
              <w:rPr>
                <w:rFonts w:ascii="仿宋" w:hAnsi="仿宋" w:eastAsia="仿宋_GB2312"/>
                <w:bCs/>
                <w:sz w:val="24"/>
                <w:szCs w:val="24"/>
              </w:rPr>
            </w:pPr>
          </w:p>
        </w:tc>
        <w:tc>
          <w:tcPr>
            <w:tcW w:w="2127" w:type="dxa"/>
            <w:vAlign w:val="center"/>
          </w:tcPr>
          <w:p w14:paraId="7AD4CB09">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14:paraId="48AF50BB">
            <w:pPr>
              <w:adjustRightInd w:val="0"/>
              <w:snapToGrid w:val="0"/>
              <w:spacing w:line="560" w:lineRule="exact"/>
              <w:jc w:val="center"/>
              <w:rPr>
                <w:rFonts w:ascii="仿宋" w:hAnsi="仿宋" w:eastAsia="仿宋_GB2312"/>
                <w:bCs/>
                <w:sz w:val="24"/>
                <w:szCs w:val="24"/>
              </w:rPr>
            </w:pPr>
          </w:p>
        </w:tc>
      </w:tr>
      <w:tr w14:paraId="4F1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14:paraId="57E06D00">
            <w:pPr>
              <w:adjustRightInd w:val="0"/>
              <w:snapToGrid w:val="0"/>
              <w:spacing w:line="560" w:lineRule="exact"/>
              <w:jc w:val="center"/>
              <w:rPr>
                <w:rFonts w:ascii="仿宋" w:hAnsi="仿宋" w:eastAsia="仿宋"/>
                <w:bCs/>
                <w:sz w:val="24"/>
                <w:szCs w:val="24"/>
              </w:rPr>
            </w:pPr>
          </w:p>
        </w:tc>
        <w:tc>
          <w:tcPr>
            <w:tcW w:w="1135" w:type="dxa"/>
            <w:vMerge w:val="continue"/>
            <w:vAlign w:val="center"/>
          </w:tcPr>
          <w:p w14:paraId="15CE7268">
            <w:pPr>
              <w:adjustRightInd w:val="0"/>
              <w:snapToGrid w:val="0"/>
              <w:spacing w:line="560" w:lineRule="exact"/>
              <w:jc w:val="center"/>
              <w:rPr>
                <w:rFonts w:ascii="仿宋" w:hAnsi="仿宋" w:eastAsia="仿宋_GB2312"/>
                <w:bCs/>
                <w:sz w:val="24"/>
                <w:szCs w:val="24"/>
              </w:rPr>
            </w:pPr>
          </w:p>
        </w:tc>
        <w:tc>
          <w:tcPr>
            <w:tcW w:w="1701" w:type="dxa"/>
            <w:vAlign w:val="center"/>
          </w:tcPr>
          <w:p w14:paraId="60920A03">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其他用途</w:t>
            </w:r>
          </w:p>
        </w:tc>
        <w:tc>
          <w:tcPr>
            <w:tcW w:w="1417" w:type="dxa"/>
            <w:vAlign w:val="center"/>
          </w:tcPr>
          <w:p w14:paraId="6EAA2601">
            <w:pPr>
              <w:adjustRightInd w:val="0"/>
              <w:snapToGrid w:val="0"/>
              <w:spacing w:line="560" w:lineRule="exact"/>
              <w:jc w:val="center"/>
              <w:rPr>
                <w:rFonts w:ascii="仿宋" w:hAnsi="仿宋" w:eastAsia="仿宋_GB2312"/>
                <w:bCs/>
                <w:sz w:val="24"/>
                <w:szCs w:val="24"/>
              </w:rPr>
            </w:pPr>
          </w:p>
        </w:tc>
        <w:tc>
          <w:tcPr>
            <w:tcW w:w="1559" w:type="dxa"/>
            <w:vAlign w:val="center"/>
          </w:tcPr>
          <w:p w14:paraId="15C550AD">
            <w:pPr>
              <w:adjustRightInd w:val="0"/>
              <w:snapToGrid w:val="0"/>
              <w:spacing w:line="560" w:lineRule="exact"/>
              <w:jc w:val="center"/>
              <w:rPr>
                <w:rFonts w:ascii="仿宋" w:hAnsi="仿宋" w:eastAsia="仿宋_GB2312"/>
                <w:bCs/>
                <w:sz w:val="24"/>
                <w:szCs w:val="24"/>
              </w:rPr>
            </w:pPr>
          </w:p>
        </w:tc>
        <w:tc>
          <w:tcPr>
            <w:tcW w:w="2127" w:type="dxa"/>
            <w:vAlign w:val="center"/>
          </w:tcPr>
          <w:p w14:paraId="42E85C83">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14:paraId="50897C19">
            <w:pPr>
              <w:adjustRightInd w:val="0"/>
              <w:snapToGrid w:val="0"/>
              <w:spacing w:line="560" w:lineRule="exact"/>
              <w:jc w:val="center"/>
              <w:rPr>
                <w:rFonts w:ascii="仿宋" w:hAnsi="仿宋" w:eastAsia="仿宋_GB2312"/>
                <w:bCs/>
                <w:sz w:val="24"/>
                <w:szCs w:val="24"/>
              </w:rPr>
            </w:pPr>
          </w:p>
        </w:tc>
      </w:tr>
      <w:tr w14:paraId="6EE8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gridSpan w:val="3"/>
            <w:vAlign w:val="center"/>
          </w:tcPr>
          <w:p w14:paraId="3DF0EB29">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合计</w:t>
            </w:r>
          </w:p>
        </w:tc>
        <w:tc>
          <w:tcPr>
            <w:tcW w:w="1417" w:type="dxa"/>
            <w:vAlign w:val="center"/>
          </w:tcPr>
          <w:p w14:paraId="5765011F">
            <w:pPr>
              <w:adjustRightInd w:val="0"/>
              <w:snapToGrid w:val="0"/>
              <w:spacing w:line="560" w:lineRule="exact"/>
              <w:jc w:val="center"/>
              <w:rPr>
                <w:rFonts w:ascii="仿宋" w:hAnsi="仿宋" w:eastAsia="仿宋_GB2312"/>
                <w:bCs/>
                <w:sz w:val="24"/>
                <w:szCs w:val="24"/>
              </w:rPr>
            </w:pPr>
          </w:p>
        </w:tc>
        <w:tc>
          <w:tcPr>
            <w:tcW w:w="1559" w:type="dxa"/>
            <w:vAlign w:val="center"/>
          </w:tcPr>
          <w:p w14:paraId="5222187D">
            <w:pPr>
              <w:adjustRightInd w:val="0"/>
              <w:snapToGrid w:val="0"/>
              <w:spacing w:line="560" w:lineRule="exact"/>
              <w:jc w:val="center"/>
              <w:rPr>
                <w:rFonts w:ascii="仿宋" w:hAnsi="仿宋" w:eastAsia="仿宋_GB2312"/>
                <w:bCs/>
                <w:sz w:val="24"/>
                <w:szCs w:val="24"/>
              </w:rPr>
            </w:pPr>
          </w:p>
        </w:tc>
        <w:tc>
          <w:tcPr>
            <w:tcW w:w="2127" w:type="dxa"/>
            <w:vAlign w:val="center"/>
          </w:tcPr>
          <w:p w14:paraId="015F0586">
            <w:pPr>
              <w:adjustRightInd w:val="0"/>
              <w:snapToGrid w:val="0"/>
              <w:spacing w:line="560" w:lineRule="exact"/>
              <w:jc w:val="center"/>
              <w:rPr>
                <w:rFonts w:ascii="仿宋" w:hAnsi="仿宋" w:eastAsia="仿宋_GB2312"/>
                <w:bCs/>
                <w:sz w:val="24"/>
                <w:szCs w:val="24"/>
              </w:rPr>
            </w:pPr>
          </w:p>
        </w:tc>
        <w:tc>
          <w:tcPr>
            <w:tcW w:w="1559" w:type="dxa"/>
            <w:vAlign w:val="center"/>
          </w:tcPr>
          <w:p w14:paraId="1A1E11FA">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w:t>
            </w:r>
          </w:p>
        </w:tc>
      </w:tr>
    </w:tbl>
    <w:p w14:paraId="100DBC98">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00B177D7">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1.公司应当合理安排回购规模和回购资金，并在回购股份方案中明确拟回购股份数量或者资金总额的上下限，且上限不得超出下限的1倍</w:t>
      </w:r>
      <w:r>
        <w:rPr>
          <w:rFonts w:hint="eastAsia" w:ascii="楷体" w:hAnsi="楷体" w:eastAsia="楷体" w:cs="宋体-WinCharSetFFFF-H"/>
          <w:color w:val="000000"/>
          <w:kern w:val="0"/>
          <w:sz w:val="24"/>
          <w:szCs w:val="24"/>
        </w:rPr>
        <w:t>；</w:t>
      </w:r>
    </w:p>
    <w:p w14:paraId="3710C685">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2.公司回购股份拟用于多种用途的，</w:t>
      </w:r>
      <w:r>
        <w:rPr>
          <w:rFonts w:hint="eastAsia" w:ascii="楷体" w:hAnsi="楷体" w:eastAsia="楷体" w:cs="宋体-WinCharSetFFFF-H"/>
          <w:color w:val="000000"/>
          <w:kern w:val="0"/>
          <w:sz w:val="24"/>
          <w:szCs w:val="24"/>
        </w:rPr>
        <w:t>原则上</w:t>
      </w:r>
      <w:r>
        <w:rPr>
          <w:rFonts w:ascii="楷体" w:hAnsi="楷体" w:eastAsia="楷体" w:cs="宋体-WinCharSetFFFF-H"/>
          <w:color w:val="000000"/>
          <w:kern w:val="0"/>
          <w:sz w:val="24"/>
          <w:szCs w:val="24"/>
        </w:rPr>
        <w:t>应当在回购股份方案中明确各用途具体对应的拟回购股份数量或者资金总额</w:t>
      </w:r>
      <w:r>
        <w:rPr>
          <w:rFonts w:hint="eastAsia" w:ascii="楷体" w:hAnsi="楷体" w:eastAsia="楷体" w:cs="宋体-WinCharSetFFFF-H"/>
          <w:color w:val="000000"/>
          <w:kern w:val="0"/>
          <w:sz w:val="24"/>
          <w:szCs w:val="24"/>
        </w:rPr>
        <w:t>；在符合回购用途相关规定的前提下，最晚可以不迟于回购计划实施完成日予以明确。）</w:t>
      </w:r>
    </w:p>
    <w:p w14:paraId="1FCDAEC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（六）本次回购的价格</w:t>
      </w:r>
    </w:p>
    <w:p w14:paraId="6EA5D2C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上市公司回购股份应当确定合理的价格区间，确保实施回购有切实可行的价格窗口。</w:t>
      </w:r>
      <w:r>
        <w:rPr>
          <w:rFonts w:hint="eastAsia" w:ascii="仿宋_GB2312" w:eastAsia="仿宋_GB2312"/>
          <w:color w:val="000000"/>
          <w:sz w:val="30"/>
          <w:szCs w:val="30"/>
        </w:rPr>
        <w:t>本次回购价格区间上限高于董事会通过回购股份决议前</w:t>
      </w:r>
      <w:r>
        <w:rPr>
          <w:rFonts w:ascii="仿宋_GB2312" w:eastAsia="仿宋_GB2312"/>
          <w:color w:val="000000"/>
          <w:sz w:val="30"/>
          <w:szCs w:val="30"/>
        </w:rPr>
        <w:t>30</w:t>
      </w:r>
      <w:r>
        <w:rPr>
          <w:rFonts w:hint="eastAsia" w:ascii="仿宋_GB2312" w:eastAsia="仿宋_GB2312"/>
          <w:color w:val="000000"/>
          <w:sz w:val="30"/>
          <w:szCs w:val="30"/>
        </w:rPr>
        <w:t>个交易日公司</w:t>
      </w:r>
      <w:r>
        <w:rPr>
          <w:rFonts w:ascii="仿宋_GB2312" w:eastAsia="仿宋_GB2312"/>
          <w:color w:val="000000"/>
          <w:sz w:val="30"/>
          <w:szCs w:val="30"/>
        </w:rPr>
        <w:t>股票</w:t>
      </w:r>
      <w:r>
        <w:rPr>
          <w:rFonts w:hint="eastAsia" w:ascii="仿宋_GB2312" w:eastAsia="仿宋_GB2312"/>
          <w:color w:val="000000"/>
          <w:sz w:val="30"/>
          <w:szCs w:val="30"/>
        </w:rPr>
        <w:t>交易均</w:t>
      </w:r>
      <w:r>
        <w:rPr>
          <w:rFonts w:ascii="仿宋_GB2312" w:eastAsia="仿宋_GB2312"/>
          <w:color w:val="000000"/>
          <w:sz w:val="30"/>
          <w:szCs w:val="30"/>
        </w:rPr>
        <w:t>价的150%</w:t>
      </w:r>
      <w:r>
        <w:rPr>
          <w:rFonts w:hint="eastAsia" w:ascii="仿宋_GB2312" w:eastAsia="仿宋_GB2312"/>
          <w:color w:val="000000"/>
          <w:sz w:val="30"/>
          <w:szCs w:val="30"/>
        </w:rPr>
        <w:t>，应当充分说明合理性</w:t>
      </w:r>
      <w:r>
        <w:rPr>
          <w:rFonts w:hint="eastAsia" w:ascii="仿宋_GB2312" w:eastAsia="仿宋_GB2312"/>
          <w:bCs/>
          <w:color w:val="000000"/>
          <w:sz w:val="30"/>
          <w:szCs w:val="30"/>
        </w:rPr>
        <w:t>（如适用）。</w:t>
      </w:r>
    </w:p>
    <w:p w14:paraId="49E2B51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（七）本次回购的资金总额和资金来源。</w:t>
      </w:r>
    </w:p>
    <w:p w14:paraId="2DED5871">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回购资金来源必须合法合规，公司应当根据实际情况如实披露回购资金来源。如使用优先股、债券募集的资金、发行普通股取得的超募资金、募投项目节余资金和已依法变更为永久补充流动资金的募集资金等，应当说明使用上述资金所履行的决策程序和信息披露情况；如使用其他合法资金的，应当披露其他合法资金的具体来源；如使用非自有资金的，应当披露具体的融资安排。）</w:t>
      </w:r>
    </w:p>
    <w:p w14:paraId="611634F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（八）预计回购后公司股权结构的变动情况</w:t>
      </w:r>
    </w:p>
    <w:p w14:paraId="56C5E19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（九）本次回购股份对公司日常经营、财务、研发、盈利能力、债务履行能力、未来发展及维持上市地位等可能产生的影响的分析</w:t>
      </w:r>
    </w:p>
    <w:p w14:paraId="7B075CC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（十）上市公司董事、高级管理人员、控股股东、实际控制人、回购提议人在董事会作出回购股份决议前</w:t>
      </w:r>
      <w:r>
        <w:rPr>
          <w:rFonts w:ascii="仿宋_GB2312" w:eastAsia="仿宋_GB2312"/>
          <w:color w:val="000000"/>
          <w:sz w:val="30"/>
          <w:szCs w:val="30"/>
        </w:rPr>
        <w:t>6</w:t>
      </w:r>
      <w:r>
        <w:rPr>
          <w:rFonts w:hint="eastAsia" w:ascii="仿宋_GB2312" w:eastAsia="仿宋_GB2312"/>
          <w:color w:val="000000"/>
          <w:sz w:val="30"/>
          <w:szCs w:val="30"/>
        </w:rPr>
        <w:t>个月内是否买卖本公司股份，是否与本次回购方案存在利益冲突、是否存在内幕交易及市场操纵，及其在回购期间是否存在增减持计划的情况说明：</w:t>
      </w:r>
    </w:p>
    <w:p w14:paraId="41334E2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XX买入/卖出公司股份XX万股，占公司总股本XX%。XX买入/卖出公司股份的原因是……，与本次回购方案是/否存在利益冲突，是/否存在内幕交易,是/否存在市场操纵。XX在回购期间不存在增减持计划/存在增减持计划的说明。</w:t>
      </w:r>
    </w:p>
    <w:p w14:paraId="7FCC33E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（十一）上市公司向董事、高级管理人员、控股股东、实际控制人、回购提议人、持股</w:t>
      </w:r>
      <w:r>
        <w:rPr>
          <w:rFonts w:ascii="仿宋_GB2312" w:eastAsia="仿宋_GB2312"/>
          <w:color w:val="000000"/>
          <w:sz w:val="30"/>
          <w:szCs w:val="30"/>
        </w:rPr>
        <w:t>5%以上</w:t>
      </w:r>
      <w:r>
        <w:rPr>
          <w:rFonts w:hint="eastAsia" w:ascii="仿宋_GB2312" w:eastAsia="仿宋_GB2312"/>
          <w:color w:val="000000"/>
          <w:sz w:val="30"/>
          <w:szCs w:val="30"/>
        </w:rPr>
        <w:t>的股东问询未来3个月、未来6个月等是否存在减持计划的具体情况：</w:t>
      </w:r>
    </w:p>
    <w:p w14:paraId="733D12F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XXXX年XX月XX日，公司向XX发出问询函，问询其未来3个月、未来6个月等是否存在减持计划。XX回复其未来3个月、未来6个月减持公司股份的计划情况。</w:t>
      </w:r>
    </w:p>
    <w:p w14:paraId="7A54219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XX未回复公司问询，其所持公司股份可能在公司回购期间进行减持，敬请投资者注意投资风险（如适用）。</w:t>
      </w:r>
    </w:p>
    <w:p w14:paraId="321D0A6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（十二）提议人提议回购的相关情况</w:t>
      </w:r>
    </w:p>
    <w:p w14:paraId="0398B24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提议人在提议前6个月内买卖本公司股份的情况，是否存在单独或者与他人联合进行内幕交易及操纵市场行为的说明，以及在回购期间的增减持计划</w:t>
      </w:r>
      <w:r>
        <w:rPr>
          <w:rFonts w:hint="eastAsia" w:ascii="仿宋_GB2312" w:eastAsia="仿宋_GB2312"/>
          <w:color w:val="000000"/>
          <w:sz w:val="30"/>
          <w:szCs w:val="30"/>
        </w:rPr>
        <w:t>（如适用）。</w:t>
      </w:r>
    </w:p>
    <w:p w14:paraId="09EC196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（十三）回购股份后依法注销或者转让的相关安排</w:t>
      </w:r>
    </w:p>
    <w:p w14:paraId="2297214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（十四）公司防范侵害债权人利益的相关安排</w:t>
      </w:r>
    </w:p>
    <w:p w14:paraId="0E2E5D3B">
      <w:pPr>
        <w:autoSpaceDE w:val="0"/>
        <w:autoSpaceDN w:val="0"/>
        <w:adjustRightInd w:val="0"/>
        <w:spacing w:line="560" w:lineRule="exact"/>
        <w:ind w:firstLine="600" w:firstLineChars="200"/>
        <w:rPr>
          <w:rFonts w:ascii="仿宋_GB2312" w:eastAsia="仿宋_GB2312"/>
          <w:bCs/>
          <w:color w:val="000000"/>
          <w:sz w:val="30"/>
          <w:szCs w:val="30"/>
        </w:rPr>
      </w:pPr>
      <w:r>
        <w:rPr>
          <w:rFonts w:hint="eastAsia" w:ascii="仿宋_GB2312" w:eastAsia="仿宋_GB2312"/>
          <w:color w:val="000000"/>
          <w:sz w:val="30"/>
          <w:szCs w:val="30"/>
        </w:rPr>
        <w:t>（十五）</w:t>
      </w:r>
      <w:r>
        <w:rPr>
          <w:rFonts w:hint="eastAsia" w:ascii="仿宋_GB2312" w:eastAsia="仿宋_GB2312"/>
          <w:bCs/>
          <w:color w:val="000000"/>
          <w:sz w:val="30"/>
          <w:szCs w:val="30"/>
        </w:rPr>
        <w:t>股东会</w:t>
      </w:r>
      <w:r>
        <w:rPr>
          <w:rFonts w:hint="eastAsia" w:ascii="仿宋_GB2312" w:eastAsia="仿宋_GB2312"/>
          <w:color w:val="000000"/>
          <w:sz w:val="30"/>
          <w:szCs w:val="30"/>
        </w:rPr>
        <w:t>对董事会办理本次回购股份事宜的具体授权，包括</w:t>
      </w:r>
      <w:r>
        <w:rPr>
          <w:rFonts w:hint="eastAsia" w:ascii="仿宋_GB2312" w:eastAsia="仿宋_GB2312"/>
          <w:bCs/>
          <w:color w:val="000000"/>
          <w:sz w:val="30"/>
          <w:szCs w:val="30"/>
        </w:rPr>
        <w:t>实施股份回购的具体情形和授权期限等内容</w:t>
      </w:r>
      <w:r>
        <w:rPr>
          <w:rFonts w:hint="eastAsia" w:ascii="仿宋_GB2312" w:eastAsia="仿宋_GB2312"/>
          <w:color w:val="000000"/>
          <w:sz w:val="30"/>
          <w:szCs w:val="30"/>
        </w:rPr>
        <w:t>（如适用）</w:t>
      </w:r>
    </w:p>
    <w:p w14:paraId="4AADDEA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（十六）本所要求披露的其他事项。</w:t>
      </w:r>
    </w:p>
    <w:p w14:paraId="5F5CCFA3">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05BD2A33">
      <w:pPr>
        <w:ind w:firstLine="602" w:firstLineChars="200"/>
        <w:rPr>
          <w:rFonts w:ascii="黑体" w:hAnsi="黑体" w:eastAsia="黑体"/>
          <w:b/>
          <w:bCs/>
          <w:sz w:val="30"/>
          <w:szCs w:val="30"/>
        </w:rPr>
      </w:pPr>
      <w:r>
        <w:rPr>
          <w:rFonts w:hint="eastAsia" w:ascii="黑体" w:hAnsi="黑体" w:eastAsia="黑体"/>
          <w:b/>
          <w:bCs/>
          <w:sz w:val="30"/>
          <w:szCs w:val="30"/>
        </w:rPr>
        <w:t>三、回购方案的不确定性风险</w:t>
      </w:r>
    </w:p>
    <w:p w14:paraId="2935AA6E">
      <w:pPr>
        <w:autoSpaceDE w:val="0"/>
        <w:autoSpaceDN w:val="0"/>
        <w:adjustRightInd w:val="0"/>
        <w:spacing w:line="560" w:lineRule="exact"/>
        <w:ind w:firstLine="576" w:firstLineChars="192"/>
        <w:jc w:val="left"/>
        <w:rPr>
          <w:rFonts w:ascii="仿宋_GB2312" w:eastAsia="仿宋_GB2312"/>
          <w:b/>
          <w:color w:val="000000"/>
          <w:sz w:val="30"/>
          <w:szCs w:val="30"/>
        </w:rPr>
      </w:pPr>
      <w:r>
        <w:rPr>
          <w:rFonts w:hint="eastAsia" w:ascii="仿宋_GB2312" w:eastAsia="仿宋_GB2312"/>
          <w:color w:val="000000"/>
          <w:sz w:val="30"/>
          <w:szCs w:val="30"/>
        </w:rPr>
        <w:t>公司应当披露回购方案可能面临如下不确定性风险，例如：</w:t>
      </w:r>
    </w:p>
    <w:p w14:paraId="3414ECDC">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（一）公司股东会未审议通过回购股份方案的风险（适用于回购方案需股东会审议的情形）；</w:t>
      </w:r>
    </w:p>
    <w:p w14:paraId="40535CAE">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（二）未获得债券持有人会议同意免于公司提前清偿或追加担保，或者公司无法满足其他债权人清偿债务或提供担保进而导致回购方案难以实施的风险（适用于回购注销的情形）；</w:t>
      </w:r>
    </w:p>
    <w:p w14:paraId="1421CB4C">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（三）公司股票价格持续超出回购方案披露的价格区间，导致回购方案无法实施的风险；</w:t>
      </w:r>
    </w:p>
    <w:p w14:paraId="40C8B6A1">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（四）回购股份所需资金未能到位，导致回购方案无法实施的风险；</w:t>
      </w:r>
    </w:p>
    <w:p w14:paraId="63AD3BB0">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（五）因公司生产经营、财务状况、外部客观情况发生重大变化等原因，可能根据规则变更或终止回购方案的风险；</w:t>
      </w:r>
    </w:p>
    <w:p w14:paraId="2323164E">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（六）其他风险。</w:t>
      </w:r>
    </w:p>
    <w:p w14:paraId="40DE5245">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针对上述风险，公司拟采取的应对措施。</w:t>
      </w:r>
    </w:p>
    <w:p w14:paraId="592D63F2">
      <w:pPr>
        <w:autoSpaceDE w:val="0"/>
        <w:autoSpaceDN w:val="0"/>
        <w:adjustRightInd w:val="0"/>
        <w:spacing w:line="560" w:lineRule="exact"/>
        <w:ind w:firstLine="576" w:firstLineChars="192"/>
        <w:jc w:val="left"/>
        <w:rPr>
          <w:rFonts w:ascii="仿宋_GB2312" w:eastAsia="仿宋_GB2312"/>
          <w:color w:val="000000"/>
          <w:sz w:val="30"/>
          <w:szCs w:val="30"/>
        </w:rPr>
      </w:pPr>
    </w:p>
    <w:p w14:paraId="798C504C">
      <w:pPr>
        <w:ind w:firstLine="602" w:firstLineChars="200"/>
        <w:rPr>
          <w:rFonts w:ascii="黑体" w:hAnsi="黑体" w:eastAsia="黑体"/>
          <w:b/>
          <w:bCs/>
          <w:sz w:val="30"/>
          <w:szCs w:val="30"/>
        </w:rPr>
      </w:pPr>
      <w:r>
        <w:rPr>
          <w:rFonts w:hint="eastAsia" w:ascii="黑体" w:hAnsi="黑体" w:eastAsia="黑体"/>
          <w:b/>
          <w:bCs/>
          <w:sz w:val="30"/>
          <w:szCs w:val="30"/>
        </w:rPr>
        <w:t>四、公司实施回购方案的进展</w:t>
      </w:r>
    </w:p>
    <w:p w14:paraId="62DAB8AD">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（编制提醒：上市公司应当在董事会或者股东会审议通过最终回购股份方案后，按照中国证监会和本所的有关规定及时披露回购报告书。）</w:t>
      </w:r>
    </w:p>
    <w:p w14:paraId="6BDD19C2">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w:t>
      </w:r>
    </w:p>
    <w:p w14:paraId="1C881C9D">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XX日，公司通过集中竞价交易方式首次回购股份XX万股，已回购股份占公司总股本的比例为XX%，购买的最高价为XX元/股、最低价为XX元/股，已支付的总金额为XX万元（适用于首次回购事实发生的进展公告）。</w:t>
      </w:r>
    </w:p>
    <w:p w14:paraId="69E20CE4">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截至XXXX年XX月XX日，公司通过集中竞价交易方式已累计回购股份XX万股，占公司总股本的比例为XX%，与上次披露数相比增加XX%，购买的最高价为XX元/股、最低价为XX元/股，已支付的总金额为XX万元（适用于回购股份占公司总股本的比例每增加</w:t>
      </w:r>
      <w:r>
        <w:rPr>
          <w:rFonts w:ascii="仿宋_GB2312" w:eastAsia="仿宋_GB2312"/>
          <w:color w:val="000000"/>
          <w:sz w:val="30"/>
          <w:szCs w:val="30"/>
        </w:rPr>
        <w:t>1%</w:t>
      </w:r>
      <w:r>
        <w:rPr>
          <w:rFonts w:hint="eastAsia" w:ascii="仿宋_GB2312" w:eastAsia="仿宋_GB2312"/>
          <w:color w:val="000000"/>
          <w:sz w:val="30"/>
          <w:szCs w:val="30"/>
        </w:rPr>
        <w:t>的进展公告）</w:t>
      </w:r>
    </w:p>
    <w:p w14:paraId="6CF164BD">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公司通过集中竞价交易方式已累计回购股份XX万股，占公司总股本的比例为XX%，购买的最高价为XX元/股、最低价为XX元/股，支付的金额为XX万元。截至XXXX年XX月月底，公司已累计回购股份XX万股，占公司总股本的比例为XX%，购买的最高价为XX元/股、最低价为XX元/股，已支付的总金额为XX万元（适用于每月回购进展公告）。</w:t>
      </w:r>
    </w:p>
    <w:p w14:paraId="1F089802">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股东会/第XX届董事会第XX次会议审议通过了回购方案，拟回购公司股份XX万股/XX万元，回购期限从XXXX年XX月XX日至XXXX年XX月XX日。截至XXXX年XX月XX日，回购期间已经过半。</w:t>
      </w:r>
    </w:p>
    <w:p w14:paraId="5F365843">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说明公司在前期未实施回购的主要原因，公司后续回购股份的具体安排（适用于实施期间过半仍未实施回购的情形）。</w:t>
      </w:r>
    </w:p>
    <w:p w14:paraId="62BABC86">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（三）本所要求的其他进展事项。</w:t>
      </w:r>
    </w:p>
    <w:p w14:paraId="7A9D1745">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5CDD3F4C">
      <w:pPr>
        <w:ind w:firstLine="602" w:firstLineChars="200"/>
        <w:rPr>
          <w:rFonts w:ascii="黑体" w:hAnsi="黑体" w:eastAsia="黑体"/>
          <w:b/>
          <w:bCs/>
          <w:sz w:val="30"/>
          <w:szCs w:val="30"/>
        </w:rPr>
      </w:pPr>
      <w:r>
        <w:rPr>
          <w:rFonts w:hint="eastAsia" w:ascii="黑体" w:hAnsi="黑体" w:eastAsia="黑体"/>
          <w:b/>
          <w:bCs/>
          <w:sz w:val="30"/>
          <w:szCs w:val="30"/>
        </w:rPr>
        <w:t>五、回购方案的变更或终止</w:t>
      </w:r>
    </w:p>
    <w:p w14:paraId="3EA97E1A">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w:t>
      </w:r>
    </w:p>
    <w:p w14:paraId="4E56BFC3">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（一）详细说明变更或终止回购方案的具体原因</w:t>
      </w:r>
    </w:p>
    <w:p w14:paraId="423D7146">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（二）变更或终止事项的具体内容</w:t>
      </w:r>
    </w:p>
    <w:p w14:paraId="58A6E798">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上市公司回购股份用于注销的，不得变更为其他用途。上市公司为维护公司价值及股东权益实施股份回购，拟用于出售的，应当在回购方案中明确披露。未在方案中明确披露的，不得变更为用于出售。）</w:t>
      </w:r>
    </w:p>
    <w:p w14:paraId="0AD135A6">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（三）变更或终止的合理性、必要性、可行性分析</w:t>
      </w:r>
    </w:p>
    <w:p w14:paraId="2723C61F">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（四）变更或终止对公司债务履行能力、持续经营能力及股东权益等产生的影响说明</w:t>
      </w:r>
    </w:p>
    <w:p w14:paraId="22ED4A73">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（五）所履行的决策程序</w:t>
      </w:r>
    </w:p>
    <w:p w14:paraId="395E129B">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（编制提醒：公司应当按照制定本次回购股份方案的决策程序提交董事会或者股东会审议。）</w:t>
      </w:r>
    </w:p>
    <w:p w14:paraId="390FB009">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609C0DDC">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66202C02">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2F80CE77">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0E47B91B">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60B26910">
      <w:pPr>
        <w:spacing w:line="560" w:lineRule="exact"/>
        <w:jc w:val="right"/>
        <w:rPr>
          <w:rFonts w:ascii="仿宋_GB2312" w:hAnsi="宋体" w:eastAsia="仿宋_GB2312" w:cs="宋体-WinCharSetFFFF-H"/>
          <w:color w:val="000000"/>
          <w:kern w:val="0"/>
          <w:sz w:val="30"/>
          <w:szCs w:val="30"/>
        </w:rPr>
      </w:pPr>
    </w:p>
    <w:p w14:paraId="4292AC8C">
      <w:pPr>
        <w:autoSpaceDE w:val="0"/>
        <w:autoSpaceDN w:val="0"/>
        <w:adjustRightInd w:val="0"/>
        <w:snapToGrid w:val="0"/>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3597F54D">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14:paraId="6339022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88E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2ECD"/>
    <w:rsid w:val="00000558"/>
    <w:rsid w:val="00010F3B"/>
    <w:rsid w:val="00013FA8"/>
    <w:rsid w:val="000552DF"/>
    <w:rsid w:val="00081FC5"/>
    <w:rsid w:val="00084B92"/>
    <w:rsid w:val="000B4EE1"/>
    <w:rsid w:val="0012063E"/>
    <w:rsid w:val="00121E82"/>
    <w:rsid w:val="00122B49"/>
    <w:rsid w:val="0012543A"/>
    <w:rsid w:val="00126188"/>
    <w:rsid w:val="001368F4"/>
    <w:rsid w:val="00140926"/>
    <w:rsid w:val="0015057E"/>
    <w:rsid w:val="00152016"/>
    <w:rsid w:val="0016581A"/>
    <w:rsid w:val="00192FEA"/>
    <w:rsid w:val="001A1059"/>
    <w:rsid w:val="001A5751"/>
    <w:rsid w:val="001B144A"/>
    <w:rsid w:val="001C10E0"/>
    <w:rsid w:val="001C67D6"/>
    <w:rsid w:val="001D564A"/>
    <w:rsid w:val="001D5FD7"/>
    <w:rsid w:val="00204988"/>
    <w:rsid w:val="00217F9D"/>
    <w:rsid w:val="00233E96"/>
    <w:rsid w:val="002449E2"/>
    <w:rsid w:val="0026373F"/>
    <w:rsid w:val="00275723"/>
    <w:rsid w:val="002C5054"/>
    <w:rsid w:val="002E5C29"/>
    <w:rsid w:val="00313A26"/>
    <w:rsid w:val="00317A4B"/>
    <w:rsid w:val="003245FC"/>
    <w:rsid w:val="0033503A"/>
    <w:rsid w:val="003450B9"/>
    <w:rsid w:val="003666F6"/>
    <w:rsid w:val="00373797"/>
    <w:rsid w:val="00383E5E"/>
    <w:rsid w:val="003B79F1"/>
    <w:rsid w:val="003B7D91"/>
    <w:rsid w:val="003F1EBC"/>
    <w:rsid w:val="003F4A04"/>
    <w:rsid w:val="00412966"/>
    <w:rsid w:val="004160FA"/>
    <w:rsid w:val="00482E08"/>
    <w:rsid w:val="00484BDA"/>
    <w:rsid w:val="0049773B"/>
    <w:rsid w:val="004A298F"/>
    <w:rsid w:val="004C0235"/>
    <w:rsid w:val="004E0407"/>
    <w:rsid w:val="00525AA0"/>
    <w:rsid w:val="00526109"/>
    <w:rsid w:val="0056302B"/>
    <w:rsid w:val="00565520"/>
    <w:rsid w:val="005657AF"/>
    <w:rsid w:val="00574920"/>
    <w:rsid w:val="005B59C9"/>
    <w:rsid w:val="00616CCE"/>
    <w:rsid w:val="00616F19"/>
    <w:rsid w:val="00621E0F"/>
    <w:rsid w:val="00630B88"/>
    <w:rsid w:val="00631267"/>
    <w:rsid w:val="00634F40"/>
    <w:rsid w:val="006429E7"/>
    <w:rsid w:val="00654096"/>
    <w:rsid w:val="006754DD"/>
    <w:rsid w:val="006A0396"/>
    <w:rsid w:val="006A1255"/>
    <w:rsid w:val="006A3869"/>
    <w:rsid w:val="006B45CE"/>
    <w:rsid w:val="006C077A"/>
    <w:rsid w:val="006C3291"/>
    <w:rsid w:val="006D4FFD"/>
    <w:rsid w:val="006D50BF"/>
    <w:rsid w:val="00707BE1"/>
    <w:rsid w:val="007603E6"/>
    <w:rsid w:val="007851CB"/>
    <w:rsid w:val="007B2110"/>
    <w:rsid w:val="007F5815"/>
    <w:rsid w:val="00811A0E"/>
    <w:rsid w:val="00840B0A"/>
    <w:rsid w:val="008472FE"/>
    <w:rsid w:val="00864928"/>
    <w:rsid w:val="00865510"/>
    <w:rsid w:val="00891A3E"/>
    <w:rsid w:val="008A30A3"/>
    <w:rsid w:val="008C27ED"/>
    <w:rsid w:val="008D493E"/>
    <w:rsid w:val="008D7ECE"/>
    <w:rsid w:val="008E2FF0"/>
    <w:rsid w:val="008F0391"/>
    <w:rsid w:val="00946287"/>
    <w:rsid w:val="009716FF"/>
    <w:rsid w:val="009E2318"/>
    <w:rsid w:val="009F49E2"/>
    <w:rsid w:val="00A317FA"/>
    <w:rsid w:val="00A4017B"/>
    <w:rsid w:val="00A660CB"/>
    <w:rsid w:val="00AA1DF6"/>
    <w:rsid w:val="00AC39E2"/>
    <w:rsid w:val="00AC6182"/>
    <w:rsid w:val="00AF30E7"/>
    <w:rsid w:val="00B27E51"/>
    <w:rsid w:val="00B3338B"/>
    <w:rsid w:val="00B52A85"/>
    <w:rsid w:val="00BA5072"/>
    <w:rsid w:val="00BF2ECD"/>
    <w:rsid w:val="00C3123D"/>
    <w:rsid w:val="00C578DC"/>
    <w:rsid w:val="00C76E17"/>
    <w:rsid w:val="00C9624C"/>
    <w:rsid w:val="00CA6E4C"/>
    <w:rsid w:val="00CC61A7"/>
    <w:rsid w:val="00CD0630"/>
    <w:rsid w:val="00CD73D0"/>
    <w:rsid w:val="00D00A55"/>
    <w:rsid w:val="00D14999"/>
    <w:rsid w:val="00D354BA"/>
    <w:rsid w:val="00D46673"/>
    <w:rsid w:val="00D50DFF"/>
    <w:rsid w:val="00D53F8D"/>
    <w:rsid w:val="00D86263"/>
    <w:rsid w:val="00DC7F33"/>
    <w:rsid w:val="00DD5D73"/>
    <w:rsid w:val="00E11881"/>
    <w:rsid w:val="00E2626B"/>
    <w:rsid w:val="00E63323"/>
    <w:rsid w:val="00E75108"/>
    <w:rsid w:val="00E903B0"/>
    <w:rsid w:val="00EA3BD1"/>
    <w:rsid w:val="00EF00F6"/>
    <w:rsid w:val="00F202E9"/>
    <w:rsid w:val="00F43FB9"/>
    <w:rsid w:val="00F6465F"/>
    <w:rsid w:val="00F73D91"/>
    <w:rsid w:val="00FC5A29"/>
    <w:rsid w:val="00FF554E"/>
    <w:rsid w:val="0E2A1C4C"/>
    <w:rsid w:val="12026D87"/>
    <w:rsid w:val="2D577BFD"/>
    <w:rsid w:val="3EBE6B92"/>
    <w:rsid w:val="456172AF"/>
    <w:rsid w:val="5939651A"/>
    <w:rsid w:val="5A5A5E95"/>
    <w:rsid w:val="627F52B9"/>
    <w:rsid w:val="6365411B"/>
    <w:rsid w:val="6E8B2E9A"/>
    <w:rsid w:val="766A1171"/>
    <w:rsid w:val="76A65F70"/>
    <w:rsid w:val="DF9F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Times New Roman"/>
      <w:sz w:val="18"/>
      <w:szCs w:val="18"/>
    </w:rPr>
  </w:style>
  <w:style w:type="character" w:customStyle="1" w:styleId="14">
    <w:name w:val="批注框文本 Char"/>
    <w:basedOn w:val="9"/>
    <w:link w:val="4"/>
    <w:semiHidden/>
    <w:qFormat/>
    <w:uiPriority w:val="99"/>
    <w:rPr>
      <w:rFonts w:ascii="Calibri" w:hAnsi="Calibri" w:eastAsia="宋体" w:cs="Times New Roman"/>
      <w:sz w:val="18"/>
      <w:szCs w:val="18"/>
    </w:rPr>
  </w:style>
  <w:style w:type="character" w:customStyle="1" w:styleId="15">
    <w:name w:val="文档结构图 Char"/>
    <w:basedOn w:val="9"/>
    <w:link w:val="2"/>
    <w:semiHidden/>
    <w:qFormat/>
    <w:uiPriority w:val="99"/>
    <w:rPr>
      <w:rFonts w:ascii="宋体" w:hAnsi="Calibri" w:eastAsia="宋体" w:cs="Times New Roman"/>
      <w:sz w:val="18"/>
      <w:szCs w:val="18"/>
    </w:rPr>
  </w:style>
  <w:style w:type="character" w:customStyle="1" w:styleId="16">
    <w:name w:val="批注文字 Char"/>
    <w:basedOn w:val="9"/>
    <w:link w:val="3"/>
    <w:semiHidden/>
    <w:qFormat/>
    <w:uiPriority w:val="99"/>
    <w:rPr>
      <w:rFonts w:ascii="Calibri" w:hAnsi="Calibri" w:eastAsia="宋体" w:cs="Times New Roman"/>
    </w:rPr>
  </w:style>
  <w:style w:type="character" w:customStyle="1" w:styleId="17">
    <w:name w:val="批注主题 Char"/>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594</Words>
  <Characters>3392</Characters>
  <Lines>28</Lines>
  <Paragraphs>7</Paragraphs>
  <TotalTime>78</TotalTime>
  <ScaleCrop>false</ScaleCrop>
  <LinksUpToDate>false</LinksUpToDate>
  <CharactersWithSpaces>3979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2023-12-14T15:09:00Z</dcterms:created>
  <dc:creator>whzhou</dc:creator>
  <cp:lastModifiedBy>wentinglou</cp:lastModifiedBy>
  <dcterms:modified xsi:type="dcterms:W3CDTF">2025-08-25T15:42:36Z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70882741265C4047971C8FD065B5B1CB_13</vt:lpwstr>
  </property>
</Properties>
</file>