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600" w:lineRule="atLeast"/>
        <w:jc w:val="center"/>
        <w:rPr>
          <w:rFonts w:hint="default" w:ascii="黑体" w:hAnsi="黑体" w:eastAsia="黑体" w:cs="黑体"/>
          <w:b w:val="0"/>
          <w:bCs w:val="0"/>
          <w:sz w:val="40"/>
          <w:szCs w:val="40"/>
        </w:rPr>
      </w:pPr>
      <w:bookmarkStart w:id="0" w:name="_GoBack"/>
      <w:bookmarkEnd w:id="0"/>
      <w:r>
        <w:rPr>
          <w:rFonts w:ascii="黑体" w:hAnsi="黑体" w:eastAsia="黑体" w:cs="黑体"/>
          <w:b w:val="0"/>
          <w:bCs w:val="0"/>
          <w:sz w:val="40"/>
          <w:szCs w:val="40"/>
          <w:shd w:val="clear" w:color="auto" w:fill="FFFFFF"/>
        </w:rPr>
        <w:t>第十号</w:t>
      </w:r>
      <w:r>
        <w:rPr>
          <w:rFonts w:hint="default" w:ascii="黑体" w:hAnsi="黑体" w:eastAsia="黑体" w:cs="黑体"/>
          <w:b w:val="0"/>
          <w:bCs w:val="0"/>
          <w:sz w:val="40"/>
          <w:szCs w:val="40"/>
          <w:shd w:val="clear" w:color="auto" w:fill="FFFFFF"/>
        </w:rPr>
        <w:t xml:space="preserve"> </w:t>
      </w:r>
      <w:r>
        <w:rPr>
          <w:rFonts w:ascii="黑体" w:hAnsi="黑体" w:eastAsia="黑体" w:cs="黑体"/>
          <w:b w:val="0"/>
          <w:bCs w:val="0"/>
          <w:sz w:val="40"/>
          <w:szCs w:val="40"/>
          <w:shd w:val="clear" w:color="auto" w:fill="FFFFFF"/>
        </w:rPr>
        <w:t>公司债券信息披露</w:t>
      </w:r>
    </w:p>
    <w:p>
      <w:pPr>
        <w:pStyle w:val="6"/>
        <w:widowControl/>
        <w:spacing w:beforeAutospacing="0" w:after="120" w:afterAutospacing="0" w:line="269" w:lineRule="atLeast"/>
        <w:rPr>
          <w:rFonts w:ascii="仿宋_GB2312" w:hAnsi="仿宋_GB2312" w:eastAsia="仿宋_GB2312" w:cs="仿宋_GB2312"/>
          <w:color w:val="4D4D4D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D4D4D"/>
          <w:sz w:val="28"/>
          <w:szCs w:val="28"/>
          <w:shd w:val="clear" w:color="auto" w:fill="FFFFFF"/>
        </w:rPr>
        <w:t>　　</w:t>
      </w:r>
    </w:p>
    <w:p>
      <w:pPr>
        <w:pStyle w:val="6"/>
        <w:widowControl/>
        <w:spacing w:beforeAutospacing="0" w:afterAutospacing="0" w:line="600" w:lineRule="exact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D4D4D"/>
          <w:sz w:val="28"/>
          <w:szCs w:val="28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为进一步规范上市公司公司债券信息披露，明确信息披露的具体流程，根据《上海证券交易所公司债券上市规则》《上海证券交易所非公开发行公司债券挂牌规则》和《上海证券交易所股票上市规则》，制定本指南。　　</w:t>
      </w:r>
    </w:p>
    <w:p>
      <w:pPr>
        <w:pStyle w:val="6"/>
        <w:widowControl/>
        <w:spacing w:beforeAutospacing="0" w:afterAutospacing="0"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上市公司依据《上海证券交易所公司债券上市规则》《上海证券交易所非公开发行公司债券挂牌规则》和《上海证券交易所股票上市规则》等信息披露相关业务规则披露相关信息的，应当在上海证券交易所（以下简称本所）网站予以披露。</w:t>
      </w:r>
    </w:p>
    <w:p>
      <w:pPr>
        <w:pStyle w:val="6"/>
        <w:widowControl/>
        <w:spacing w:beforeAutospacing="0" w:afterAutospacing="0" w:line="6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　　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上市公司公开或非公开发行公司债券（不含可转换公司债券）并在本所上市交易或者挂牌转让的，与公司债券偿付相关的信息披露及相关业务的申请和办理，应当委托公司债券主承销商或者受托管理人，通过本所债券业务管理系统提交。</w:t>
      </w:r>
    </w:p>
    <w:p>
      <w:pPr>
        <w:pStyle w:val="6"/>
        <w:widowControl/>
        <w:spacing w:beforeAutospacing="0" w:afterAutospacing="0" w:line="6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　　与公司债券偿付相关的信息披露及相关业务的申请和办理，包括但不限于债券付息、回售、赎回、分期偿还、兑付、提前兑付、票面利率调整、停复牌、交易机制调整及特定债券转让等。</w:t>
      </w:r>
    </w:p>
    <w:p>
      <w:pPr>
        <w:pStyle w:val="6"/>
        <w:widowControl/>
        <w:spacing w:beforeAutospacing="0" w:afterAutospacing="0" w:line="6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　　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上市公司依据《上海证券交易所公司债券上市规则》《上海证券交易所非公开发行公司债券挂牌规则》和《上海证券交易所股票上市规则》等相关业务规则，披露定期报告、临时报告及关于发行公司债券的预案、决策程序、获准发行的公告等，应当由上市公司通过本所公司业务管理系统提交。</w:t>
      </w:r>
    </w:p>
    <w:p>
      <w:pPr>
        <w:pStyle w:val="6"/>
        <w:widowControl/>
        <w:spacing w:beforeAutospacing="0" w:afterAutospacing="0" w:line="6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　　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资信评级机构、受托管理人及主承销商按规定披露上市公司公司债券相关信息的，通过本所债券业务管理系统提交。</w:t>
      </w:r>
    </w:p>
    <w:p>
      <w:pPr>
        <w:pStyle w:val="6"/>
        <w:widowControl/>
        <w:spacing w:beforeAutospacing="0" w:afterAutospacing="0" w:line="6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　　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投资者可通过本所网站“债券信息”和本所上证债券信息网“信息披露”专区获取上市公司公司债券相关披露信息。上市公司、主承销商、受托管理人等应当加强对上市公司公司债券投资者的沟通引导，确保投资者及时、完整获取相关披露信息。</w:t>
      </w:r>
    </w:p>
    <w:p>
      <w:pPr>
        <w:pStyle w:val="6"/>
        <w:widowControl/>
        <w:spacing w:beforeAutospacing="0" w:afterAutospacing="0" w:line="6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　</w:t>
      </w: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402973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C35B9"/>
    <w:rsid w:val="00042387"/>
    <w:rsid w:val="00103D69"/>
    <w:rsid w:val="00123338"/>
    <w:rsid w:val="001837CF"/>
    <w:rsid w:val="001A4C0E"/>
    <w:rsid w:val="0029128A"/>
    <w:rsid w:val="00296975"/>
    <w:rsid w:val="002C5B2F"/>
    <w:rsid w:val="00415A3B"/>
    <w:rsid w:val="004C35B9"/>
    <w:rsid w:val="005A51B0"/>
    <w:rsid w:val="005E1B8A"/>
    <w:rsid w:val="006A6D18"/>
    <w:rsid w:val="006B254D"/>
    <w:rsid w:val="00786592"/>
    <w:rsid w:val="00890AEE"/>
    <w:rsid w:val="00B76116"/>
    <w:rsid w:val="00C56BD0"/>
    <w:rsid w:val="00C77495"/>
    <w:rsid w:val="00CB6411"/>
    <w:rsid w:val="00CD7C0F"/>
    <w:rsid w:val="00D33CB9"/>
    <w:rsid w:val="00D62ECD"/>
    <w:rsid w:val="00DA01B6"/>
    <w:rsid w:val="00F702D2"/>
    <w:rsid w:val="0EEB37CA"/>
    <w:rsid w:val="25062094"/>
    <w:rsid w:val="40FE255D"/>
    <w:rsid w:val="43986CAD"/>
    <w:rsid w:val="4FF161F4"/>
    <w:rsid w:val="51430D3D"/>
    <w:rsid w:val="548C7347"/>
    <w:rsid w:val="54E4322A"/>
    <w:rsid w:val="7140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769</Characters>
  <Lines>6</Lines>
  <Paragraphs>1</Paragraphs>
  <TotalTime>2</TotalTime>
  <ScaleCrop>false</ScaleCrop>
  <LinksUpToDate>false</LinksUpToDate>
  <CharactersWithSpaces>902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2023-02-21T02:59:00Z</dcterms:created>
  <dcterms:modified xsi:type="dcterms:W3CDTF">2023-02-21T03:03:20Z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7FDBE3105BA345D9A96AE84783964BA4</vt:lpwstr>
  </property>
</Properties>
</file>