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28A069">
      <w:pPr>
        <w:jc w:val="center"/>
        <w:rPr>
          <w:rFonts w:ascii="黑体" w:hAnsi="黑体" w:eastAsia="黑体" w:cs="黑体"/>
          <w:sz w:val="40"/>
          <w:szCs w:val="40"/>
          <w:highlight w:val="none"/>
        </w:rPr>
      </w:pPr>
      <w:r>
        <w:rPr>
          <w:rFonts w:hint="eastAsia" w:ascii="黑体" w:hAnsi="黑体" w:eastAsia="黑体" w:cs="黑体"/>
          <w:sz w:val="40"/>
          <w:szCs w:val="40"/>
          <w:highlight w:val="none"/>
        </w:rPr>
        <w:t>第九号</w:t>
      </w:r>
      <w:r>
        <w:rPr>
          <w:rFonts w:ascii="黑体" w:hAnsi="黑体" w:eastAsia="黑体" w:cs="黑体"/>
          <w:sz w:val="40"/>
          <w:szCs w:val="40"/>
          <w:highlight w:val="none"/>
        </w:rPr>
        <w:t xml:space="preserve"> </w:t>
      </w:r>
      <w:r>
        <w:rPr>
          <w:rFonts w:hint="eastAsia" w:ascii="黑体" w:hAnsi="黑体" w:eastAsia="黑体" w:cs="黑体"/>
          <w:sz w:val="40"/>
          <w:szCs w:val="40"/>
          <w:highlight w:val="none"/>
        </w:rPr>
        <w:t>现金选择权</w:t>
      </w:r>
    </w:p>
    <w:p w14:paraId="308CF6C4">
      <w:pPr>
        <w:ind w:firstLine="560" w:firstLineChars="200"/>
        <w:rPr>
          <w:rFonts w:ascii="仿宋_GB2312" w:eastAsia="仿宋_GB2312" w:cs="Times New Roman" w:hAnsiTheme="minorEastAsia"/>
          <w:color w:val="000000" w:themeColor="text1"/>
          <w:kern w:val="0"/>
          <w:sz w:val="28"/>
          <w:szCs w:val="28"/>
          <w:highlight w:val="none"/>
          <w14:textFill>
            <w14:solidFill>
              <w14:schemeClr w14:val="tx1"/>
            </w14:solidFill>
          </w14:textFill>
        </w:rPr>
      </w:pPr>
    </w:p>
    <w:p w14:paraId="1AB24FA1">
      <w:pPr>
        <w:spacing w:line="600" w:lineRule="exact"/>
        <w:ind w:firstLine="560" w:firstLineChars="200"/>
        <w:rPr>
          <w:rFonts w:ascii="仿宋_GB2312" w:eastAsia="仿宋_GB2312" w:cs="Times New Roman" w:hAnsiTheme="minorEastAsia"/>
          <w:color w:val="000000" w:themeColor="text1"/>
          <w:kern w:val="0"/>
          <w:sz w:val="28"/>
          <w:szCs w:val="28"/>
          <w:highlight w:val="none"/>
          <w14:textFill>
            <w14:solidFill>
              <w14:schemeClr w14:val="tx1"/>
            </w14:solidFill>
          </w14:textFill>
        </w:rPr>
      </w:pPr>
      <w:r>
        <w:rPr>
          <w:rFonts w:ascii="仿宋_GB2312" w:eastAsia="仿宋_GB2312" w:cs="Times New Roman" w:hAnsiTheme="minorEastAsia"/>
          <w:color w:val="000000" w:themeColor="text1"/>
          <w:kern w:val="0"/>
          <w:sz w:val="28"/>
          <w:szCs w:val="28"/>
          <w:highlight w:val="none"/>
          <w14:textFill>
            <w14:solidFill>
              <w14:schemeClr w14:val="tx1"/>
            </w14:solidFill>
          </w14:textFill>
        </w:rPr>
        <w:t>为规范上市公司现金选择权业务行为，根据《</w:t>
      </w:r>
      <w:r>
        <w:rPr>
          <w:highlight w:val="none"/>
        </w:rPr>
        <w:fldChar w:fldCharType="begin"/>
      </w:r>
      <w:r>
        <w:rPr>
          <w:highlight w:val="none"/>
        </w:rPr>
        <w:instrText xml:space="preserve"> HYPERLINK "https://m.66law.cn/tiaoli/6.aspx" \t "_blank" \o "公司法" </w:instrText>
      </w:r>
      <w:r>
        <w:rPr>
          <w:highlight w:val="none"/>
        </w:rPr>
        <w:fldChar w:fldCharType="separate"/>
      </w:r>
      <w:r>
        <w:rPr>
          <w:rFonts w:ascii="仿宋_GB2312" w:eastAsia="仿宋_GB2312" w:cs="Times New Roman" w:hAnsiTheme="minorEastAsia"/>
          <w:color w:val="000000" w:themeColor="text1"/>
          <w:kern w:val="0"/>
          <w:sz w:val="28"/>
          <w:szCs w:val="28"/>
          <w:highlight w:val="none"/>
          <w14:textFill>
            <w14:solidFill>
              <w14:schemeClr w14:val="tx1"/>
            </w14:solidFill>
          </w14:textFill>
        </w:rPr>
        <w:t>公司法</w:t>
      </w:r>
      <w:r>
        <w:rPr>
          <w:rFonts w:ascii="仿宋_GB2312" w:eastAsia="仿宋_GB2312" w:cs="Times New Roman" w:hAnsiTheme="minorEastAsia"/>
          <w:color w:val="000000" w:themeColor="text1"/>
          <w:kern w:val="0"/>
          <w:sz w:val="28"/>
          <w:szCs w:val="28"/>
          <w:highlight w:val="none"/>
          <w14:textFill>
            <w14:solidFill>
              <w14:schemeClr w14:val="tx1"/>
            </w14:solidFill>
          </w14:textFill>
        </w:rPr>
        <w:fldChar w:fldCharType="end"/>
      </w:r>
      <w:r>
        <w:rPr>
          <w:rFonts w:ascii="仿宋_GB2312" w:eastAsia="仿宋_GB2312" w:cs="Times New Roman" w:hAnsiTheme="minorEastAsia"/>
          <w:color w:val="000000" w:themeColor="text1"/>
          <w:kern w:val="0"/>
          <w:sz w:val="28"/>
          <w:szCs w:val="28"/>
          <w:highlight w:val="none"/>
          <w14:textFill>
            <w14:solidFill>
              <w14:schemeClr w14:val="tx1"/>
            </w14:solidFill>
          </w14:textFill>
        </w:rPr>
        <w:t>》《</w:t>
      </w:r>
      <w:r>
        <w:rPr>
          <w:highlight w:val="none"/>
        </w:rPr>
        <w:fldChar w:fldCharType="begin"/>
      </w:r>
      <w:r>
        <w:rPr>
          <w:highlight w:val="none"/>
        </w:rPr>
        <w:instrText xml:space="preserve"> HYPERLINK "https://m.66law.cn/tiaoli/47.aspx" \t "_blank" \o "证券法" </w:instrText>
      </w:r>
      <w:r>
        <w:rPr>
          <w:highlight w:val="none"/>
        </w:rPr>
        <w:fldChar w:fldCharType="separate"/>
      </w:r>
      <w:r>
        <w:rPr>
          <w:rFonts w:ascii="仿宋_GB2312" w:eastAsia="仿宋_GB2312" w:cs="Times New Roman" w:hAnsiTheme="minorEastAsia"/>
          <w:color w:val="000000" w:themeColor="text1"/>
          <w:kern w:val="0"/>
          <w:sz w:val="28"/>
          <w:szCs w:val="28"/>
          <w:highlight w:val="none"/>
          <w14:textFill>
            <w14:solidFill>
              <w14:schemeClr w14:val="tx1"/>
            </w14:solidFill>
          </w14:textFill>
        </w:rPr>
        <w:t>证券法</w:t>
      </w:r>
      <w:r>
        <w:rPr>
          <w:rFonts w:ascii="仿宋_GB2312" w:eastAsia="仿宋_GB2312" w:cs="Times New Roman" w:hAnsiTheme="minorEastAsia"/>
          <w:color w:val="000000" w:themeColor="text1"/>
          <w:kern w:val="0"/>
          <w:sz w:val="28"/>
          <w:szCs w:val="28"/>
          <w:highlight w:val="none"/>
          <w14:textFill>
            <w14:solidFill>
              <w14:schemeClr w14:val="tx1"/>
            </w14:solidFill>
          </w14:textFill>
        </w:rPr>
        <w:fldChar w:fldCharType="end"/>
      </w:r>
      <w:r>
        <w:rPr>
          <w:rFonts w:ascii="仿宋_GB2312" w:eastAsia="仿宋_GB2312" w:cs="Times New Roman" w:hAnsiTheme="minorEastAsia"/>
          <w:color w:val="000000" w:themeColor="text1"/>
          <w:kern w:val="0"/>
          <w:sz w:val="28"/>
          <w:szCs w:val="28"/>
          <w:highlight w:val="none"/>
          <w14:textFill>
            <w14:solidFill>
              <w14:schemeClr w14:val="tx1"/>
            </w14:solidFill>
          </w14:textFill>
        </w:rPr>
        <w:t>》《上市公司收购管理办法》《上市公司重大资产重组管理办法》</w:t>
      </w:r>
      <w:r>
        <w:rPr>
          <w:rFonts w:hint="eastAsia" w:ascii="仿宋_GB2312" w:eastAsia="仿宋_GB2312" w:cs="Times New Roman" w:hAnsiTheme="minorEastAsia"/>
          <w:color w:val="000000" w:themeColor="text1"/>
          <w:kern w:val="0"/>
          <w:sz w:val="28"/>
          <w:szCs w:val="28"/>
          <w:highlight w:val="none"/>
          <w14:textFill>
            <w14:solidFill>
              <w14:schemeClr w14:val="tx1"/>
            </w14:solidFill>
          </w14:textFill>
        </w:rPr>
        <w:t>《上海证券交易所股票上市规则》</w:t>
      </w:r>
      <w:r>
        <w:rPr>
          <w:rFonts w:ascii="仿宋_GB2312" w:eastAsia="仿宋_GB2312" w:cs="Times New Roman" w:hAnsiTheme="minorEastAsia"/>
          <w:color w:val="000000" w:themeColor="text1"/>
          <w:kern w:val="0"/>
          <w:sz w:val="28"/>
          <w:szCs w:val="28"/>
          <w:highlight w:val="none"/>
          <w14:textFill>
            <w14:solidFill>
              <w14:schemeClr w14:val="tx1"/>
            </w14:solidFill>
          </w14:textFill>
        </w:rPr>
        <w:t>（以下简称</w:t>
      </w:r>
      <w:r>
        <w:rPr>
          <w:rFonts w:hint="eastAsia" w:ascii="仿宋_GB2312" w:eastAsia="仿宋_GB2312" w:cs="Times New Roman" w:hAnsiTheme="minorEastAsia"/>
          <w:color w:val="000000" w:themeColor="text1"/>
          <w:kern w:val="0"/>
          <w:sz w:val="28"/>
          <w:szCs w:val="28"/>
          <w:highlight w:val="none"/>
          <w14:textFill>
            <w14:solidFill>
              <w14:schemeClr w14:val="tx1"/>
            </w14:solidFill>
          </w14:textFill>
        </w:rPr>
        <w:t>《股票上市规则》</w:t>
      </w:r>
      <w:r>
        <w:rPr>
          <w:rFonts w:ascii="仿宋_GB2312" w:eastAsia="仿宋_GB2312" w:cs="Times New Roman" w:hAnsiTheme="minorEastAsia"/>
          <w:color w:val="000000" w:themeColor="text1"/>
          <w:kern w:val="0"/>
          <w:sz w:val="28"/>
          <w:szCs w:val="28"/>
          <w:highlight w:val="none"/>
          <w14:textFill>
            <w14:solidFill>
              <w14:schemeClr w14:val="tx1"/>
            </w14:solidFill>
          </w14:textFill>
        </w:rPr>
        <w:t>）等有关规定，制定本</w:t>
      </w:r>
      <w:r>
        <w:rPr>
          <w:rFonts w:hint="eastAsia" w:ascii="仿宋_GB2312" w:eastAsia="仿宋_GB2312" w:cs="Times New Roman" w:hAnsiTheme="minorEastAsia"/>
          <w:color w:val="000000" w:themeColor="text1"/>
          <w:kern w:val="0"/>
          <w:sz w:val="28"/>
          <w:szCs w:val="28"/>
          <w:highlight w:val="none"/>
          <w14:textFill>
            <w14:solidFill>
              <w14:schemeClr w14:val="tx1"/>
            </w14:solidFill>
          </w14:textFill>
        </w:rPr>
        <w:t>指南</w:t>
      </w:r>
      <w:r>
        <w:rPr>
          <w:rFonts w:ascii="仿宋_GB2312" w:eastAsia="仿宋_GB2312" w:cs="Times New Roman" w:hAnsiTheme="minorEastAsia"/>
          <w:color w:val="000000" w:themeColor="text1"/>
          <w:kern w:val="0"/>
          <w:sz w:val="28"/>
          <w:szCs w:val="28"/>
          <w:highlight w:val="none"/>
          <w14:textFill>
            <w14:solidFill>
              <w14:schemeClr w14:val="tx1"/>
            </w14:solidFill>
          </w14:textFill>
        </w:rPr>
        <w:t>。</w:t>
      </w:r>
    </w:p>
    <w:p w14:paraId="4720AA21">
      <w:pPr>
        <w:spacing w:line="600" w:lineRule="exact"/>
        <w:ind w:firstLine="562" w:firstLineChars="200"/>
        <w:rPr>
          <w:rFonts w:ascii="仿宋_GB2312" w:eastAsia="仿宋_GB2312" w:cs="Times New Roman" w:hAnsiTheme="minorEastAsia"/>
          <w:b/>
          <w:color w:val="000000" w:themeColor="text1"/>
          <w:kern w:val="0"/>
          <w:sz w:val="28"/>
          <w:szCs w:val="28"/>
          <w:highlight w:val="none"/>
          <w14:textFill>
            <w14:solidFill>
              <w14:schemeClr w14:val="tx1"/>
            </w14:solidFill>
          </w14:textFill>
        </w:rPr>
      </w:pPr>
      <w:r>
        <w:rPr>
          <w:rFonts w:hint="eastAsia" w:ascii="仿宋_GB2312" w:eastAsia="仿宋_GB2312" w:cs="Times New Roman" w:hAnsiTheme="minorEastAsia"/>
          <w:b/>
          <w:color w:val="000000" w:themeColor="text1"/>
          <w:kern w:val="0"/>
          <w:sz w:val="28"/>
          <w:szCs w:val="28"/>
          <w:highlight w:val="none"/>
          <w14:textFill>
            <w14:solidFill>
              <w14:schemeClr w14:val="tx1"/>
            </w14:solidFill>
          </w14:textFill>
        </w:rPr>
        <w:t>一、一般规定</w:t>
      </w:r>
      <w:bookmarkStart w:id="0" w:name="_GoBack"/>
      <w:bookmarkEnd w:id="0"/>
    </w:p>
    <w:p w14:paraId="317678C0">
      <w:pPr>
        <w:spacing w:line="600" w:lineRule="exact"/>
        <w:ind w:firstLine="560" w:firstLineChars="200"/>
        <w:rPr>
          <w:rFonts w:ascii="仿宋_GB2312" w:eastAsia="仿宋_GB2312" w:cs="Times New Roman" w:hAnsiTheme="minorEastAsia"/>
          <w:color w:val="000000" w:themeColor="text1"/>
          <w:kern w:val="0"/>
          <w:sz w:val="28"/>
          <w:szCs w:val="28"/>
          <w:highlight w:val="none"/>
          <w14:textFill>
            <w14:solidFill>
              <w14:schemeClr w14:val="tx1"/>
            </w14:solidFill>
          </w14:textFill>
        </w:rPr>
      </w:pPr>
      <w:r>
        <w:rPr>
          <w:rFonts w:hint="eastAsia" w:ascii="仿宋_GB2312" w:eastAsia="仿宋_GB2312" w:cs="Times New Roman" w:hAnsiTheme="minorEastAsia"/>
          <w:bCs/>
          <w:color w:val="000000" w:themeColor="text1"/>
          <w:kern w:val="0"/>
          <w:sz w:val="28"/>
          <w:szCs w:val="28"/>
          <w:highlight w:val="none"/>
          <w14:textFill>
            <w14:solidFill>
              <w14:schemeClr w14:val="tx1"/>
            </w14:solidFill>
          </w14:textFill>
        </w:rPr>
        <w:t>1.</w:t>
      </w:r>
      <w:r>
        <w:rPr>
          <w:rFonts w:ascii="仿宋_GB2312" w:eastAsia="仿宋_GB2312" w:cs="Times New Roman" w:hAnsiTheme="minorEastAsia"/>
          <w:color w:val="000000" w:themeColor="text1"/>
          <w:kern w:val="0"/>
          <w:sz w:val="28"/>
          <w:szCs w:val="28"/>
          <w:highlight w:val="none"/>
          <w14:textFill>
            <w14:solidFill>
              <w14:schemeClr w14:val="tx1"/>
            </w14:solidFill>
          </w14:textFill>
        </w:rPr>
        <w:t>在</w:t>
      </w:r>
      <w:r>
        <w:rPr>
          <w:highlight w:val="none"/>
        </w:rPr>
        <w:fldChar w:fldCharType="begin"/>
      </w:r>
      <w:r>
        <w:rPr>
          <w:highlight w:val="none"/>
        </w:rPr>
        <w:instrText xml:space="preserve"> HYPERLINK "https://m.66law.cn/findlawyer/shanghai/" \t "_blank" \o "上海" </w:instrText>
      </w:r>
      <w:r>
        <w:rPr>
          <w:highlight w:val="none"/>
        </w:rPr>
        <w:fldChar w:fldCharType="separate"/>
      </w:r>
      <w:r>
        <w:rPr>
          <w:rFonts w:ascii="仿宋_GB2312" w:eastAsia="仿宋_GB2312" w:cs="Times New Roman" w:hAnsiTheme="minorEastAsia"/>
          <w:color w:val="000000" w:themeColor="text1"/>
          <w:kern w:val="0"/>
          <w:sz w:val="28"/>
          <w:szCs w:val="28"/>
          <w:highlight w:val="none"/>
          <w14:textFill>
            <w14:solidFill>
              <w14:schemeClr w14:val="tx1"/>
            </w14:solidFill>
          </w14:textFill>
        </w:rPr>
        <w:t>上海</w:t>
      </w:r>
      <w:r>
        <w:rPr>
          <w:rFonts w:ascii="仿宋_GB2312" w:eastAsia="仿宋_GB2312" w:cs="Times New Roman" w:hAnsiTheme="minorEastAsia"/>
          <w:color w:val="000000" w:themeColor="text1"/>
          <w:kern w:val="0"/>
          <w:sz w:val="28"/>
          <w:szCs w:val="28"/>
          <w:highlight w:val="none"/>
          <w14:textFill>
            <w14:solidFill>
              <w14:schemeClr w14:val="tx1"/>
            </w14:solidFill>
          </w14:textFill>
        </w:rPr>
        <w:fldChar w:fldCharType="end"/>
      </w:r>
      <w:r>
        <w:rPr>
          <w:rFonts w:ascii="仿宋_GB2312" w:eastAsia="仿宋_GB2312" w:cs="Times New Roman" w:hAnsiTheme="minorEastAsia"/>
          <w:color w:val="000000" w:themeColor="text1"/>
          <w:kern w:val="0"/>
          <w:sz w:val="28"/>
          <w:szCs w:val="28"/>
          <w:highlight w:val="none"/>
          <w14:textFill>
            <w14:solidFill>
              <w14:schemeClr w14:val="tx1"/>
            </w14:solidFill>
          </w14:textFill>
        </w:rPr>
        <w:t>证券交易所（以下简称本所）上市的公司</w:t>
      </w:r>
      <w:r>
        <w:rPr>
          <w:rFonts w:hint="eastAsia" w:ascii="仿宋_GB2312" w:eastAsia="仿宋_GB2312" w:cs="Times New Roman" w:hAnsiTheme="minorEastAsia"/>
          <w:color w:val="000000" w:themeColor="text1"/>
          <w:kern w:val="0"/>
          <w:sz w:val="28"/>
          <w:szCs w:val="28"/>
          <w:highlight w:val="none"/>
          <w14:textFill>
            <w14:solidFill>
              <w14:schemeClr w14:val="tx1"/>
            </w14:solidFill>
          </w14:textFill>
        </w:rPr>
        <w:t>办理A股</w:t>
      </w:r>
      <w:r>
        <w:rPr>
          <w:rFonts w:hint="eastAsia"/>
          <w:strike w:val="0"/>
          <w:highlight w:val="none"/>
          <w:lang w:eastAsia="zh-CN"/>
        </w:rPr>
        <w:t>、</w:t>
      </w:r>
      <w:r>
        <w:rPr>
          <w:rFonts w:hint="default" w:ascii="仿宋_GB2312" w:eastAsia="仿宋_GB2312" w:cs="Times New Roman" w:hAnsiTheme="minorEastAsia"/>
          <w:strike w:val="0"/>
          <w:color w:val="000000" w:themeColor="text1"/>
          <w:kern w:val="0"/>
          <w:sz w:val="28"/>
          <w:szCs w:val="28"/>
          <w:highlight w:val="none"/>
          <w:lang w:val="en-US" w:eastAsia="zh-CN"/>
          <w14:textFill>
            <w14:solidFill>
              <w14:schemeClr w14:val="tx1"/>
            </w14:solidFill>
          </w14:textFill>
        </w:rPr>
        <w:t>B股</w:t>
      </w:r>
      <w:r>
        <w:rPr>
          <w:rFonts w:hint="eastAsia" w:ascii="仿宋_GB2312" w:eastAsia="仿宋_GB2312" w:cs="Times New Roman" w:hAnsiTheme="minorEastAsia"/>
          <w:color w:val="000000" w:themeColor="text1"/>
          <w:kern w:val="0"/>
          <w:sz w:val="28"/>
          <w:szCs w:val="28"/>
          <w:highlight w:val="none"/>
          <w14:textFill>
            <w14:solidFill>
              <w14:schemeClr w14:val="tx1"/>
            </w14:solidFill>
          </w14:textFill>
        </w:rPr>
        <w:t>现金选择权业务的，适用本指南</w:t>
      </w:r>
      <w:r>
        <w:rPr>
          <w:rFonts w:ascii="仿宋_GB2312" w:eastAsia="仿宋_GB2312" w:cs="Times New Roman" w:hAnsiTheme="minorEastAsia"/>
          <w:color w:val="000000" w:themeColor="text1"/>
          <w:kern w:val="0"/>
          <w:sz w:val="28"/>
          <w:szCs w:val="28"/>
          <w:highlight w:val="none"/>
          <w14:textFill>
            <w14:solidFill>
              <w14:schemeClr w14:val="tx1"/>
            </w14:solidFill>
          </w14:textFill>
        </w:rPr>
        <w:t>。</w:t>
      </w:r>
    </w:p>
    <w:p w14:paraId="44CC1BD2">
      <w:pPr>
        <w:spacing w:line="600" w:lineRule="exact"/>
        <w:ind w:firstLine="560" w:firstLineChars="200"/>
        <w:rPr>
          <w:rFonts w:ascii="仿宋_GB2312" w:eastAsia="仿宋_GB2312" w:cs="Times New Roman" w:hAnsiTheme="minorEastAsia"/>
          <w:color w:val="000000" w:themeColor="text1"/>
          <w:kern w:val="0"/>
          <w:sz w:val="28"/>
          <w:szCs w:val="28"/>
          <w:highlight w:val="none"/>
          <w14:textFill>
            <w14:solidFill>
              <w14:schemeClr w14:val="tx1"/>
            </w14:solidFill>
          </w14:textFill>
        </w:rPr>
      </w:pPr>
      <w:r>
        <w:rPr>
          <w:rFonts w:hint="eastAsia" w:ascii="仿宋_GB2312" w:eastAsia="仿宋_GB2312" w:cs="Times New Roman" w:hAnsiTheme="minorEastAsia"/>
          <w:color w:val="000000" w:themeColor="text1"/>
          <w:kern w:val="0"/>
          <w:sz w:val="28"/>
          <w:szCs w:val="28"/>
          <w:highlight w:val="none"/>
          <w14:textFill>
            <w14:solidFill>
              <w14:schemeClr w14:val="tx1"/>
            </w14:solidFill>
          </w14:textFill>
        </w:rPr>
        <w:t>2.</w:t>
      </w:r>
      <w:r>
        <w:rPr>
          <w:rFonts w:ascii="仿宋_GB2312" w:eastAsia="仿宋_GB2312" w:cs="Times New Roman" w:hAnsiTheme="minorEastAsia"/>
          <w:color w:val="000000" w:themeColor="text1"/>
          <w:kern w:val="0"/>
          <w:sz w:val="28"/>
          <w:szCs w:val="28"/>
          <w:highlight w:val="none"/>
          <w14:textFill>
            <w14:solidFill>
              <w14:schemeClr w14:val="tx1"/>
            </w14:solidFill>
          </w14:textFill>
        </w:rPr>
        <w:t>本</w:t>
      </w:r>
      <w:r>
        <w:rPr>
          <w:rFonts w:hint="eastAsia" w:ascii="仿宋_GB2312" w:eastAsia="仿宋_GB2312" w:cs="Times New Roman" w:hAnsiTheme="minorEastAsia"/>
          <w:color w:val="000000" w:themeColor="text1"/>
          <w:kern w:val="0"/>
          <w:sz w:val="28"/>
          <w:szCs w:val="28"/>
          <w:highlight w:val="none"/>
          <w14:textFill>
            <w14:solidFill>
              <w14:schemeClr w14:val="tx1"/>
            </w14:solidFill>
          </w14:textFill>
        </w:rPr>
        <w:t>指南</w:t>
      </w:r>
      <w:r>
        <w:rPr>
          <w:rFonts w:ascii="仿宋_GB2312" w:eastAsia="仿宋_GB2312" w:cs="Times New Roman" w:hAnsiTheme="minorEastAsia"/>
          <w:color w:val="000000" w:themeColor="text1"/>
          <w:kern w:val="0"/>
          <w:sz w:val="28"/>
          <w:szCs w:val="28"/>
          <w:highlight w:val="none"/>
          <w14:textFill>
            <w14:solidFill>
              <w14:schemeClr w14:val="tx1"/>
            </w14:solidFill>
          </w14:textFill>
        </w:rPr>
        <w:t>所称</w:t>
      </w:r>
      <w:r>
        <w:rPr>
          <w:rFonts w:hint="eastAsia" w:ascii="仿宋_GB2312" w:eastAsia="仿宋_GB2312" w:cs="Times New Roman" w:hAnsiTheme="minorEastAsia"/>
          <w:color w:val="000000" w:themeColor="text1"/>
          <w:kern w:val="0"/>
          <w:sz w:val="28"/>
          <w:szCs w:val="28"/>
          <w:highlight w:val="none"/>
          <w14:textFill>
            <w14:solidFill>
              <w14:schemeClr w14:val="tx1"/>
            </w14:solidFill>
          </w14:textFill>
        </w:rPr>
        <w:t>现金选择权,是指当上市公司拟实施合并、分立、收购、主动退市等重大事项时，该上市公司的股东按事先约定的价格在规定期限内将其所持有的上市公司股份出售给提供现金选择权的相关当事人（或其指定的第三方）的权利。</w:t>
      </w:r>
    </w:p>
    <w:p w14:paraId="3D2BF5F3">
      <w:pPr>
        <w:spacing w:line="600" w:lineRule="exact"/>
        <w:ind w:firstLine="560" w:firstLineChars="200"/>
        <w:rPr>
          <w:rFonts w:ascii="仿宋_GB2312" w:eastAsia="仿宋_GB2312" w:cs="Times New Roman" w:hAnsiTheme="minorEastAsia"/>
          <w:color w:val="000000" w:themeColor="text1"/>
          <w:kern w:val="0"/>
          <w:sz w:val="28"/>
          <w:szCs w:val="28"/>
          <w:highlight w:val="none"/>
          <w14:textFill>
            <w14:solidFill>
              <w14:schemeClr w14:val="tx1"/>
            </w14:solidFill>
          </w14:textFill>
        </w:rPr>
      </w:pPr>
      <w:r>
        <w:rPr>
          <w:rFonts w:hint="eastAsia" w:ascii="仿宋_GB2312" w:eastAsia="仿宋_GB2312" w:cs="Times New Roman" w:hAnsiTheme="minorEastAsia"/>
          <w:bCs/>
          <w:color w:val="000000" w:themeColor="text1"/>
          <w:kern w:val="0"/>
          <w:sz w:val="28"/>
          <w:szCs w:val="28"/>
          <w:highlight w:val="none"/>
          <w14:textFill>
            <w14:solidFill>
              <w14:schemeClr w14:val="tx1"/>
            </w14:solidFill>
          </w14:textFill>
        </w:rPr>
        <w:t>3.</w:t>
      </w:r>
      <w:r>
        <w:rPr>
          <w:rFonts w:ascii="仿宋_GB2312" w:eastAsia="仿宋_GB2312" w:cs="Times New Roman" w:hAnsiTheme="minorEastAsia"/>
          <w:color w:val="000000" w:themeColor="text1"/>
          <w:kern w:val="0"/>
          <w:sz w:val="28"/>
          <w:szCs w:val="28"/>
          <w:highlight w:val="none"/>
          <w14:textFill>
            <w14:solidFill>
              <w14:schemeClr w14:val="tx1"/>
            </w14:solidFill>
          </w14:textFill>
        </w:rPr>
        <w:t>上市公司和现金选择权提供方办理现金选择权业务，应当遵守有关法律、法规、部门规章、规范性文件、本所及中国证券登记结算</w:t>
      </w:r>
      <w:r>
        <w:rPr>
          <w:highlight w:val="none"/>
        </w:rPr>
        <w:fldChar w:fldCharType="begin"/>
      </w:r>
      <w:r>
        <w:rPr>
          <w:highlight w:val="none"/>
        </w:rPr>
        <w:instrText xml:space="preserve"> HYPERLINK "https://m.66law.cn/special/yxzrgs/" \t "_blank" \o "有限责任公司" </w:instrText>
      </w:r>
      <w:r>
        <w:rPr>
          <w:highlight w:val="none"/>
        </w:rPr>
        <w:fldChar w:fldCharType="separate"/>
      </w:r>
      <w:r>
        <w:rPr>
          <w:rFonts w:ascii="仿宋_GB2312" w:eastAsia="仿宋_GB2312" w:cs="Times New Roman" w:hAnsiTheme="minorEastAsia"/>
          <w:color w:val="000000" w:themeColor="text1"/>
          <w:kern w:val="0"/>
          <w:sz w:val="28"/>
          <w:szCs w:val="28"/>
          <w:highlight w:val="none"/>
          <w14:textFill>
            <w14:solidFill>
              <w14:schemeClr w14:val="tx1"/>
            </w14:solidFill>
          </w14:textFill>
        </w:rPr>
        <w:t>有限责任公司</w:t>
      </w:r>
      <w:r>
        <w:rPr>
          <w:rFonts w:ascii="仿宋_GB2312" w:eastAsia="仿宋_GB2312" w:cs="Times New Roman" w:hAnsiTheme="minorEastAsia"/>
          <w:color w:val="000000" w:themeColor="text1"/>
          <w:kern w:val="0"/>
          <w:sz w:val="28"/>
          <w:szCs w:val="28"/>
          <w:highlight w:val="none"/>
          <w14:textFill>
            <w14:solidFill>
              <w14:schemeClr w14:val="tx1"/>
            </w14:solidFill>
          </w14:textFill>
        </w:rPr>
        <w:fldChar w:fldCharType="end"/>
      </w:r>
      <w:r>
        <w:rPr>
          <w:rFonts w:ascii="仿宋_GB2312" w:eastAsia="仿宋_GB2312" w:cs="Times New Roman" w:hAnsiTheme="minorEastAsia"/>
          <w:color w:val="000000" w:themeColor="text1"/>
          <w:kern w:val="0"/>
          <w:sz w:val="28"/>
          <w:szCs w:val="28"/>
          <w:highlight w:val="none"/>
          <w14:textFill>
            <w14:solidFill>
              <w14:schemeClr w14:val="tx1"/>
            </w14:solidFill>
          </w14:textFill>
        </w:rPr>
        <w:t>上海分公司（以下简称</w:t>
      </w:r>
      <w:r>
        <w:rPr>
          <w:rFonts w:hint="eastAsia" w:ascii="仿宋_GB2312" w:eastAsia="仿宋_GB2312" w:cs="Times New Roman" w:hAnsiTheme="minorEastAsia"/>
          <w:color w:val="000000" w:themeColor="text1"/>
          <w:kern w:val="0"/>
          <w:sz w:val="28"/>
          <w:szCs w:val="28"/>
          <w:highlight w:val="none"/>
          <w14:textFill>
            <w14:solidFill>
              <w14:schemeClr w14:val="tx1"/>
            </w14:solidFill>
          </w14:textFill>
        </w:rPr>
        <w:t>中国结算</w:t>
      </w:r>
      <w:r>
        <w:rPr>
          <w:rFonts w:ascii="仿宋_GB2312" w:eastAsia="仿宋_GB2312" w:cs="Times New Roman" w:hAnsiTheme="minorEastAsia"/>
          <w:color w:val="000000" w:themeColor="text1"/>
          <w:kern w:val="0"/>
          <w:sz w:val="28"/>
          <w:szCs w:val="28"/>
          <w:highlight w:val="none"/>
          <w14:textFill>
            <w14:solidFill>
              <w14:schemeClr w14:val="tx1"/>
            </w14:solidFill>
          </w14:textFill>
        </w:rPr>
        <w:t>）的业务规则和</w:t>
      </w:r>
      <w:r>
        <w:rPr>
          <w:highlight w:val="none"/>
        </w:rPr>
        <w:fldChar w:fldCharType="begin"/>
      </w:r>
      <w:r>
        <w:rPr>
          <w:highlight w:val="none"/>
        </w:rPr>
        <w:instrText xml:space="preserve"> HYPERLINK "https://m.66law.cn/special/gsizc/" \t "_blank" \o "公司章程" </w:instrText>
      </w:r>
      <w:r>
        <w:rPr>
          <w:highlight w:val="none"/>
        </w:rPr>
        <w:fldChar w:fldCharType="separate"/>
      </w:r>
      <w:r>
        <w:rPr>
          <w:rFonts w:ascii="仿宋_GB2312" w:eastAsia="仿宋_GB2312" w:cs="Times New Roman" w:hAnsiTheme="minorEastAsia"/>
          <w:color w:val="000000" w:themeColor="text1"/>
          <w:kern w:val="0"/>
          <w:sz w:val="28"/>
          <w:szCs w:val="28"/>
          <w:highlight w:val="none"/>
          <w14:textFill>
            <w14:solidFill>
              <w14:schemeClr w14:val="tx1"/>
            </w14:solidFill>
          </w14:textFill>
        </w:rPr>
        <w:t>公司章程</w:t>
      </w:r>
      <w:r>
        <w:rPr>
          <w:rFonts w:ascii="仿宋_GB2312" w:eastAsia="仿宋_GB2312" w:cs="Times New Roman" w:hAnsiTheme="minorEastAsia"/>
          <w:color w:val="000000" w:themeColor="text1"/>
          <w:kern w:val="0"/>
          <w:sz w:val="28"/>
          <w:szCs w:val="28"/>
          <w:highlight w:val="none"/>
          <w14:textFill>
            <w14:solidFill>
              <w14:schemeClr w14:val="tx1"/>
            </w14:solidFill>
          </w14:textFill>
        </w:rPr>
        <w:fldChar w:fldCharType="end"/>
      </w:r>
      <w:r>
        <w:rPr>
          <w:rFonts w:ascii="仿宋_GB2312" w:eastAsia="仿宋_GB2312" w:cs="Times New Roman" w:hAnsiTheme="minorEastAsia"/>
          <w:color w:val="000000" w:themeColor="text1"/>
          <w:kern w:val="0"/>
          <w:sz w:val="28"/>
          <w:szCs w:val="28"/>
          <w:highlight w:val="none"/>
          <w14:textFill>
            <w14:solidFill>
              <w14:schemeClr w14:val="tx1"/>
            </w14:solidFill>
          </w14:textFill>
        </w:rPr>
        <w:t>的规定。</w:t>
      </w:r>
    </w:p>
    <w:p w14:paraId="0B6E5C06">
      <w:pPr>
        <w:spacing w:line="600" w:lineRule="exact"/>
        <w:ind w:firstLine="560" w:firstLineChars="200"/>
        <w:rPr>
          <w:rFonts w:ascii="仿宋_GB2312" w:eastAsia="仿宋_GB2312" w:cs="Times New Roman" w:hAnsiTheme="minorEastAsia"/>
          <w:color w:val="000000" w:themeColor="text1"/>
          <w:kern w:val="0"/>
          <w:sz w:val="28"/>
          <w:szCs w:val="28"/>
          <w:highlight w:val="none"/>
          <w14:textFill>
            <w14:solidFill>
              <w14:schemeClr w14:val="tx1"/>
            </w14:solidFill>
          </w14:textFill>
        </w:rPr>
      </w:pPr>
      <w:r>
        <w:rPr>
          <w:rFonts w:hint="eastAsia" w:ascii="仿宋_GB2312" w:eastAsia="仿宋_GB2312" w:cs="Times New Roman" w:hAnsiTheme="minorEastAsia"/>
          <w:bCs/>
          <w:color w:val="000000" w:themeColor="text1"/>
          <w:kern w:val="0"/>
          <w:sz w:val="28"/>
          <w:szCs w:val="28"/>
          <w:highlight w:val="none"/>
          <w14:textFill>
            <w14:solidFill>
              <w14:schemeClr w14:val="tx1"/>
            </w14:solidFill>
          </w14:textFill>
        </w:rPr>
        <w:t>4.</w:t>
      </w:r>
      <w:r>
        <w:rPr>
          <w:rFonts w:ascii="仿宋_GB2312" w:eastAsia="仿宋_GB2312" w:cs="Times New Roman" w:hAnsiTheme="minorEastAsia"/>
          <w:color w:val="000000" w:themeColor="text1"/>
          <w:kern w:val="0"/>
          <w:sz w:val="28"/>
          <w:szCs w:val="28"/>
          <w:highlight w:val="none"/>
          <w14:textFill>
            <w14:solidFill>
              <w14:schemeClr w14:val="tx1"/>
            </w14:solidFill>
          </w14:textFill>
        </w:rPr>
        <w:t>上市公司出现如下情形的，应当给予其</w:t>
      </w:r>
      <w:r>
        <w:rPr>
          <w:rFonts w:hint="eastAsia" w:ascii="仿宋_GB2312" w:eastAsia="仿宋_GB2312" w:cs="Times New Roman" w:hAnsiTheme="minorEastAsia"/>
          <w:color w:val="000000" w:themeColor="text1"/>
          <w:kern w:val="0"/>
          <w:sz w:val="28"/>
          <w:szCs w:val="28"/>
          <w:highlight w:val="none"/>
          <w:lang w:eastAsia="zh-CN"/>
          <w14:textFill>
            <w14:solidFill>
              <w14:schemeClr w14:val="tx1"/>
            </w14:solidFill>
          </w14:textFill>
        </w:rPr>
        <w:t>符合条件的</w:t>
      </w:r>
      <w:r>
        <w:rPr>
          <w:rFonts w:ascii="仿宋_GB2312" w:eastAsia="仿宋_GB2312" w:cs="Times New Roman" w:hAnsiTheme="minorEastAsia"/>
          <w:color w:val="000000" w:themeColor="text1"/>
          <w:kern w:val="0"/>
          <w:sz w:val="28"/>
          <w:szCs w:val="28"/>
          <w:highlight w:val="none"/>
          <w14:textFill>
            <w14:solidFill>
              <w14:schemeClr w14:val="tx1"/>
            </w14:solidFill>
          </w14:textFill>
        </w:rPr>
        <w:t>流通股股东现金选择权：</w:t>
      </w:r>
    </w:p>
    <w:p w14:paraId="0A0E0910">
      <w:pPr>
        <w:spacing w:line="600" w:lineRule="exact"/>
        <w:ind w:firstLine="560" w:firstLineChars="200"/>
        <w:rPr>
          <w:rFonts w:ascii="仿宋_GB2312" w:eastAsia="仿宋_GB2312" w:cs="Times New Roman" w:hAnsiTheme="minorEastAsia"/>
          <w:color w:val="000000" w:themeColor="text1"/>
          <w:kern w:val="0"/>
          <w:sz w:val="28"/>
          <w:szCs w:val="28"/>
          <w:highlight w:val="none"/>
          <w14:textFill>
            <w14:solidFill>
              <w14:schemeClr w14:val="tx1"/>
            </w14:solidFill>
          </w14:textFill>
        </w:rPr>
      </w:pPr>
      <w:r>
        <w:rPr>
          <w:rFonts w:ascii="仿宋_GB2312" w:eastAsia="仿宋_GB2312" w:cs="Times New Roman" w:hAnsiTheme="minorEastAsia"/>
          <w:color w:val="000000" w:themeColor="text1"/>
          <w:kern w:val="0"/>
          <w:sz w:val="28"/>
          <w:szCs w:val="28"/>
          <w:highlight w:val="none"/>
          <w14:textFill>
            <w14:solidFill>
              <w14:schemeClr w14:val="tx1"/>
            </w14:solidFill>
          </w14:textFill>
        </w:rPr>
        <w:t>（一）上市公司被其他公司通过换股方式吸收合并的；</w:t>
      </w:r>
    </w:p>
    <w:p w14:paraId="5370A368">
      <w:pPr>
        <w:spacing w:line="600" w:lineRule="exact"/>
        <w:ind w:firstLine="560" w:firstLineChars="200"/>
        <w:rPr>
          <w:rFonts w:ascii="仿宋_GB2312" w:eastAsia="仿宋_GB2312" w:cs="Times New Roman" w:hAnsiTheme="minorEastAsia"/>
          <w:color w:val="000000" w:themeColor="text1"/>
          <w:kern w:val="0"/>
          <w:sz w:val="28"/>
          <w:szCs w:val="28"/>
          <w:highlight w:val="none"/>
          <w14:textFill>
            <w14:solidFill>
              <w14:schemeClr w14:val="tx1"/>
            </w14:solidFill>
          </w14:textFill>
        </w:rPr>
      </w:pPr>
      <w:r>
        <w:rPr>
          <w:rFonts w:ascii="仿宋_GB2312" w:eastAsia="仿宋_GB2312" w:cs="Times New Roman" w:hAnsiTheme="minorEastAsia"/>
          <w:color w:val="000000" w:themeColor="text1"/>
          <w:kern w:val="0"/>
          <w:sz w:val="28"/>
          <w:szCs w:val="28"/>
          <w:highlight w:val="none"/>
          <w14:textFill>
            <w14:solidFill>
              <w14:schemeClr w14:val="tx1"/>
            </w14:solidFill>
          </w14:textFill>
        </w:rPr>
        <w:t>（二）上市公司吸收合并其他公司，上市公司给予其股东现金收购请求权的；</w:t>
      </w:r>
    </w:p>
    <w:p w14:paraId="617805BD">
      <w:pPr>
        <w:spacing w:line="600" w:lineRule="exact"/>
        <w:ind w:firstLine="560" w:firstLineChars="200"/>
        <w:rPr>
          <w:rFonts w:ascii="仿宋_GB2312" w:eastAsia="仿宋_GB2312" w:cs="Times New Roman" w:hAnsiTheme="minorEastAsia"/>
          <w:color w:val="000000" w:themeColor="text1"/>
          <w:kern w:val="0"/>
          <w:sz w:val="28"/>
          <w:szCs w:val="28"/>
          <w:highlight w:val="none"/>
          <w14:textFill>
            <w14:solidFill>
              <w14:schemeClr w14:val="tx1"/>
            </w14:solidFill>
          </w14:textFill>
        </w:rPr>
      </w:pPr>
      <w:r>
        <w:rPr>
          <w:rFonts w:ascii="仿宋_GB2312" w:eastAsia="仿宋_GB2312" w:cs="Times New Roman" w:hAnsiTheme="minorEastAsia"/>
          <w:color w:val="000000" w:themeColor="text1"/>
          <w:kern w:val="0"/>
          <w:sz w:val="28"/>
          <w:szCs w:val="28"/>
          <w:highlight w:val="none"/>
          <w14:textFill>
            <w14:solidFill>
              <w14:schemeClr w14:val="tx1"/>
            </w14:solidFill>
          </w14:textFill>
        </w:rPr>
        <w:t>（三）上市公司分立成两个</w:t>
      </w:r>
      <w:r>
        <w:rPr>
          <w:rFonts w:hint="eastAsia" w:ascii="仿宋_GB2312" w:eastAsia="仿宋_GB2312" w:cs="Times New Roman" w:hAnsiTheme="minorEastAsia"/>
          <w:color w:val="000000" w:themeColor="text1"/>
          <w:kern w:val="0"/>
          <w:sz w:val="28"/>
          <w:szCs w:val="28"/>
          <w:highlight w:val="none"/>
          <w14:textFill>
            <w14:solidFill>
              <w14:schemeClr w14:val="tx1"/>
            </w14:solidFill>
          </w14:textFill>
        </w:rPr>
        <w:t>或两个</w:t>
      </w:r>
      <w:r>
        <w:rPr>
          <w:rFonts w:ascii="仿宋_GB2312" w:eastAsia="仿宋_GB2312" w:cs="Times New Roman" w:hAnsiTheme="minorEastAsia"/>
          <w:color w:val="000000" w:themeColor="text1"/>
          <w:kern w:val="0"/>
          <w:sz w:val="28"/>
          <w:szCs w:val="28"/>
          <w:highlight w:val="none"/>
          <w14:textFill>
            <w14:solidFill>
              <w14:schemeClr w14:val="tx1"/>
            </w14:solidFill>
          </w14:textFill>
        </w:rPr>
        <w:t>以上独立法人的，上市公司给予其股东现金收购请求权的</w:t>
      </w:r>
      <w:r>
        <w:rPr>
          <w:rFonts w:hint="eastAsia" w:ascii="仿宋_GB2312" w:eastAsia="仿宋_GB2312" w:cs="Times New Roman" w:hAnsiTheme="minorEastAsia"/>
          <w:color w:val="000000" w:themeColor="text1"/>
          <w:kern w:val="0"/>
          <w:sz w:val="28"/>
          <w:szCs w:val="28"/>
          <w:highlight w:val="none"/>
          <w14:textFill>
            <w14:solidFill>
              <w14:schemeClr w14:val="tx1"/>
            </w14:solidFill>
          </w14:textFill>
        </w:rPr>
        <w:t>；</w:t>
      </w:r>
    </w:p>
    <w:p w14:paraId="49F31B74">
      <w:pPr>
        <w:spacing w:line="600" w:lineRule="exact"/>
        <w:ind w:firstLine="560" w:firstLineChars="200"/>
        <w:rPr>
          <w:rFonts w:ascii="仿宋_GB2312" w:eastAsia="仿宋_GB2312" w:cs="Times New Roman" w:hAnsiTheme="minorEastAsia"/>
          <w:color w:val="000000" w:themeColor="text1"/>
          <w:kern w:val="0"/>
          <w:sz w:val="28"/>
          <w:szCs w:val="28"/>
          <w:highlight w:val="none"/>
          <w14:textFill>
            <w14:solidFill>
              <w14:schemeClr w14:val="tx1"/>
            </w14:solidFill>
          </w14:textFill>
        </w:rPr>
      </w:pPr>
      <w:r>
        <w:rPr>
          <w:rFonts w:ascii="仿宋_GB2312" w:eastAsia="仿宋_GB2312" w:cs="Times New Roman" w:hAnsiTheme="minorEastAsia"/>
          <w:color w:val="000000" w:themeColor="text1"/>
          <w:kern w:val="0"/>
          <w:sz w:val="28"/>
          <w:szCs w:val="28"/>
          <w:highlight w:val="none"/>
          <w14:textFill>
            <w14:solidFill>
              <w14:schemeClr w14:val="tx1"/>
            </w14:solidFill>
          </w14:textFill>
        </w:rPr>
        <w:t>（四）上市公司被其他公司要约收购，收购人以股份或其他证券作为支付手段的；</w:t>
      </w:r>
    </w:p>
    <w:p w14:paraId="6BEAFA4C">
      <w:pPr>
        <w:spacing w:line="600" w:lineRule="exact"/>
        <w:ind w:firstLine="560" w:firstLineChars="200"/>
        <w:rPr>
          <w:rFonts w:hint="eastAsia" w:ascii="仿宋_GB2312" w:eastAsia="仿宋_GB2312" w:cs="Times New Roman" w:hAnsiTheme="minorEastAsia"/>
          <w:color w:val="000000" w:themeColor="text1"/>
          <w:kern w:val="0"/>
          <w:sz w:val="28"/>
          <w:szCs w:val="28"/>
          <w:highlight w:val="none"/>
          <w:lang w:eastAsia="zh-CN"/>
          <w14:textFill>
            <w14:solidFill>
              <w14:schemeClr w14:val="tx1"/>
            </w14:solidFill>
          </w14:textFill>
        </w:rPr>
      </w:pPr>
      <w:r>
        <w:rPr>
          <w:rFonts w:hint="eastAsia" w:ascii="仿宋_GB2312" w:eastAsia="仿宋_GB2312" w:cs="Times New Roman" w:hAnsiTheme="minorEastAsia"/>
          <w:color w:val="000000" w:themeColor="text1"/>
          <w:kern w:val="0"/>
          <w:sz w:val="28"/>
          <w:szCs w:val="28"/>
          <w:highlight w:val="none"/>
          <w:lang w:eastAsia="zh-CN"/>
          <w14:textFill>
            <w14:solidFill>
              <w14:schemeClr w14:val="tx1"/>
            </w14:solidFill>
          </w14:textFill>
        </w:rPr>
        <w:t>（五）上市公司股东会决议主动申请撤回其股票在证券交易所上市交易，或者上市公司股东向所有其他股东发出收购要约导致公司不再具备上市条件，收购人以依法可以转让的证券支付收购价款的；</w:t>
      </w:r>
    </w:p>
    <w:p w14:paraId="3CE408A2">
      <w:pPr>
        <w:spacing w:line="600" w:lineRule="exact"/>
        <w:ind w:firstLine="560" w:firstLineChars="200"/>
        <w:rPr>
          <w:rFonts w:ascii="仿宋_GB2312" w:eastAsia="仿宋_GB2312" w:cs="Times New Roman" w:hAnsiTheme="minorEastAsia"/>
          <w:color w:val="000000" w:themeColor="text1"/>
          <w:kern w:val="0"/>
          <w:sz w:val="28"/>
          <w:szCs w:val="28"/>
          <w:highlight w:val="none"/>
          <w14:textFill>
            <w14:solidFill>
              <w14:schemeClr w14:val="tx1"/>
            </w14:solidFill>
          </w14:textFill>
        </w:rPr>
      </w:pPr>
      <w:r>
        <w:rPr>
          <w:rFonts w:ascii="仿宋_GB2312" w:eastAsia="仿宋_GB2312" w:cs="Times New Roman" w:hAnsiTheme="minorEastAsia"/>
          <w:color w:val="000000" w:themeColor="text1"/>
          <w:kern w:val="0"/>
          <w:sz w:val="28"/>
          <w:szCs w:val="28"/>
          <w:highlight w:val="none"/>
          <w14:textFill>
            <w14:solidFill>
              <w14:schemeClr w14:val="tx1"/>
            </w14:solidFill>
          </w14:textFill>
        </w:rPr>
        <w:t>（</w:t>
      </w:r>
      <w:r>
        <w:rPr>
          <w:rFonts w:hint="eastAsia" w:ascii="仿宋_GB2312" w:eastAsia="仿宋_GB2312" w:cs="Times New Roman" w:hAnsiTheme="minorEastAsia"/>
          <w:color w:val="000000" w:themeColor="text1"/>
          <w:kern w:val="0"/>
          <w:sz w:val="28"/>
          <w:szCs w:val="28"/>
          <w:highlight w:val="none"/>
          <w:lang w:eastAsia="zh-CN"/>
          <w14:textFill>
            <w14:solidFill>
              <w14:schemeClr w14:val="tx1"/>
            </w14:solidFill>
          </w14:textFill>
        </w:rPr>
        <w:t>六</w:t>
      </w:r>
      <w:r>
        <w:rPr>
          <w:rFonts w:ascii="仿宋_GB2312" w:eastAsia="仿宋_GB2312" w:cs="Times New Roman" w:hAnsiTheme="minorEastAsia"/>
          <w:color w:val="000000" w:themeColor="text1"/>
          <w:kern w:val="0"/>
          <w:sz w:val="28"/>
          <w:szCs w:val="28"/>
          <w:highlight w:val="none"/>
          <w14:textFill>
            <w14:solidFill>
              <w14:schemeClr w14:val="tx1"/>
            </w14:solidFill>
          </w14:textFill>
        </w:rPr>
        <w:t>）其他需要向股东提供现金选择权的情形。</w:t>
      </w:r>
    </w:p>
    <w:p w14:paraId="501D0B5F">
      <w:pPr>
        <w:spacing w:line="600" w:lineRule="exact"/>
        <w:ind w:firstLine="562" w:firstLineChars="200"/>
        <w:rPr>
          <w:rFonts w:ascii="仿宋_GB2312" w:eastAsia="仿宋_GB2312" w:cs="Times New Roman" w:hAnsiTheme="minorEastAsia"/>
          <w:b/>
          <w:color w:val="000000" w:themeColor="text1"/>
          <w:kern w:val="0"/>
          <w:sz w:val="28"/>
          <w:szCs w:val="28"/>
          <w:highlight w:val="none"/>
          <w14:textFill>
            <w14:solidFill>
              <w14:schemeClr w14:val="tx1"/>
            </w14:solidFill>
          </w14:textFill>
        </w:rPr>
      </w:pPr>
      <w:r>
        <w:rPr>
          <w:rFonts w:hint="eastAsia" w:ascii="仿宋_GB2312" w:eastAsia="仿宋_GB2312" w:cs="Times New Roman" w:hAnsiTheme="minorEastAsia"/>
          <w:b/>
          <w:color w:val="000000" w:themeColor="text1"/>
          <w:kern w:val="0"/>
          <w:sz w:val="28"/>
          <w:szCs w:val="28"/>
          <w:highlight w:val="none"/>
          <w14:textFill>
            <w14:solidFill>
              <w14:schemeClr w14:val="tx1"/>
            </w14:solidFill>
          </w14:textFill>
        </w:rPr>
        <w:t>二、现金选择权的实施</w:t>
      </w:r>
    </w:p>
    <w:p w14:paraId="29975AD1">
      <w:pPr>
        <w:spacing w:line="600" w:lineRule="exact"/>
        <w:ind w:firstLine="560" w:firstLineChars="200"/>
        <w:rPr>
          <w:rFonts w:ascii="仿宋_GB2312" w:eastAsia="仿宋_GB2312" w:cs="Times New Roman" w:hAnsiTheme="minorEastAsia"/>
          <w:color w:val="000000" w:themeColor="text1"/>
          <w:kern w:val="0"/>
          <w:sz w:val="28"/>
          <w:szCs w:val="28"/>
          <w:highlight w:val="none"/>
          <w14:textFill>
            <w14:solidFill>
              <w14:schemeClr w14:val="tx1"/>
            </w14:solidFill>
          </w14:textFill>
        </w:rPr>
      </w:pPr>
      <w:r>
        <w:rPr>
          <w:rFonts w:hint="eastAsia" w:ascii="仿宋_GB2312" w:eastAsia="仿宋_GB2312" w:cs="Times New Roman" w:hAnsiTheme="minorEastAsia"/>
          <w:bCs/>
          <w:color w:val="000000" w:themeColor="text1"/>
          <w:kern w:val="0"/>
          <w:sz w:val="28"/>
          <w:szCs w:val="28"/>
          <w:highlight w:val="none"/>
          <w14:textFill>
            <w14:solidFill>
              <w14:schemeClr w14:val="tx1"/>
            </w14:solidFill>
          </w14:textFill>
        </w:rPr>
        <w:t>1.</w:t>
      </w:r>
      <w:r>
        <w:rPr>
          <w:rFonts w:ascii="仿宋_GB2312" w:eastAsia="仿宋_GB2312" w:cs="Times New Roman" w:hAnsiTheme="minorEastAsia"/>
          <w:color w:val="000000" w:themeColor="text1"/>
          <w:kern w:val="0"/>
          <w:sz w:val="28"/>
          <w:szCs w:val="28"/>
          <w:highlight w:val="none"/>
          <w14:textFill>
            <w14:solidFill>
              <w14:schemeClr w14:val="tx1"/>
            </w14:solidFill>
          </w14:textFill>
        </w:rPr>
        <w:t>上市公司</w:t>
      </w:r>
      <w:r>
        <w:rPr>
          <w:rFonts w:hint="eastAsia" w:ascii="仿宋_GB2312" w:eastAsia="仿宋_GB2312" w:cs="Times New Roman" w:hAnsiTheme="minorEastAsia"/>
          <w:color w:val="000000" w:themeColor="text1"/>
          <w:kern w:val="0"/>
          <w:sz w:val="28"/>
          <w:szCs w:val="28"/>
          <w:highlight w:val="none"/>
          <w14:textFill>
            <w14:solidFill>
              <w14:schemeClr w14:val="tx1"/>
            </w14:solidFill>
          </w14:textFill>
        </w:rPr>
        <w:t>应当</w:t>
      </w:r>
      <w:r>
        <w:rPr>
          <w:rFonts w:ascii="仿宋_GB2312" w:eastAsia="仿宋_GB2312" w:cs="Times New Roman" w:hAnsiTheme="minorEastAsia"/>
          <w:color w:val="000000" w:themeColor="text1"/>
          <w:kern w:val="0"/>
          <w:sz w:val="28"/>
          <w:szCs w:val="28"/>
          <w:highlight w:val="none"/>
          <w14:textFill>
            <w14:solidFill>
              <w14:schemeClr w14:val="tx1"/>
            </w14:solidFill>
          </w14:textFill>
        </w:rPr>
        <w:t>通过本所交易系统向股东提供现金选择权的申报</w:t>
      </w:r>
      <w:r>
        <w:rPr>
          <w:rFonts w:hint="eastAsia" w:ascii="仿宋_GB2312" w:eastAsia="仿宋_GB2312" w:cs="Times New Roman" w:hAnsiTheme="minorEastAsia"/>
          <w:color w:val="000000" w:themeColor="text1"/>
          <w:kern w:val="0"/>
          <w:sz w:val="28"/>
          <w:szCs w:val="28"/>
          <w:highlight w:val="none"/>
          <w:lang w:eastAsia="zh-CN"/>
          <w14:textFill>
            <w14:solidFill>
              <w14:schemeClr w14:val="tx1"/>
            </w14:solidFill>
          </w14:textFill>
        </w:rPr>
        <w:t>，</w:t>
      </w:r>
      <w:r>
        <w:rPr>
          <w:rFonts w:ascii="仿宋_GB2312" w:eastAsia="仿宋_GB2312" w:cs="Times New Roman" w:hAnsiTheme="minorEastAsia"/>
          <w:color w:val="000000" w:themeColor="text1"/>
          <w:kern w:val="0"/>
          <w:sz w:val="28"/>
          <w:szCs w:val="28"/>
          <w:highlight w:val="none"/>
          <w14:textFill>
            <w14:solidFill>
              <w14:schemeClr w14:val="tx1"/>
            </w14:solidFill>
          </w14:textFill>
        </w:rPr>
        <w:t>申报时间不得少于</w:t>
      </w:r>
      <w:r>
        <w:rPr>
          <w:rFonts w:hint="eastAsia" w:ascii="仿宋_GB2312" w:eastAsia="仿宋_GB2312" w:cs="Times New Roman" w:hAnsiTheme="minorEastAsia"/>
          <w:color w:val="000000" w:themeColor="text1"/>
          <w:kern w:val="0"/>
          <w:sz w:val="28"/>
          <w:szCs w:val="28"/>
          <w:highlight w:val="none"/>
          <w14:textFill>
            <w14:solidFill>
              <w14:schemeClr w14:val="tx1"/>
            </w14:solidFill>
          </w14:textFill>
        </w:rPr>
        <w:t>3</w:t>
      </w:r>
      <w:r>
        <w:rPr>
          <w:rFonts w:ascii="仿宋_GB2312" w:eastAsia="仿宋_GB2312" w:cs="Times New Roman" w:hAnsiTheme="minorEastAsia"/>
          <w:color w:val="000000" w:themeColor="text1"/>
          <w:kern w:val="0"/>
          <w:sz w:val="28"/>
          <w:szCs w:val="28"/>
          <w:highlight w:val="none"/>
          <w14:textFill>
            <w14:solidFill>
              <w14:schemeClr w14:val="tx1"/>
            </w14:solidFill>
          </w14:textFill>
        </w:rPr>
        <w:t>个交易日</w:t>
      </w:r>
      <w:r>
        <w:rPr>
          <w:rFonts w:hint="eastAsia" w:ascii="仿宋_GB2312" w:eastAsia="仿宋_GB2312" w:cs="Times New Roman" w:hAnsiTheme="minorEastAsia"/>
          <w:color w:val="000000" w:themeColor="text1"/>
          <w:kern w:val="0"/>
          <w:sz w:val="28"/>
          <w:szCs w:val="28"/>
          <w:highlight w:val="none"/>
          <w14:textFill>
            <w14:solidFill>
              <w14:schemeClr w14:val="tx1"/>
            </w14:solidFill>
          </w14:textFill>
        </w:rPr>
        <w:t>。</w:t>
      </w:r>
    </w:p>
    <w:p w14:paraId="1B03AD50">
      <w:pPr>
        <w:spacing w:line="600" w:lineRule="exact"/>
        <w:ind w:firstLine="560" w:firstLineChars="200"/>
        <w:rPr>
          <w:rFonts w:ascii="仿宋_GB2312" w:eastAsia="仿宋_GB2312" w:cs="Times New Roman" w:hAnsiTheme="minorEastAsia"/>
          <w:color w:val="000000" w:themeColor="text1"/>
          <w:kern w:val="0"/>
          <w:sz w:val="28"/>
          <w:szCs w:val="28"/>
          <w:highlight w:val="none"/>
          <w14:textFill>
            <w14:solidFill>
              <w14:schemeClr w14:val="tx1"/>
            </w14:solidFill>
          </w14:textFill>
        </w:rPr>
      </w:pPr>
      <w:r>
        <w:rPr>
          <w:rFonts w:hint="eastAsia" w:ascii="仿宋_GB2312" w:eastAsia="仿宋_GB2312" w:cs="Times New Roman" w:hAnsiTheme="minorEastAsia"/>
          <w:color w:val="000000" w:themeColor="text1"/>
          <w:kern w:val="0"/>
          <w:sz w:val="28"/>
          <w:szCs w:val="28"/>
          <w:highlight w:val="none"/>
          <w:lang w:eastAsia="zh-CN"/>
          <w14:textFill>
            <w14:solidFill>
              <w14:schemeClr w14:val="tx1"/>
            </w14:solidFill>
          </w14:textFill>
        </w:rPr>
        <w:t>上市公司应当合理确定现金选择权价格，充分保障投资者的合法权益。</w:t>
      </w:r>
      <w:r>
        <w:rPr>
          <w:rFonts w:ascii="仿宋_GB2312" w:eastAsia="仿宋_GB2312" w:cs="Times New Roman" w:hAnsiTheme="minorEastAsia"/>
          <w:color w:val="000000" w:themeColor="text1"/>
          <w:kern w:val="0"/>
          <w:sz w:val="28"/>
          <w:szCs w:val="28"/>
          <w:highlight w:val="none"/>
          <w14:textFill>
            <w14:solidFill>
              <w14:schemeClr w14:val="tx1"/>
            </w14:solidFill>
          </w14:textFill>
        </w:rPr>
        <w:t>对于目标公司股票市场价格高于现金选择权价格、投资者申报</w:t>
      </w:r>
      <w:r>
        <w:rPr>
          <w:rFonts w:hint="eastAsia" w:ascii="仿宋_GB2312" w:eastAsia="仿宋_GB2312" w:cs="Times New Roman" w:hAnsiTheme="minorEastAsia"/>
          <w:color w:val="000000" w:themeColor="text1"/>
          <w:kern w:val="0"/>
          <w:sz w:val="28"/>
          <w:szCs w:val="28"/>
          <w:highlight w:val="none"/>
          <w:lang w:eastAsia="zh-CN"/>
          <w14:textFill>
            <w14:solidFill>
              <w14:schemeClr w14:val="tx1"/>
            </w14:solidFill>
          </w14:textFill>
        </w:rPr>
        <w:t>可能</w:t>
      </w:r>
      <w:r>
        <w:rPr>
          <w:rFonts w:ascii="仿宋_GB2312" w:eastAsia="仿宋_GB2312" w:cs="Times New Roman" w:hAnsiTheme="minorEastAsia"/>
          <w:color w:val="000000" w:themeColor="text1"/>
          <w:kern w:val="0"/>
          <w:sz w:val="28"/>
          <w:szCs w:val="28"/>
          <w:highlight w:val="none"/>
          <w14:textFill>
            <w14:solidFill>
              <w14:schemeClr w14:val="tx1"/>
            </w14:solidFill>
          </w14:textFill>
        </w:rPr>
        <w:t>导致损失的，</w:t>
      </w:r>
      <w:r>
        <w:rPr>
          <w:rFonts w:hint="eastAsia" w:ascii="仿宋_GB2312" w:eastAsia="仿宋_GB2312" w:cs="Times New Roman" w:hAnsiTheme="minorEastAsia"/>
          <w:color w:val="000000" w:themeColor="text1"/>
          <w:kern w:val="0"/>
          <w:sz w:val="28"/>
          <w:szCs w:val="28"/>
          <w:highlight w:val="none"/>
          <w14:textFill>
            <w14:solidFill>
              <w14:schemeClr w14:val="tx1"/>
            </w14:solidFill>
          </w14:textFill>
        </w:rPr>
        <w:t>上市公司应当向投资者充分提示相关风险</w:t>
      </w:r>
      <w:r>
        <w:rPr>
          <w:rFonts w:ascii="仿宋_GB2312" w:eastAsia="仿宋_GB2312" w:cs="Times New Roman" w:hAnsiTheme="minorEastAsia"/>
          <w:color w:val="000000" w:themeColor="text1"/>
          <w:kern w:val="0"/>
          <w:sz w:val="28"/>
          <w:szCs w:val="28"/>
          <w:highlight w:val="none"/>
          <w14:textFill>
            <w14:solidFill>
              <w14:schemeClr w14:val="tx1"/>
            </w14:solidFill>
          </w14:textFill>
        </w:rPr>
        <w:t>。</w:t>
      </w:r>
    </w:p>
    <w:p w14:paraId="0D79D73C">
      <w:pPr>
        <w:spacing w:line="600" w:lineRule="exact"/>
        <w:ind w:firstLine="560" w:firstLineChars="200"/>
        <w:rPr>
          <w:rFonts w:ascii="仿宋_GB2312" w:eastAsia="仿宋_GB2312" w:cs="Times New Roman" w:hAnsiTheme="minorEastAsia"/>
          <w:color w:val="000000" w:themeColor="text1"/>
          <w:kern w:val="0"/>
          <w:sz w:val="28"/>
          <w:szCs w:val="28"/>
          <w:highlight w:val="none"/>
          <w14:textFill>
            <w14:solidFill>
              <w14:schemeClr w14:val="tx1"/>
            </w14:solidFill>
          </w14:textFill>
        </w:rPr>
      </w:pPr>
      <w:r>
        <w:rPr>
          <w:rFonts w:ascii="仿宋_GB2312" w:eastAsia="仿宋_GB2312" w:cs="Times New Roman" w:hAnsiTheme="minorEastAsia"/>
          <w:color w:val="000000" w:themeColor="text1"/>
          <w:kern w:val="0"/>
          <w:sz w:val="28"/>
          <w:szCs w:val="28"/>
          <w:highlight w:val="none"/>
          <w14:textFill>
            <w14:solidFill>
              <w14:schemeClr w14:val="tx1"/>
            </w14:solidFill>
          </w14:textFill>
        </w:rPr>
        <w:t>目标公司股票市场价格指现金选择权实施公告</w:t>
      </w:r>
      <w:r>
        <w:rPr>
          <w:rFonts w:hint="eastAsia" w:ascii="仿宋_GB2312" w:eastAsia="仿宋_GB2312" w:cs="Times New Roman" w:hAnsiTheme="minorEastAsia"/>
          <w:color w:val="000000" w:themeColor="text1"/>
          <w:kern w:val="0"/>
          <w:sz w:val="28"/>
          <w:szCs w:val="28"/>
          <w:highlight w:val="none"/>
          <w14:textFill>
            <w14:solidFill>
              <w14:schemeClr w14:val="tx1"/>
            </w14:solidFill>
          </w14:textFill>
        </w:rPr>
        <w:t>披露</w:t>
      </w:r>
      <w:r>
        <w:rPr>
          <w:rFonts w:ascii="仿宋_GB2312" w:eastAsia="仿宋_GB2312" w:cs="Times New Roman" w:hAnsiTheme="minorEastAsia"/>
          <w:color w:val="000000" w:themeColor="text1"/>
          <w:kern w:val="0"/>
          <w:sz w:val="28"/>
          <w:szCs w:val="28"/>
          <w:highlight w:val="none"/>
          <w14:textFill>
            <w14:solidFill>
              <w14:schemeClr w14:val="tx1"/>
            </w14:solidFill>
          </w14:textFill>
        </w:rPr>
        <w:t>前</w:t>
      </w:r>
      <w:r>
        <w:rPr>
          <w:rFonts w:hint="eastAsia" w:ascii="仿宋_GB2312" w:eastAsia="仿宋_GB2312" w:cs="Times New Roman" w:hAnsiTheme="minorEastAsia"/>
          <w:color w:val="000000" w:themeColor="text1"/>
          <w:kern w:val="0"/>
          <w:sz w:val="28"/>
          <w:szCs w:val="28"/>
          <w:highlight w:val="none"/>
          <w14:textFill>
            <w14:solidFill>
              <w14:schemeClr w14:val="tx1"/>
            </w14:solidFill>
          </w14:textFill>
        </w:rPr>
        <w:t>一</w:t>
      </w:r>
      <w:r>
        <w:rPr>
          <w:rFonts w:ascii="仿宋_GB2312" w:eastAsia="仿宋_GB2312" w:cs="Times New Roman" w:hAnsiTheme="minorEastAsia"/>
          <w:color w:val="000000" w:themeColor="text1"/>
          <w:kern w:val="0"/>
          <w:sz w:val="28"/>
          <w:szCs w:val="28"/>
          <w:highlight w:val="none"/>
          <w14:textFill>
            <w14:solidFill>
              <w14:schemeClr w14:val="tx1"/>
            </w14:solidFill>
          </w14:textFill>
        </w:rPr>
        <w:t>个交易日的公司股票收盘价。</w:t>
      </w:r>
    </w:p>
    <w:p w14:paraId="4156B3D3">
      <w:pPr>
        <w:spacing w:line="600" w:lineRule="exact"/>
        <w:ind w:firstLine="560" w:firstLineChars="200"/>
        <w:rPr>
          <w:rFonts w:ascii="仿宋_GB2312" w:eastAsia="仿宋_GB2312" w:cs="Times New Roman" w:hAnsiTheme="minorEastAsia"/>
          <w:color w:val="000000" w:themeColor="text1"/>
          <w:kern w:val="0"/>
          <w:sz w:val="28"/>
          <w:szCs w:val="28"/>
          <w:highlight w:val="none"/>
          <w14:textFill>
            <w14:solidFill>
              <w14:schemeClr w14:val="tx1"/>
            </w14:solidFill>
          </w14:textFill>
        </w:rPr>
      </w:pPr>
      <w:r>
        <w:rPr>
          <w:rFonts w:hint="eastAsia" w:ascii="仿宋_GB2312" w:eastAsia="仿宋_GB2312" w:cs="Times New Roman" w:hAnsiTheme="minorEastAsia"/>
          <w:bCs/>
          <w:color w:val="000000" w:themeColor="text1"/>
          <w:kern w:val="0"/>
          <w:sz w:val="28"/>
          <w:szCs w:val="28"/>
          <w:highlight w:val="none"/>
          <w:lang w:val="en-US" w:eastAsia="zh-CN"/>
          <w14:textFill>
            <w14:solidFill>
              <w14:schemeClr w14:val="tx1"/>
            </w14:solidFill>
          </w14:textFill>
        </w:rPr>
        <w:t>2</w:t>
      </w:r>
      <w:r>
        <w:rPr>
          <w:rFonts w:hint="eastAsia" w:ascii="仿宋_GB2312" w:eastAsia="仿宋_GB2312" w:cs="Times New Roman" w:hAnsiTheme="minorEastAsia"/>
          <w:bCs/>
          <w:color w:val="000000" w:themeColor="text1"/>
          <w:kern w:val="0"/>
          <w:sz w:val="28"/>
          <w:szCs w:val="28"/>
          <w:highlight w:val="none"/>
          <w14:textFill>
            <w14:solidFill>
              <w14:schemeClr w14:val="tx1"/>
            </w14:solidFill>
          </w14:textFill>
        </w:rPr>
        <w:t>.</w:t>
      </w:r>
      <w:r>
        <w:rPr>
          <w:rFonts w:ascii="仿宋_GB2312" w:eastAsia="仿宋_GB2312" w:cs="Times New Roman" w:hAnsiTheme="minorEastAsia"/>
          <w:color w:val="000000" w:themeColor="text1"/>
          <w:kern w:val="0"/>
          <w:sz w:val="28"/>
          <w:szCs w:val="28"/>
          <w:highlight w:val="none"/>
          <w14:textFill>
            <w14:solidFill>
              <w14:schemeClr w14:val="tx1"/>
            </w14:solidFill>
          </w14:textFill>
        </w:rPr>
        <w:t>上市公司申请</w:t>
      </w:r>
      <w:r>
        <w:rPr>
          <w:rFonts w:hint="eastAsia" w:ascii="仿宋_GB2312" w:eastAsia="仿宋_GB2312" w:cs="Times New Roman" w:hAnsiTheme="minorEastAsia"/>
          <w:color w:val="000000" w:themeColor="text1"/>
          <w:kern w:val="0"/>
          <w:sz w:val="28"/>
          <w:szCs w:val="28"/>
          <w:highlight w:val="none"/>
          <w14:textFill>
            <w14:solidFill>
              <w14:schemeClr w14:val="tx1"/>
            </w14:solidFill>
          </w14:textFill>
        </w:rPr>
        <w:t>披露</w:t>
      </w:r>
      <w:r>
        <w:rPr>
          <w:rFonts w:ascii="仿宋_GB2312" w:eastAsia="仿宋_GB2312" w:cs="Times New Roman" w:hAnsiTheme="minorEastAsia"/>
          <w:color w:val="000000" w:themeColor="text1"/>
          <w:kern w:val="0"/>
          <w:sz w:val="28"/>
          <w:szCs w:val="28"/>
          <w:highlight w:val="none"/>
          <w14:textFill>
            <w14:solidFill>
              <w14:schemeClr w14:val="tx1"/>
            </w14:solidFill>
          </w14:textFill>
        </w:rPr>
        <w:t>现金选择权申报公告</w:t>
      </w:r>
      <w:r>
        <w:rPr>
          <w:rFonts w:hint="eastAsia" w:ascii="仿宋_GB2312" w:eastAsia="仿宋_GB2312" w:cs="Times New Roman" w:hAnsiTheme="minorEastAsia"/>
          <w:color w:val="000000" w:themeColor="text1"/>
          <w:kern w:val="0"/>
          <w:sz w:val="28"/>
          <w:szCs w:val="28"/>
          <w:highlight w:val="none"/>
          <w14:textFill>
            <w14:solidFill>
              <w14:schemeClr w14:val="tx1"/>
            </w14:solidFill>
          </w14:textFill>
        </w:rPr>
        <w:t>，</w:t>
      </w:r>
      <w:r>
        <w:rPr>
          <w:rFonts w:ascii="仿宋_GB2312" w:eastAsia="仿宋_GB2312" w:cs="Times New Roman" w:hAnsiTheme="minorEastAsia"/>
          <w:color w:val="000000" w:themeColor="text1"/>
          <w:kern w:val="0"/>
          <w:sz w:val="28"/>
          <w:szCs w:val="28"/>
          <w:highlight w:val="none"/>
          <w14:textFill>
            <w14:solidFill>
              <w14:schemeClr w14:val="tx1"/>
            </w14:solidFill>
          </w14:textFill>
        </w:rPr>
        <w:t>应当向本所提交以下材料：</w:t>
      </w:r>
    </w:p>
    <w:p w14:paraId="00DD4875">
      <w:pPr>
        <w:spacing w:line="600" w:lineRule="exact"/>
        <w:ind w:firstLine="560" w:firstLineChars="200"/>
        <w:rPr>
          <w:rFonts w:ascii="仿宋_GB2312" w:eastAsia="仿宋_GB2312" w:cs="Times New Roman" w:hAnsiTheme="minorEastAsia"/>
          <w:color w:val="000000" w:themeColor="text1"/>
          <w:kern w:val="0"/>
          <w:sz w:val="28"/>
          <w:szCs w:val="28"/>
          <w:highlight w:val="none"/>
          <w14:textFill>
            <w14:solidFill>
              <w14:schemeClr w14:val="tx1"/>
            </w14:solidFill>
          </w14:textFill>
        </w:rPr>
      </w:pPr>
      <w:r>
        <w:rPr>
          <w:rFonts w:ascii="仿宋_GB2312" w:eastAsia="仿宋_GB2312" w:cs="Times New Roman" w:hAnsiTheme="minorEastAsia"/>
          <w:color w:val="000000" w:themeColor="text1"/>
          <w:kern w:val="0"/>
          <w:sz w:val="28"/>
          <w:szCs w:val="28"/>
          <w:highlight w:val="none"/>
          <w14:textFill>
            <w14:solidFill>
              <w14:schemeClr w14:val="tx1"/>
            </w14:solidFill>
          </w14:textFill>
        </w:rPr>
        <w:t>（一）中国证监会相关注册文件</w:t>
      </w:r>
      <w:r>
        <w:rPr>
          <w:rFonts w:hint="eastAsia" w:ascii="仿宋_GB2312" w:eastAsia="仿宋_GB2312" w:cs="Times New Roman" w:hAnsiTheme="minorEastAsia"/>
          <w:color w:val="000000" w:themeColor="text1"/>
          <w:kern w:val="0"/>
          <w:sz w:val="28"/>
          <w:szCs w:val="28"/>
          <w:highlight w:val="none"/>
          <w14:textFill>
            <w14:solidFill>
              <w14:schemeClr w14:val="tx1"/>
            </w14:solidFill>
          </w14:textFill>
        </w:rPr>
        <w:t>（如适用）</w:t>
      </w:r>
      <w:r>
        <w:rPr>
          <w:rFonts w:ascii="仿宋_GB2312" w:eastAsia="仿宋_GB2312" w:cs="Times New Roman" w:hAnsiTheme="minorEastAsia"/>
          <w:color w:val="000000" w:themeColor="text1"/>
          <w:kern w:val="0"/>
          <w:sz w:val="28"/>
          <w:szCs w:val="28"/>
          <w:highlight w:val="none"/>
          <w14:textFill>
            <w14:solidFill>
              <w14:schemeClr w14:val="tx1"/>
            </w14:solidFill>
          </w14:textFill>
        </w:rPr>
        <w:t>；</w:t>
      </w:r>
    </w:p>
    <w:p w14:paraId="7FD15118">
      <w:pPr>
        <w:spacing w:line="600" w:lineRule="exact"/>
        <w:ind w:firstLine="560" w:firstLineChars="200"/>
        <w:rPr>
          <w:rFonts w:ascii="仿宋_GB2312" w:eastAsia="仿宋_GB2312" w:cs="Times New Roman" w:hAnsiTheme="minorEastAsia"/>
          <w:color w:val="000000" w:themeColor="text1"/>
          <w:kern w:val="0"/>
          <w:sz w:val="28"/>
          <w:szCs w:val="28"/>
          <w:highlight w:val="none"/>
          <w14:textFill>
            <w14:solidFill>
              <w14:schemeClr w14:val="tx1"/>
            </w14:solidFill>
          </w14:textFill>
        </w:rPr>
      </w:pPr>
      <w:r>
        <w:rPr>
          <w:rFonts w:ascii="仿宋_GB2312" w:eastAsia="仿宋_GB2312" w:cs="Times New Roman" w:hAnsiTheme="minorEastAsia"/>
          <w:color w:val="000000" w:themeColor="text1"/>
          <w:kern w:val="0"/>
          <w:sz w:val="28"/>
          <w:szCs w:val="28"/>
          <w:highlight w:val="none"/>
          <w14:textFill>
            <w14:solidFill>
              <w14:schemeClr w14:val="tx1"/>
            </w14:solidFill>
          </w14:textFill>
        </w:rPr>
        <w:t>（</w:t>
      </w:r>
      <w:r>
        <w:rPr>
          <w:rFonts w:hint="eastAsia" w:ascii="仿宋_GB2312" w:eastAsia="仿宋_GB2312" w:cs="Times New Roman" w:hAnsiTheme="minorEastAsia"/>
          <w:color w:val="000000" w:themeColor="text1"/>
          <w:kern w:val="0"/>
          <w:sz w:val="28"/>
          <w:szCs w:val="28"/>
          <w:highlight w:val="none"/>
          <w14:textFill>
            <w14:solidFill>
              <w14:schemeClr w14:val="tx1"/>
            </w14:solidFill>
          </w14:textFill>
        </w:rPr>
        <w:t>二</w:t>
      </w:r>
      <w:r>
        <w:rPr>
          <w:rFonts w:ascii="仿宋_GB2312" w:eastAsia="仿宋_GB2312" w:cs="Times New Roman" w:hAnsiTheme="minorEastAsia"/>
          <w:color w:val="000000" w:themeColor="text1"/>
          <w:kern w:val="0"/>
          <w:sz w:val="28"/>
          <w:szCs w:val="28"/>
          <w:highlight w:val="none"/>
          <w14:textFill>
            <w14:solidFill>
              <w14:schemeClr w14:val="tx1"/>
            </w14:solidFill>
          </w14:textFill>
        </w:rPr>
        <w:t>）现金选择权提供方的</w:t>
      </w:r>
      <w:r>
        <w:rPr>
          <w:highlight w:val="none"/>
        </w:rPr>
        <w:fldChar w:fldCharType="begin"/>
      </w:r>
      <w:r>
        <w:rPr>
          <w:highlight w:val="none"/>
        </w:rPr>
        <w:instrText xml:space="preserve"> HYPERLINK "https://m.66law.cn/special/yingyezhizhao/" \t "_blank" \o "营业执照" </w:instrText>
      </w:r>
      <w:r>
        <w:rPr>
          <w:highlight w:val="none"/>
        </w:rPr>
        <w:fldChar w:fldCharType="separate"/>
      </w:r>
      <w:r>
        <w:rPr>
          <w:rFonts w:ascii="仿宋_GB2312" w:eastAsia="仿宋_GB2312" w:cs="Times New Roman" w:hAnsiTheme="minorEastAsia"/>
          <w:color w:val="000000" w:themeColor="text1"/>
          <w:kern w:val="0"/>
          <w:sz w:val="28"/>
          <w:szCs w:val="28"/>
          <w:highlight w:val="none"/>
          <w14:textFill>
            <w14:solidFill>
              <w14:schemeClr w14:val="tx1"/>
            </w14:solidFill>
          </w14:textFill>
        </w:rPr>
        <w:t>营业执照</w:t>
      </w:r>
      <w:r>
        <w:rPr>
          <w:rFonts w:ascii="仿宋_GB2312" w:eastAsia="仿宋_GB2312" w:cs="Times New Roman" w:hAnsiTheme="minorEastAsia"/>
          <w:color w:val="000000" w:themeColor="text1"/>
          <w:kern w:val="0"/>
          <w:sz w:val="28"/>
          <w:szCs w:val="28"/>
          <w:highlight w:val="none"/>
          <w14:textFill>
            <w14:solidFill>
              <w14:schemeClr w14:val="tx1"/>
            </w14:solidFill>
          </w14:textFill>
        </w:rPr>
        <w:fldChar w:fldCharType="end"/>
      </w:r>
      <w:r>
        <w:rPr>
          <w:rFonts w:ascii="仿宋_GB2312" w:eastAsia="仿宋_GB2312" w:cs="Times New Roman" w:hAnsiTheme="minorEastAsia"/>
          <w:color w:val="000000" w:themeColor="text1"/>
          <w:kern w:val="0"/>
          <w:sz w:val="28"/>
          <w:szCs w:val="28"/>
          <w:highlight w:val="none"/>
          <w14:textFill>
            <w14:solidFill>
              <w14:schemeClr w14:val="tx1"/>
            </w14:solidFill>
          </w14:textFill>
        </w:rPr>
        <w:t>复印件</w:t>
      </w:r>
      <w:r>
        <w:rPr>
          <w:rFonts w:hint="eastAsia" w:ascii="仿宋_GB2312" w:eastAsia="仿宋_GB2312" w:cs="Times New Roman" w:hAnsiTheme="minorEastAsia"/>
          <w:color w:val="000000" w:themeColor="text1"/>
          <w:kern w:val="0"/>
          <w:sz w:val="28"/>
          <w:szCs w:val="28"/>
          <w:highlight w:val="none"/>
          <w14:textFill>
            <w14:solidFill>
              <w14:schemeClr w14:val="tx1"/>
            </w14:solidFill>
          </w14:textFill>
        </w:rPr>
        <w:t>、</w:t>
      </w:r>
      <w:r>
        <w:rPr>
          <w:rFonts w:ascii="仿宋_GB2312" w:eastAsia="仿宋_GB2312" w:cs="Times New Roman" w:hAnsiTheme="minorEastAsia"/>
          <w:color w:val="000000" w:themeColor="text1"/>
          <w:kern w:val="0"/>
          <w:sz w:val="28"/>
          <w:szCs w:val="28"/>
          <w:highlight w:val="none"/>
          <w14:textFill>
            <w14:solidFill>
              <w14:schemeClr w14:val="tx1"/>
            </w14:solidFill>
          </w14:textFill>
        </w:rPr>
        <w:t>已办理指定交易的证券账户名称及账户号码；</w:t>
      </w:r>
    </w:p>
    <w:p w14:paraId="68D3E2A5">
      <w:pPr>
        <w:spacing w:line="600" w:lineRule="exact"/>
        <w:ind w:firstLine="560" w:firstLineChars="200"/>
        <w:rPr>
          <w:rFonts w:ascii="仿宋_GB2312" w:eastAsia="仿宋_GB2312" w:cs="Times New Roman" w:hAnsiTheme="minorEastAsia"/>
          <w:color w:val="000000" w:themeColor="text1"/>
          <w:kern w:val="0"/>
          <w:sz w:val="28"/>
          <w:szCs w:val="28"/>
          <w:highlight w:val="none"/>
          <w14:textFill>
            <w14:solidFill>
              <w14:schemeClr w14:val="tx1"/>
            </w14:solidFill>
          </w14:textFill>
        </w:rPr>
      </w:pPr>
      <w:r>
        <w:rPr>
          <w:rFonts w:ascii="仿宋_GB2312" w:eastAsia="仿宋_GB2312" w:cs="Times New Roman" w:hAnsiTheme="minorEastAsia"/>
          <w:color w:val="000000" w:themeColor="text1"/>
          <w:kern w:val="0"/>
          <w:sz w:val="28"/>
          <w:szCs w:val="28"/>
          <w:highlight w:val="none"/>
          <w14:textFill>
            <w14:solidFill>
              <w14:schemeClr w14:val="tx1"/>
            </w14:solidFill>
          </w14:textFill>
        </w:rPr>
        <w:t>（</w:t>
      </w:r>
      <w:r>
        <w:rPr>
          <w:rFonts w:hint="eastAsia" w:ascii="仿宋_GB2312" w:eastAsia="仿宋_GB2312" w:cs="Times New Roman" w:hAnsiTheme="minorEastAsia"/>
          <w:color w:val="000000" w:themeColor="text1"/>
          <w:kern w:val="0"/>
          <w:sz w:val="28"/>
          <w:szCs w:val="28"/>
          <w:highlight w:val="none"/>
          <w14:textFill>
            <w14:solidFill>
              <w14:schemeClr w14:val="tx1"/>
            </w14:solidFill>
          </w14:textFill>
        </w:rPr>
        <w:t>三</w:t>
      </w:r>
      <w:r>
        <w:rPr>
          <w:rFonts w:ascii="仿宋_GB2312" w:eastAsia="仿宋_GB2312" w:cs="Times New Roman" w:hAnsiTheme="minorEastAsia"/>
          <w:color w:val="000000" w:themeColor="text1"/>
          <w:kern w:val="0"/>
          <w:sz w:val="28"/>
          <w:szCs w:val="28"/>
          <w:highlight w:val="none"/>
          <w14:textFill>
            <w14:solidFill>
              <w14:schemeClr w14:val="tx1"/>
            </w14:solidFill>
          </w14:textFill>
        </w:rPr>
        <w:t>）现金选择权申报公告文稿；</w:t>
      </w:r>
    </w:p>
    <w:p w14:paraId="579D9277">
      <w:pPr>
        <w:spacing w:line="600" w:lineRule="exact"/>
        <w:ind w:firstLine="560" w:firstLineChars="200"/>
        <w:rPr>
          <w:rFonts w:ascii="仿宋_GB2312" w:eastAsia="仿宋_GB2312" w:cs="Times New Roman" w:hAnsiTheme="minorEastAsia"/>
          <w:color w:val="000000" w:themeColor="text1"/>
          <w:kern w:val="0"/>
          <w:sz w:val="28"/>
          <w:szCs w:val="28"/>
          <w:highlight w:val="none"/>
          <w14:textFill>
            <w14:solidFill>
              <w14:schemeClr w14:val="tx1"/>
            </w14:solidFill>
          </w14:textFill>
        </w:rPr>
      </w:pPr>
      <w:r>
        <w:rPr>
          <w:rFonts w:ascii="仿宋_GB2312" w:eastAsia="仿宋_GB2312" w:cs="Times New Roman" w:hAnsiTheme="minorEastAsia"/>
          <w:color w:val="000000" w:themeColor="text1"/>
          <w:kern w:val="0"/>
          <w:sz w:val="28"/>
          <w:szCs w:val="28"/>
          <w:highlight w:val="none"/>
          <w14:textFill>
            <w14:solidFill>
              <w14:schemeClr w14:val="tx1"/>
            </w14:solidFill>
          </w14:textFill>
        </w:rPr>
        <w:t>（</w:t>
      </w:r>
      <w:r>
        <w:rPr>
          <w:rFonts w:hint="eastAsia" w:ascii="仿宋_GB2312" w:eastAsia="仿宋_GB2312" w:cs="Times New Roman" w:hAnsiTheme="minorEastAsia"/>
          <w:color w:val="000000" w:themeColor="text1"/>
          <w:kern w:val="0"/>
          <w:sz w:val="28"/>
          <w:szCs w:val="28"/>
          <w:highlight w:val="none"/>
          <w14:textFill>
            <w14:solidFill>
              <w14:schemeClr w14:val="tx1"/>
            </w14:solidFill>
          </w14:textFill>
        </w:rPr>
        <w:t>四</w:t>
      </w:r>
      <w:r>
        <w:rPr>
          <w:rFonts w:ascii="仿宋_GB2312" w:eastAsia="仿宋_GB2312" w:cs="Times New Roman" w:hAnsiTheme="minorEastAsia"/>
          <w:color w:val="000000" w:themeColor="text1"/>
          <w:kern w:val="0"/>
          <w:sz w:val="28"/>
          <w:szCs w:val="28"/>
          <w:highlight w:val="none"/>
          <w14:textFill>
            <w14:solidFill>
              <w14:schemeClr w14:val="tx1"/>
            </w14:solidFill>
          </w14:textFill>
        </w:rPr>
        <w:t>）</w:t>
      </w:r>
      <w:r>
        <w:rPr>
          <w:rFonts w:hint="eastAsia" w:ascii="仿宋_GB2312" w:eastAsia="仿宋_GB2312" w:cs="Times New Roman" w:hAnsiTheme="minorEastAsia"/>
          <w:color w:val="000000" w:themeColor="text1"/>
          <w:kern w:val="0"/>
          <w:sz w:val="28"/>
          <w:szCs w:val="28"/>
          <w:highlight w:val="none"/>
          <w14:textFill>
            <w14:solidFill>
              <w14:schemeClr w14:val="tx1"/>
            </w14:solidFill>
          </w14:textFill>
        </w:rPr>
        <w:t>中国结算</w:t>
      </w:r>
      <w:r>
        <w:rPr>
          <w:rFonts w:ascii="仿宋_GB2312" w:eastAsia="仿宋_GB2312" w:cs="Times New Roman" w:hAnsiTheme="minorEastAsia"/>
          <w:color w:val="000000" w:themeColor="text1"/>
          <w:kern w:val="0"/>
          <w:sz w:val="28"/>
          <w:szCs w:val="28"/>
          <w:highlight w:val="none"/>
          <w14:textFill>
            <w14:solidFill>
              <w14:schemeClr w14:val="tx1"/>
            </w14:solidFill>
          </w14:textFill>
        </w:rPr>
        <w:t>出具的、现金选择权提供方已将</w:t>
      </w:r>
      <w:r>
        <w:rPr>
          <w:highlight w:val="none"/>
        </w:rPr>
        <w:fldChar w:fldCharType="begin"/>
      </w:r>
      <w:r>
        <w:rPr>
          <w:highlight w:val="none"/>
        </w:rPr>
        <w:instrText xml:space="preserve"> HYPERLINK "https://m.66law.cn/special/lybzj/" \t "_blank" \o "履约保证金" </w:instrText>
      </w:r>
      <w:r>
        <w:rPr>
          <w:highlight w:val="none"/>
        </w:rPr>
        <w:fldChar w:fldCharType="separate"/>
      </w:r>
      <w:r>
        <w:rPr>
          <w:rFonts w:ascii="仿宋_GB2312" w:eastAsia="仿宋_GB2312" w:cs="Times New Roman" w:hAnsiTheme="minorEastAsia"/>
          <w:color w:val="000000" w:themeColor="text1"/>
          <w:kern w:val="0"/>
          <w:sz w:val="28"/>
          <w:szCs w:val="28"/>
          <w:highlight w:val="none"/>
          <w14:textFill>
            <w14:solidFill>
              <w14:schemeClr w14:val="tx1"/>
            </w14:solidFill>
          </w14:textFill>
        </w:rPr>
        <w:t>履约保证金</w:t>
      </w:r>
      <w:r>
        <w:rPr>
          <w:rFonts w:ascii="仿宋_GB2312" w:eastAsia="仿宋_GB2312" w:cs="Times New Roman" w:hAnsiTheme="minorEastAsia"/>
          <w:color w:val="000000" w:themeColor="text1"/>
          <w:kern w:val="0"/>
          <w:sz w:val="28"/>
          <w:szCs w:val="28"/>
          <w:highlight w:val="none"/>
          <w14:textFill>
            <w14:solidFill>
              <w14:schemeClr w14:val="tx1"/>
            </w14:solidFill>
          </w14:textFill>
        </w:rPr>
        <w:fldChar w:fldCharType="end"/>
      </w:r>
      <w:r>
        <w:rPr>
          <w:rFonts w:ascii="仿宋_GB2312" w:eastAsia="仿宋_GB2312" w:cs="Times New Roman" w:hAnsiTheme="minorEastAsia"/>
          <w:color w:val="000000" w:themeColor="text1"/>
          <w:kern w:val="0"/>
          <w:sz w:val="28"/>
          <w:szCs w:val="28"/>
          <w:highlight w:val="none"/>
          <w14:textFill>
            <w14:solidFill>
              <w14:schemeClr w14:val="tx1"/>
            </w14:solidFill>
          </w14:textFill>
        </w:rPr>
        <w:t>冻结在</w:t>
      </w:r>
      <w:r>
        <w:rPr>
          <w:rFonts w:hint="eastAsia" w:ascii="仿宋_GB2312" w:eastAsia="仿宋_GB2312" w:cs="Times New Roman" w:hAnsiTheme="minorEastAsia"/>
          <w:color w:val="000000" w:themeColor="text1"/>
          <w:kern w:val="0"/>
          <w:sz w:val="28"/>
          <w:szCs w:val="28"/>
          <w:highlight w:val="none"/>
          <w14:textFill>
            <w14:solidFill>
              <w14:schemeClr w14:val="tx1"/>
            </w14:solidFill>
          </w14:textFill>
        </w:rPr>
        <w:t>中国结算</w:t>
      </w:r>
      <w:r>
        <w:rPr>
          <w:rFonts w:ascii="仿宋_GB2312" w:eastAsia="仿宋_GB2312" w:cs="Times New Roman" w:hAnsiTheme="minorEastAsia"/>
          <w:color w:val="000000" w:themeColor="text1"/>
          <w:kern w:val="0"/>
          <w:sz w:val="28"/>
          <w:szCs w:val="28"/>
          <w:highlight w:val="none"/>
          <w14:textFill>
            <w14:solidFill>
              <w14:schemeClr w14:val="tx1"/>
            </w14:solidFill>
          </w14:textFill>
        </w:rPr>
        <w:t>指定账户的证明文件</w:t>
      </w:r>
      <w:r>
        <w:rPr>
          <w:rFonts w:hint="eastAsia" w:ascii="仿宋_GB2312" w:eastAsia="仿宋_GB2312" w:cs="Times New Roman" w:hAnsiTheme="minorEastAsia"/>
          <w:color w:val="000000" w:themeColor="text1"/>
          <w:kern w:val="0"/>
          <w:sz w:val="28"/>
          <w:szCs w:val="28"/>
          <w:highlight w:val="none"/>
          <w:lang w:eastAsia="zh-CN"/>
          <w14:textFill>
            <w14:solidFill>
              <w14:schemeClr w14:val="tx1"/>
            </w14:solidFill>
          </w14:textFill>
        </w:rPr>
        <w:t>，</w:t>
      </w:r>
      <w:r>
        <w:rPr>
          <w:rFonts w:ascii="仿宋_GB2312" w:eastAsia="仿宋_GB2312" w:cs="Times New Roman" w:hAnsiTheme="minorEastAsia"/>
          <w:color w:val="000000" w:themeColor="text1"/>
          <w:kern w:val="0"/>
          <w:sz w:val="28"/>
          <w:szCs w:val="28"/>
          <w:highlight w:val="none"/>
          <w14:textFill>
            <w14:solidFill>
              <w14:schemeClr w14:val="tx1"/>
            </w14:solidFill>
          </w14:textFill>
        </w:rPr>
        <w:t>履约保证金金额不少于现金选择权价格乘以可行使现金选择权的股份总额（即现金选择权价款总额）的20%；</w:t>
      </w:r>
    </w:p>
    <w:p w14:paraId="3E46A0B9">
      <w:pPr>
        <w:spacing w:line="600" w:lineRule="exact"/>
        <w:ind w:firstLine="560" w:firstLineChars="200"/>
        <w:rPr>
          <w:rFonts w:ascii="仿宋_GB2312" w:eastAsia="仿宋_GB2312" w:cs="Times New Roman" w:hAnsiTheme="minorEastAsia"/>
          <w:color w:val="000000" w:themeColor="text1"/>
          <w:kern w:val="0"/>
          <w:sz w:val="28"/>
          <w:szCs w:val="28"/>
          <w:highlight w:val="none"/>
          <w14:textFill>
            <w14:solidFill>
              <w14:schemeClr w14:val="tx1"/>
            </w14:solidFill>
          </w14:textFill>
        </w:rPr>
      </w:pPr>
      <w:r>
        <w:rPr>
          <w:rFonts w:hint="eastAsia" w:ascii="仿宋_GB2312" w:eastAsia="仿宋_GB2312" w:cs="Times New Roman" w:hAnsiTheme="minorEastAsia"/>
          <w:color w:val="000000" w:themeColor="text1"/>
          <w:kern w:val="0"/>
          <w:sz w:val="28"/>
          <w:szCs w:val="28"/>
          <w:highlight w:val="none"/>
          <w14:textFill>
            <w14:solidFill>
              <w14:schemeClr w14:val="tx1"/>
            </w14:solidFill>
          </w14:textFill>
        </w:rPr>
        <w:t>（五）上市公司现金选择权业务申请；</w:t>
      </w:r>
    </w:p>
    <w:p w14:paraId="662D9D03">
      <w:pPr>
        <w:spacing w:line="600" w:lineRule="exact"/>
        <w:ind w:firstLine="560" w:firstLineChars="200"/>
        <w:rPr>
          <w:rFonts w:ascii="仿宋_GB2312" w:eastAsia="仿宋_GB2312" w:cs="Times New Roman" w:hAnsiTheme="minorEastAsia"/>
          <w:color w:val="000000" w:themeColor="text1"/>
          <w:kern w:val="0"/>
          <w:sz w:val="28"/>
          <w:szCs w:val="28"/>
          <w:highlight w:val="none"/>
          <w14:textFill>
            <w14:solidFill>
              <w14:schemeClr w14:val="tx1"/>
            </w14:solidFill>
          </w14:textFill>
        </w:rPr>
      </w:pPr>
      <w:r>
        <w:rPr>
          <w:rFonts w:ascii="仿宋_GB2312" w:eastAsia="仿宋_GB2312" w:cs="Times New Roman" w:hAnsiTheme="minorEastAsia"/>
          <w:color w:val="000000" w:themeColor="text1"/>
          <w:kern w:val="0"/>
          <w:sz w:val="28"/>
          <w:szCs w:val="28"/>
          <w:highlight w:val="none"/>
          <w14:textFill>
            <w14:solidFill>
              <w14:schemeClr w14:val="tx1"/>
            </w14:solidFill>
          </w14:textFill>
        </w:rPr>
        <w:t>（</w:t>
      </w:r>
      <w:r>
        <w:rPr>
          <w:rFonts w:hint="eastAsia" w:ascii="仿宋_GB2312" w:eastAsia="仿宋_GB2312" w:cs="Times New Roman" w:hAnsiTheme="minorEastAsia"/>
          <w:color w:val="000000" w:themeColor="text1"/>
          <w:kern w:val="0"/>
          <w:sz w:val="28"/>
          <w:szCs w:val="28"/>
          <w:highlight w:val="none"/>
          <w14:textFill>
            <w14:solidFill>
              <w14:schemeClr w14:val="tx1"/>
            </w14:solidFill>
          </w14:textFill>
        </w:rPr>
        <w:t>六</w:t>
      </w:r>
      <w:r>
        <w:rPr>
          <w:rFonts w:ascii="仿宋_GB2312" w:eastAsia="仿宋_GB2312" w:cs="Times New Roman" w:hAnsiTheme="minorEastAsia"/>
          <w:color w:val="000000" w:themeColor="text1"/>
          <w:kern w:val="0"/>
          <w:sz w:val="28"/>
          <w:szCs w:val="28"/>
          <w:highlight w:val="none"/>
          <w14:textFill>
            <w14:solidFill>
              <w14:schemeClr w14:val="tx1"/>
            </w14:solidFill>
          </w14:textFill>
        </w:rPr>
        <w:t>）公司股票及其衍生品种</w:t>
      </w:r>
      <w:r>
        <w:rPr>
          <w:rFonts w:hint="eastAsia" w:ascii="仿宋_GB2312" w:eastAsia="仿宋_GB2312" w:cs="Times New Roman" w:hAnsiTheme="minorEastAsia"/>
          <w:color w:val="000000" w:themeColor="text1"/>
          <w:kern w:val="0"/>
          <w:sz w:val="28"/>
          <w:szCs w:val="28"/>
          <w:highlight w:val="none"/>
          <w:lang w:eastAsia="zh-CN"/>
          <w14:textFill>
            <w14:solidFill>
              <w14:schemeClr w14:val="tx1"/>
            </w14:solidFill>
          </w14:textFill>
        </w:rPr>
        <w:t>在</w:t>
      </w:r>
      <w:r>
        <w:rPr>
          <w:rFonts w:ascii="仿宋_GB2312" w:eastAsia="仿宋_GB2312" w:cs="Times New Roman" w:hAnsiTheme="minorEastAsia"/>
          <w:color w:val="000000" w:themeColor="text1"/>
          <w:kern w:val="0"/>
          <w:sz w:val="28"/>
          <w:szCs w:val="28"/>
          <w:highlight w:val="none"/>
          <w14:textFill>
            <w14:solidFill>
              <w14:schemeClr w14:val="tx1"/>
            </w14:solidFill>
          </w14:textFill>
        </w:rPr>
        <w:t>现金选择权</w:t>
      </w:r>
      <w:r>
        <w:rPr>
          <w:rFonts w:hint="eastAsia" w:ascii="仿宋_GB2312" w:eastAsia="仿宋_GB2312" w:cs="Times New Roman" w:hAnsiTheme="minorEastAsia"/>
          <w:color w:val="000000" w:themeColor="text1"/>
          <w:kern w:val="0"/>
          <w:sz w:val="28"/>
          <w:szCs w:val="28"/>
          <w:highlight w:val="none"/>
          <w:lang w:eastAsia="zh-CN"/>
          <w14:textFill>
            <w14:solidFill>
              <w14:schemeClr w14:val="tx1"/>
            </w14:solidFill>
          </w14:textFill>
        </w:rPr>
        <w:t>实施期间</w:t>
      </w:r>
      <w:r>
        <w:rPr>
          <w:rFonts w:ascii="仿宋_GB2312" w:eastAsia="仿宋_GB2312" w:cs="Times New Roman" w:hAnsiTheme="minorEastAsia"/>
          <w:color w:val="000000" w:themeColor="text1"/>
          <w:kern w:val="0"/>
          <w:sz w:val="28"/>
          <w:szCs w:val="28"/>
          <w:highlight w:val="none"/>
          <w14:textFill>
            <w14:solidFill>
              <w14:schemeClr w14:val="tx1"/>
            </w14:solidFill>
          </w14:textFill>
        </w:rPr>
        <w:t>的连续停牌申请；</w:t>
      </w:r>
    </w:p>
    <w:p w14:paraId="42D28F53">
      <w:pPr>
        <w:spacing w:line="600" w:lineRule="exact"/>
        <w:ind w:firstLine="560" w:firstLineChars="200"/>
        <w:rPr>
          <w:rFonts w:ascii="仿宋_GB2312" w:eastAsia="仿宋_GB2312" w:cs="Times New Roman" w:hAnsiTheme="minorEastAsia"/>
          <w:color w:val="000000" w:themeColor="text1"/>
          <w:kern w:val="0"/>
          <w:sz w:val="28"/>
          <w:szCs w:val="28"/>
          <w:highlight w:val="none"/>
          <w14:textFill>
            <w14:solidFill>
              <w14:schemeClr w14:val="tx1"/>
            </w14:solidFill>
          </w14:textFill>
        </w:rPr>
      </w:pPr>
      <w:r>
        <w:rPr>
          <w:rFonts w:ascii="仿宋_GB2312" w:eastAsia="仿宋_GB2312" w:cs="Times New Roman" w:hAnsiTheme="minorEastAsia"/>
          <w:color w:val="000000" w:themeColor="text1"/>
          <w:kern w:val="0"/>
          <w:sz w:val="28"/>
          <w:szCs w:val="28"/>
          <w:highlight w:val="none"/>
          <w14:textFill>
            <w14:solidFill>
              <w14:schemeClr w14:val="tx1"/>
            </w14:solidFill>
          </w14:textFill>
        </w:rPr>
        <w:t>（</w:t>
      </w:r>
      <w:r>
        <w:rPr>
          <w:rFonts w:hint="eastAsia" w:ascii="仿宋_GB2312" w:eastAsia="仿宋_GB2312" w:cs="Times New Roman" w:hAnsiTheme="minorEastAsia"/>
          <w:color w:val="000000" w:themeColor="text1"/>
          <w:kern w:val="0"/>
          <w:sz w:val="28"/>
          <w:szCs w:val="28"/>
          <w:highlight w:val="none"/>
          <w14:textFill>
            <w14:solidFill>
              <w14:schemeClr w14:val="tx1"/>
            </w14:solidFill>
          </w14:textFill>
        </w:rPr>
        <w:t>七</w:t>
      </w:r>
      <w:r>
        <w:rPr>
          <w:rFonts w:ascii="仿宋_GB2312" w:eastAsia="仿宋_GB2312" w:cs="Times New Roman" w:hAnsiTheme="minorEastAsia"/>
          <w:color w:val="000000" w:themeColor="text1"/>
          <w:kern w:val="0"/>
          <w:sz w:val="28"/>
          <w:szCs w:val="28"/>
          <w:highlight w:val="none"/>
          <w14:textFill>
            <w14:solidFill>
              <w14:schemeClr w14:val="tx1"/>
            </w14:solidFill>
          </w14:textFill>
        </w:rPr>
        <w:t>）本所要求的其他材料。</w:t>
      </w:r>
    </w:p>
    <w:p w14:paraId="66A87E03">
      <w:pPr>
        <w:spacing w:line="600" w:lineRule="exact"/>
        <w:ind w:firstLine="560" w:firstLineChars="200"/>
        <w:rPr>
          <w:rFonts w:ascii="仿宋_GB2312" w:eastAsia="仿宋_GB2312" w:cs="Times New Roman" w:hAnsiTheme="minorEastAsia"/>
          <w:color w:val="000000" w:themeColor="text1"/>
          <w:kern w:val="0"/>
          <w:sz w:val="28"/>
          <w:szCs w:val="28"/>
          <w:highlight w:val="none"/>
          <w14:textFill>
            <w14:solidFill>
              <w14:schemeClr w14:val="tx1"/>
            </w14:solidFill>
          </w14:textFill>
        </w:rPr>
      </w:pPr>
      <w:r>
        <w:rPr>
          <w:rFonts w:hint="eastAsia" w:ascii="仿宋_GB2312" w:eastAsia="仿宋_GB2312" w:cs="Times New Roman" w:hAnsiTheme="minorEastAsia"/>
          <w:bCs/>
          <w:color w:val="000000" w:themeColor="text1"/>
          <w:kern w:val="0"/>
          <w:sz w:val="28"/>
          <w:szCs w:val="28"/>
          <w:highlight w:val="none"/>
          <w:lang w:val="en-US" w:eastAsia="zh-CN"/>
          <w14:textFill>
            <w14:solidFill>
              <w14:schemeClr w14:val="tx1"/>
            </w14:solidFill>
          </w14:textFill>
        </w:rPr>
        <w:t>3</w:t>
      </w:r>
      <w:r>
        <w:rPr>
          <w:rFonts w:hint="eastAsia" w:ascii="仿宋_GB2312" w:eastAsia="仿宋_GB2312" w:cs="Times New Roman" w:hAnsiTheme="minorEastAsia"/>
          <w:bCs/>
          <w:color w:val="000000" w:themeColor="text1"/>
          <w:kern w:val="0"/>
          <w:sz w:val="28"/>
          <w:szCs w:val="28"/>
          <w:highlight w:val="none"/>
          <w14:textFill>
            <w14:solidFill>
              <w14:schemeClr w14:val="tx1"/>
            </w14:solidFill>
          </w14:textFill>
        </w:rPr>
        <w:t>.</w:t>
      </w:r>
      <w:r>
        <w:rPr>
          <w:rFonts w:ascii="仿宋_GB2312" w:eastAsia="仿宋_GB2312" w:cs="Times New Roman" w:hAnsiTheme="minorEastAsia"/>
          <w:color w:val="000000" w:themeColor="text1"/>
          <w:kern w:val="0"/>
          <w:sz w:val="28"/>
          <w:szCs w:val="28"/>
          <w:highlight w:val="none"/>
          <w14:textFill>
            <w14:solidFill>
              <w14:schemeClr w14:val="tx1"/>
            </w14:solidFill>
          </w14:textFill>
        </w:rPr>
        <w:t>上市公司应当在现金选择权开始申报日的至少</w:t>
      </w:r>
      <w:r>
        <w:rPr>
          <w:rFonts w:hint="eastAsia" w:ascii="仿宋_GB2312" w:eastAsia="仿宋_GB2312" w:cs="Times New Roman" w:hAnsiTheme="minorEastAsia"/>
          <w:color w:val="000000" w:themeColor="text1"/>
          <w:kern w:val="0"/>
          <w:sz w:val="28"/>
          <w:szCs w:val="28"/>
          <w:highlight w:val="none"/>
          <w14:textFill>
            <w14:solidFill>
              <w14:schemeClr w14:val="tx1"/>
            </w14:solidFill>
          </w14:textFill>
        </w:rPr>
        <w:t>2</w:t>
      </w:r>
      <w:r>
        <w:rPr>
          <w:rFonts w:ascii="仿宋_GB2312" w:eastAsia="仿宋_GB2312" w:cs="Times New Roman" w:hAnsiTheme="minorEastAsia"/>
          <w:color w:val="000000" w:themeColor="text1"/>
          <w:kern w:val="0"/>
          <w:sz w:val="28"/>
          <w:szCs w:val="28"/>
          <w:highlight w:val="none"/>
          <w14:textFill>
            <w14:solidFill>
              <w14:schemeClr w14:val="tx1"/>
            </w14:solidFill>
          </w14:textFill>
        </w:rPr>
        <w:t>个</w:t>
      </w:r>
      <w:r>
        <w:rPr>
          <w:rFonts w:hint="eastAsia" w:ascii="仿宋_GB2312" w:eastAsia="仿宋_GB2312" w:cs="Times New Roman" w:hAnsiTheme="minorEastAsia"/>
          <w:color w:val="000000" w:themeColor="text1"/>
          <w:kern w:val="0"/>
          <w:sz w:val="28"/>
          <w:szCs w:val="28"/>
          <w:highlight w:val="none"/>
          <w14:textFill>
            <w14:solidFill>
              <w14:schemeClr w14:val="tx1"/>
            </w14:solidFill>
          </w14:textFill>
        </w:rPr>
        <w:t>交易日</w:t>
      </w:r>
      <w:r>
        <w:rPr>
          <w:rFonts w:ascii="仿宋_GB2312" w:eastAsia="仿宋_GB2312" w:cs="Times New Roman" w:hAnsiTheme="minorEastAsia"/>
          <w:color w:val="000000" w:themeColor="text1"/>
          <w:kern w:val="0"/>
          <w:sz w:val="28"/>
          <w:szCs w:val="28"/>
          <w:highlight w:val="none"/>
          <w14:textFill>
            <w14:solidFill>
              <w14:schemeClr w14:val="tx1"/>
            </w14:solidFill>
          </w14:textFill>
        </w:rPr>
        <w:t>前</w:t>
      </w:r>
      <w:r>
        <w:rPr>
          <w:rFonts w:hint="eastAsia" w:ascii="仿宋_GB2312" w:eastAsia="仿宋_GB2312" w:cs="Times New Roman" w:hAnsiTheme="minorEastAsia"/>
          <w:color w:val="000000" w:themeColor="text1"/>
          <w:kern w:val="0"/>
          <w:sz w:val="28"/>
          <w:szCs w:val="28"/>
          <w:highlight w:val="none"/>
          <w14:textFill>
            <w14:solidFill>
              <w14:schemeClr w14:val="tx1"/>
            </w14:solidFill>
          </w14:textFill>
        </w:rPr>
        <w:t>披露</w:t>
      </w:r>
      <w:r>
        <w:rPr>
          <w:rFonts w:ascii="仿宋_GB2312" w:eastAsia="仿宋_GB2312" w:cs="Times New Roman" w:hAnsiTheme="minorEastAsia"/>
          <w:color w:val="000000" w:themeColor="text1"/>
          <w:kern w:val="0"/>
          <w:sz w:val="28"/>
          <w:szCs w:val="28"/>
          <w:highlight w:val="none"/>
          <w14:textFill>
            <w14:solidFill>
              <w14:schemeClr w14:val="tx1"/>
            </w14:solidFill>
          </w14:textFill>
        </w:rPr>
        <w:t>现金选择权</w:t>
      </w:r>
      <w:r>
        <w:rPr>
          <w:rFonts w:hint="eastAsia" w:ascii="仿宋_GB2312" w:eastAsia="仿宋_GB2312" w:cs="Times New Roman" w:hAnsiTheme="minorEastAsia"/>
          <w:color w:val="000000" w:themeColor="text1"/>
          <w:kern w:val="0"/>
          <w:sz w:val="28"/>
          <w:szCs w:val="28"/>
          <w:highlight w:val="none"/>
          <w14:textFill>
            <w14:solidFill>
              <w14:schemeClr w14:val="tx1"/>
            </w14:solidFill>
          </w14:textFill>
        </w:rPr>
        <w:t>实施</w:t>
      </w:r>
      <w:r>
        <w:rPr>
          <w:rFonts w:ascii="仿宋_GB2312" w:eastAsia="仿宋_GB2312" w:cs="Times New Roman" w:hAnsiTheme="minorEastAsia"/>
          <w:color w:val="000000" w:themeColor="text1"/>
          <w:kern w:val="0"/>
          <w:sz w:val="28"/>
          <w:szCs w:val="28"/>
          <w:highlight w:val="none"/>
          <w14:textFill>
            <w14:solidFill>
              <w14:schemeClr w14:val="tx1"/>
            </w14:solidFill>
          </w14:textFill>
        </w:rPr>
        <w:t>公告</w:t>
      </w:r>
      <w:r>
        <w:rPr>
          <w:rFonts w:hint="eastAsia" w:ascii="仿宋_GB2312" w:eastAsia="仿宋_GB2312" w:cs="Times New Roman" w:hAnsiTheme="minorEastAsia"/>
          <w:color w:val="000000" w:themeColor="text1"/>
          <w:kern w:val="0"/>
          <w:sz w:val="28"/>
          <w:szCs w:val="28"/>
          <w:highlight w:val="none"/>
          <w14:textFill>
            <w14:solidFill>
              <w14:schemeClr w14:val="tx1"/>
            </w14:solidFill>
          </w14:textFill>
        </w:rPr>
        <w:t>，标的证券涉及融资融券业务的应当至少提前5个交易日</w:t>
      </w:r>
      <w:r>
        <w:rPr>
          <w:rFonts w:ascii="仿宋_GB2312" w:eastAsia="仿宋_GB2312" w:cs="Times New Roman" w:hAnsiTheme="minorEastAsia"/>
          <w:color w:val="000000" w:themeColor="text1"/>
          <w:kern w:val="0"/>
          <w:sz w:val="28"/>
          <w:szCs w:val="28"/>
          <w:highlight w:val="none"/>
          <w14:textFill>
            <w14:solidFill>
              <w14:schemeClr w14:val="tx1"/>
            </w14:solidFill>
          </w14:textFill>
        </w:rPr>
        <w:t>。</w:t>
      </w:r>
    </w:p>
    <w:p w14:paraId="620C762C">
      <w:pPr>
        <w:spacing w:line="600" w:lineRule="exact"/>
        <w:ind w:firstLine="560" w:firstLineChars="200"/>
        <w:rPr>
          <w:rFonts w:ascii="仿宋_GB2312" w:eastAsia="仿宋_GB2312" w:cs="Times New Roman" w:hAnsiTheme="minorEastAsia"/>
          <w:color w:val="000000" w:themeColor="text1"/>
          <w:kern w:val="0"/>
          <w:sz w:val="28"/>
          <w:szCs w:val="28"/>
          <w:highlight w:val="none"/>
          <w14:textFill>
            <w14:solidFill>
              <w14:schemeClr w14:val="tx1"/>
            </w14:solidFill>
          </w14:textFill>
        </w:rPr>
      </w:pPr>
      <w:r>
        <w:rPr>
          <w:rFonts w:ascii="仿宋_GB2312" w:eastAsia="仿宋_GB2312" w:cs="Times New Roman" w:hAnsiTheme="minorEastAsia"/>
          <w:color w:val="000000" w:themeColor="text1"/>
          <w:kern w:val="0"/>
          <w:sz w:val="28"/>
          <w:szCs w:val="28"/>
          <w:highlight w:val="none"/>
          <w14:textFill>
            <w14:solidFill>
              <w14:schemeClr w14:val="tx1"/>
            </w14:solidFill>
          </w14:textFill>
        </w:rPr>
        <w:t>上市公司现金选择权实施公告应当包括以下内容：</w:t>
      </w:r>
    </w:p>
    <w:p w14:paraId="4598A107">
      <w:pPr>
        <w:spacing w:line="600" w:lineRule="exact"/>
        <w:ind w:firstLine="560" w:firstLineChars="200"/>
        <w:rPr>
          <w:rFonts w:ascii="仿宋_GB2312" w:eastAsia="仿宋_GB2312" w:cs="Times New Roman" w:hAnsiTheme="minorEastAsia"/>
          <w:color w:val="000000" w:themeColor="text1"/>
          <w:kern w:val="0"/>
          <w:sz w:val="28"/>
          <w:szCs w:val="28"/>
          <w:highlight w:val="none"/>
          <w14:textFill>
            <w14:solidFill>
              <w14:schemeClr w14:val="tx1"/>
            </w14:solidFill>
          </w14:textFill>
        </w:rPr>
      </w:pPr>
      <w:r>
        <w:rPr>
          <w:rFonts w:ascii="仿宋_GB2312" w:eastAsia="仿宋_GB2312" w:cs="Times New Roman" w:hAnsiTheme="minorEastAsia"/>
          <w:color w:val="000000" w:themeColor="text1"/>
          <w:kern w:val="0"/>
          <w:sz w:val="28"/>
          <w:szCs w:val="28"/>
          <w:highlight w:val="none"/>
          <w14:textFill>
            <w14:solidFill>
              <w14:schemeClr w14:val="tx1"/>
            </w14:solidFill>
          </w14:textFill>
        </w:rPr>
        <w:t>（一）现金选择权相关方案简介，包括有权行使现金选择权的股东</w:t>
      </w:r>
      <w:r>
        <w:rPr>
          <w:rFonts w:hint="eastAsia" w:ascii="仿宋_GB2312" w:eastAsia="仿宋_GB2312" w:cs="Times New Roman" w:hAnsiTheme="minorEastAsia"/>
          <w:color w:val="000000" w:themeColor="text1"/>
          <w:kern w:val="0"/>
          <w:sz w:val="28"/>
          <w:szCs w:val="28"/>
          <w:highlight w:val="none"/>
          <w14:textFill>
            <w14:solidFill>
              <w14:schemeClr w14:val="tx1"/>
            </w14:solidFill>
          </w14:textFill>
        </w:rPr>
        <w:t>条件</w:t>
      </w:r>
      <w:r>
        <w:rPr>
          <w:rFonts w:ascii="仿宋_GB2312" w:eastAsia="仿宋_GB2312" w:cs="Times New Roman" w:hAnsiTheme="minorEastAsia"/>
          <w:color w:val="000000" w:themeColor="text1"/>
          <w:kern w:val="0"/>
          <w:sz w:val="28"/>
          <w:szCs w:val="28"/>
          <w:highlight w:val="none"/>
          <w14:textFill>
            <w14:solidFill>
              <w14:schemeClr w14:val="tx1"/>
            </w14:solidFill>
          </w14:textFill>
        </w:rPr>
        <w:t>、现金选择权价格、现金选择权提供方等情况说明；</w:t>
      </w:r>
    </w:p>
    <w:p w14:paraId="5A50B663">
      <w:pPr>
        <w:spacing w:line="600" w:lineRule="exact"/>
        <w:ind w:firstLine="560" w:firstLineChars="200"/>
        <w:rPr>
          <w:rFonts w:ascii="仿宋_GB2312" w:eastAsia="仿宋_GB2312" w:cs="Times New Roman" w:hAnsiTheme="minorEastAsia"/>
          <w:color w:val="000000" w:themeColor="text1"/>
          <w:kern w:val="0"/>
          <w:sz w:val="28"/>
          <w:szCs w:val="28"/>
          <w:highlight w:val="none"/>
          <w14:textFill>
            <w14:solidFill>
              <w14:schemeClr w14:val="tx1"/>
            </w14:solidFill>
          </w14:textFill>
        </w:rPr>
      </w:pPr>
      <w:r>
        <w:rPr>
          <w:rFonts w:ascii="仿宋_GB2312" w:eastAsia="仿宋_GB2312" w:cs="Times New Roman" w:hAnsiTheme="minorEastAsia"/>
          <w:color w:val="000000" w:themeColor="text1"/>
          <w:kern w:val="0"/>
          <w:sz w:val="28"/>
          <w:szCs w:val="28"/>
          <w:highlight w:val="none"/>
          <w14:textFill>
            <w14:solidFill>
              <w14:schemeClr w14:val="tx1"/>
            </w14:solidFill>
          </w14:textFill>
        </w:rPr>
        <w:t>（二）行使现金选择权股权登记日；</w:t>
      </w:r>
    </w:p>
    <w:p w14:paraId="5C5702BC">
      <w:pPr>
        <w:spacing w:line="600" w:lineRule="exact"/>
        <w:ind w:firstLine="560" w:firstLineChars="200"/>
        <w:rPr>
          <w:rFonts w:ascii="仿宋_GB2312" w:eastAsia="仿宋_GB2312" w:cs="Times New Roman" w:hAnsiTheme="minorEastAsia"/>
          <w:color w:val="000000" w:themeColor="text1"/>
          <w:kern w:val="0"/>
          <w:sz w:val="28"/>
          <w:szCs w:val="28"/>
          <w:highlight w:val="none"/>
          <w14:textFill>
            <w14:solidFill>
              <w14:schemeClr w14:val="tx1"/>
            </w14:solidFill>
          </w14:textFill>
        </w:rPr>
      </w:pPr>
      <w:r>
        <w:rPr>
          <w:rFonts w:ascii="仿宋_GB2312" w:eastAsia="仿宋_GB2312" w:cs="Times New Roman" w:hAnsiTheme="minorEastAsia"/>
          <w:color w:val="000000" w:themeColor="text1"/>
          <w:kern w:val="0"/>
          <w:sz w:val="28"/>
          <w:szCs w:val="28"/>
          <w:highlight w:val="none"/>
          <w14:textFill>
            <w14:solidFill>
              <w14:schemeClr w14:val="tx1"/>
            </w14:solidFill>
          </w14:textFill>
        </w:rPr>
        <w:t>（三）现金选择权申报期限；</w:t>
      </w:r>
    </w:p>
    <w:p w14:paraId="6118695D">
      <w:pPr>
        <w:spacing w:line="600" w:lineRule="exact"/>
        <w:ind w:firstLine="560" w:firstLineChars="200"/>
        <w:rPr>
          <w:rFonts w:ascii="仿宋_GB2312" w:eastAsia="仿宋_GB2312" w:cs="Times New Roman" w:hAnsiTheme="minorEastAsia"/>
          <w:color w:val="000000" w:themeColor="text1"/>
          <w:kern w:val="0"/>
          <w:sz w:val="28"/>
          <w:szCs w:val="28"/>
          <w:highlight w:val="none"/>
          <w14:textFill>
            <w14:solidFill>
              <w14:schemeClr w14:val="tx1"/>
            </w14:solidFill>
          </w14:textFill>
        </w:rPr>
      </w:pPr>
      <w:r>
        <w:rPr>
          <w:rFonts w:ascii="仿宋_GB2312" w:eastAsia="仿宋_GB2312" w:cs="Times New Roman" w:hAnsiTheme="minorEastAsia"/>
          <w:color w:val="000000" w:themeColor="text1"/>
          <w:kern w:val="0"/>
          <w:sz w:val="28"/>
          <w:szCs w:val="28"/>
          <w:highlight w:val="none"/>
          <w14:textFill>
            <w14:solidFill>
              <w14:schemeClr w14:val="tx1"/>
            </w14:solidFill>
          </w14:textFill>
        </w:rPr>
        <w:t>（四）现金选择权具体申报要求；</w:t>
      </w:r>
    </w:p>
    <w:p w14:paraId="2575E0C5">
      <w:pPr>
        <w:spacing w:line="600" w:lineRule="exact"/>
        <w:ind w:firstLine="560" w:firstLineChars="200"/>
        <w:rPr>
          <w:rFonts w:ascii="仿宋_GB2312" w:eastAsia="仿宋_GB2312" w:cs="Times New Roman" w:hAnsiTheme="minorEastAsia"/>
          <w:color w:val="000000" w:themeColor="text1"/>
          <w:kern w:val="0"/>
          <w:sz w:val="28"/>
          <w:szCs w:val="28"/>
          <w:highlight w:val="none"/>
          <w14:textFill>
            <w14:solidFill>
              <w14:schemeClr w14:val="tx1"/>
            </w14:solidFill>
          </w14:textFill>
        </w:rPr>
      </w:pPr>
      <w:r>
        <w:rPr>
          <w:rFonts w:ascii="仿宋_GB2312" w:eastAsia="仿宋_GB2312" w:cs="Times New Roman" w:hAnsiTheme="minorEastAsia"/>
          <w:color w:val="000000" w:themeColor="text1"/>
          <w:kern w:val="0"/>
          <w:sz w:val="28"/>
          <w:szCs w:val="28"/>
          <w:highlight w:val="none"/>
          <w14:textFill>
            <w14:solidFill>
              <w14:schemeClr w14:val="tx1"/>
            </w14:solidFill>
          </w14:textFill>
        </w:rPr>
        <w:t>（五）公司股票及其衍生品种停复牌安排；</w:t>
      </w:r>
    </w:p>
    <w:p w14:paraId="2B11AE92">
      <w:pPr>
        <w:spacing w:line="600" w:lineRule="exact"/>
        <w:ind w:firstLine="560" w:firstLineChars="200"/>
        <w:rPr>
          <w:rFonts w:ascii="仿宋_GB2312" w:eastAsia="仿宋_GB2312" w:cs="Times New Roman" w:hAnsiTheme="minorEastAsia"/>
          <w:color w:val="000000" w:themeColor="text1"/>
          <w:kern w:val="0"/>
          <w:sz w:val="28"/>
          <w:szCs w:val="28"/>
          <w:highlight w:val="none"/>
          <w14:textFill>
            <w14:solidFill>
              <w14:schemeClr w14:val="tx1"/>
            </w14:solidFill>
          </w14:textFill>
        </w:rPr>
      </w:pPr>
      <w:r>
        <w:rPr>
          <w:rFonts w:ascii="仿宋_GB2312" w:eastAsia="仿宋_GB2312" w:cs="Times New Roman" w:hAnsiTheme="minorEastAsia"/>
          <w:color w:val="000000" w:themeColor="text1"/>
          <w:kern w:val="0"/>
          <w:sz w:val="28"/>
          <w:szCs w:val="28"/>
          <w:highlight w:val="none"/>
          <w14:textFill>
            <w14:solidFill>
              <w14:schemeClr w14:val="tx1"/>
            </w14:solidFill>
          </w14:textFill>
        </w:rPr>
        <w:t>（六）本所要求的其</w:t>
      </w:r>
      <w:r>
        <w:rPr>
          <w:rFonts w:hint="eastAsia" w:ascii="仿宋_GB2312" w:eastAsia="仿宋_GB2312" w:cs="Times New Roman" w:hAnsiTheme="minorEastAsia"/>
          <w:color w:val="000000" w:themeColor="text1"/>
          <w:kern w:val="0"/>
          <w:sz w:val="28"/>
          <w:szCs w:val="28"/>
          <w:highlight w:val="none"/>
          <w14:textFill>
            <w14:solidFill>
              <w14:schemeClr w14:val="tx1"/>
            </w14:solidFill>
          </w14:textFill>
        </w:rPr>
        <w:t>他</w:t>
      </w:r>
      <w:r>
        <w:rPr>
          <w:rFonts w:ascii="仿宋_GB2312" w:eastAsia="仿宋_GB2312" w:cs="Times New Roman" w:hAnsiTheme="minorEastAsia"/>
          <w:color w:val="000000" w:themeColor="text1"/>
          <w:kern w:val="0"/>
          <w:sz w:val="28"/>
          <w:szCs w:val="28"/>
          <w:highlight w:val="none"/>
          <w14:textFill>
            <w14:solidFill>
              <w14:schemeClr w14:val="tx1"/>
            </w14:solidFill>
          </w14:textFill>
        </w:rPr>
        <w:t>内容。</w:t>
      </w:r>
    </w:p>
    <w:p w14:paraId="1C850E9B">
      <w:pPr>
        <w:spacing w:line="600" w:lineRule="exact"/>
        <w:ind w:firstLine="560" w:firstLineChars="200"/>
        <w:rPr>
          <w:rFonts w:ascii="仿宋_GB2312" w:eastAsia="仿宋_GB2312" w:cs="Times New Roman" w:hAnsiTheme="minorEastAsia"/>
          <w:color w:val="000000" w:themeColor="text1"/>
          <w:kern w:val="0"/>
          <w:sz w:val="28"/>
          <w:szCs w:val="28"/>
          <w:highlight w:val="none"/>
          <w14:textFill>
            <w14:solidFill>
              <w14:schemeClr w14:val="tx1"/>
            </w14:solidFill>
          </w14:textFill>
        </w:rPr>
      </w:pPr>
      <w:r>
        <w:rPr>
          <w:rFonts w:ascii="仿宋_GB2312" w:eastAsia="仿宋_GB2312" w:cs="Times New Roman" w:hAnsiTheme="minorEastAsia"/>
          <w:color w:val="000000" w:themeColor="text1"/>
          <w:kern w:val="0"/>
          <w:sz w:val="28"/>
          <w:szCs w:val="28"/>
          <w:highlight w:val="none"/>
          <w14:textFill>
            <w14:solidFill>
              <w14:schemeClr w14:val="tx1"/>
            </w14:solidFill>
          </w14:textFill>
        </w:rPr>
        <w:t>上市公司股权登记日为开始申报日的前一交易日，</w:t>
      </w:r>
      <w:r>
        <w:rPr>
          <w:rFonts w:hint="eastAsia" w:ascii="仿宋_GB2312" w:eastAsia="仿宋_GB2312" w:cs="Times New Roman" w:hAnsiTheme="minorEastAsia"/>
          <w:color w:val="000000" w:themeColor="text1"/>
          <w:kern w:val="0"/>
          <w:sz w:val="28"/>
          <w:szCs w:val="28"/>
          <w:highlight w:val="none"/>
          <w:lang w:eastAsia="zh-CN"/>
          <w14:textFill>
            <w14:solidFill>
              <w14:schemeClr w14:val="tx1"/>
            </w14:solidFill>
          </w14:textFill>
        </w:rPr>
        <w:t>现金选择权实施</w:t>
      </w:r>
      <w:r>
        <w:rPr>
          <w:rFonts w:ascii="仿宋_GB2312" w:eastAsia="仿宋_GB2312" w:cs="Times New Roman" w:hAnsiTheme="minorEastAsia"/>
          <w:color w:val="000000" w:themeColor="text1"/>
          <w:kern w:val="0"/>
          <w:sz w:val="28"/>
          <w:szCs w:val="28"/>
          <w:highlight w:val="none"/>
          <w14:textFill>
            <w14:solidFill>
              <w14:schemeClr w14:val="tx1"/>
            </w14:solidFill>
          </w14:textFill>
        </w:rPr>
        <w:t>期间公司股票及其衍生品种停牌。</w:t>
      </w:r>
    </w:p>
    <w:p w14:paraId="7964E11C">
      <w:pPr>
        <w:spacing w:line="600" w:lineRule="exact"/>
        <w:ind w:firstLine="560" w:firstLineChars="200"/>
        <w:rPr>
          <w:rFonts w:ascii="仿宋_GB2312" w:eastAsia="仿宋_GB2312" w:cs="Times New Roman" w:hAnsiTheme="minorEastAsia"/>
          <w:color w:val="000000" w:themeColor="text1"/>
          <w:kern w:val="0"/>
          <w:sz w:val="28"/>
          <w:szCs w:val="28"/>
          <w:highlight w:val="none"/>
          <w14:textFill>
            <w14:solidFill>
              <w14:schemeClr w14:val="tx1"/>
            </w14:solidFill>
          </w14:textFill>
        </w:rPr>
      </w:pPr>
      <w:r>
        <w:rPr>
          <w:rFonts w:hint="eastAsia" w:ascii="仿宋_GB2312" w:eastAsia="仿宋_GB2312" w:cs="Times New Roman" w:hAnsiTheme="minorEastAsia"/>
          <w:bCs/>
          <w:color w:val="000000" w:themeColor="text1"/>
          <w:kern w:val="0"/>
          <w:sz w:val="28"/>
          <w:szCs w:val="28"/>
          <w:highlight w:val="none"/>
          <w:lang w:val="en-US" w:eastAsia="zh-CN"/>
          <w14:textFill>
            <w14:solidFill>
              <w14:schemeClr w14:val="tx1"/>
            </w14:solidFill>
          </w14:textFill>
        </w:rPr>
        <w:t>4</w:t>
      </w:r>
      <w:r>
        <w:rPr>
          <w:rFonts w:hint="eastAsia" w:ascii="仿宋_GB2312" w:eastAsia="仿宋_GB2312" w:cs="Times New Roman" w:hAnsiTheme="minorEastAsia"/>
          <w:bCs/>
          <w:color w:val="000000" w:themeColor="text1"/>
          <w:kern w:val="0"/>
          <w:sz w:val="28"/>
          <w:szCs w:val="28"/>
          <w:highlight w:val="none"/>
          <w14:textFill>
            <w14:solidFill>
              <w14:schemeClr w14:val="tx1"/>
            </w14:solidFill>
          </w14:textFill>
        </w:rPr>
        <w:t>.</w:t>
      </w:r>
      <w:r>
        <w:rPr>
          <w:rFonts w:ascii="仿宋_GB2312" w:eastAsia="仿宋_GB2312" w:cs="Times New Roman" w:hAnsiTheme="minorEastAsia"/>
          <w:color w:val="000000" w:themeColor="text1"/>
          <w:kern w:val="0"/>
          <w:sz w:val="28"/>
          <w:szCs w:val="28"/>
          <w:highlight w:val="none"/>
          <w14:textFill>
            <w14:solidFill>
              <w14:schemeClr w14:val="tx1"/>
            </w14:solidFill>
          </w14:textFill>
        </w:rPr>
        <w:t>若现金选择权申报结果不会影响上市公司的上市地位，本次吸收合并、要约收购或分立事项中存续的上市公司</w:t>
      </w:r>
      <w:r>
        <w:rPr>
          <w:rFonts w:hint="eastAsia" w:ascii="仿宋_GB2312" w:eastAsia="仿宋_GB2312" w:cs="Times New Roman" w:hAnsiTheme="minorEastAsia"/>
          <w:color w:val="000000" w:themeColor="text1"/>
          <w:kern w:val="0"/>
          <w:sz w:val="28"/>
          <w:szCs w:val="28"/>
          <w:highlight w:val="none"/>
          <w:lang w:eastAsia="zh-CN"/>
          <w14:textFill>
            <w14:solidFill>
              <w14:schemeClr w14:val="tx1"/>
            </w14:solidFill>
          </w14:textFill>
        </w:rPr>
        <w:t>应当</w:t>
      </w:r>
      <w:r>
        <w:rPr>
          <w:rFonts w:ascii="仿宋_GB2312" w:eastAsia="仿宋_GB2312" w:cs="Times New Roman" w:hAnsiTheme="minorEastAsia"/>
          <w:color w:val="000000" w:themeColor="text1"/>
          <w:kern w:val="0"/>
          <w:sz w:val="28"/>
          <w:szCs w:val="28"/>
          <w:highlight w:val="none"/>
          <w14:textFill>
            <w14:solidFill>
              <w14:schemeClr w14:val="tx1"/>
            </w14:solidFill>
          </w14:textFill>
        </w:rPr>
        <w:t>申请其股票及其衍生品种于</w:t>
      </w:r>
      <w:r>
        <w:rPr>
          <w:rFonts w:hint="eastAsia" w:ascii="仿宋_GB2312" w:eastAsia="仿宋_GB2312" w:cs="Times New Roman" w:hAnsiTheme="minorEastAsia"/>
          <w:color w:val="000000" w:themeColor="text1"/>
          <w:kern w:val="0"/>
          <w:sz w:val="28"/>
          <w:szCs w:val="28"/>
          <w:highlight w:val="none"/>
          <w14:textFill>
            <w14:solidFill>
              <w14:schemeClr w14:val="tx1"/>
            </w14:solidFill>
          </w14:textFill>
        </w:rPr>
        <w:t>披露</w:t>
      </w:r>
      <w:r>
        <w:rPr>
          <w:rFonts w:ascii="仿宋_GB2312" w:eastAsia="仿宋_GB2312" w:cs="Times New Roman" w:hAnsiTheme="minorEastAsia"/>
          <w:color w:val="000000" w:themeColor="text1"/>
          <w:kern w:val="0"/>
          <w:sz w:val="28"/>
          <w:szCs w:val="28"/>
          <w:highlight w:val="none"/>
          <w14:textFill>
            <w14:solidFill>
              <w14:schemeClr w14:val="tx1"/>
            </w14:solidFill>
          </w14:textFill>
        </w:rPr>
        <w:t>“现金选择权申报结果公告”的当日（需在交易日</w:t>
      </w:r>
      <w:r>
        <w:rPr>
          <w:rFonts w:hint="eastAsia" w:ascii="仿宋_GB2312" w:eastAsia="仿宋_GB2312" w:cs="Times New Roman" w:hAnsiTheme="minorEastAsia"/>
          <w:color w:val="000000" w:themeColor="text1"/>
          <w:kern w:val="0"/>
          <w:sz w:val="28"/>
          <w:szCs w:val="28"/>
          <w:highlight w:val="none"/>
          <w14:textFill>
            <w14:solidFill>
              <w14:schemeClr w14:val="tx1"/>
            </w14:solidFill>
          </w14:textFill>
        </w:rPr>
        <w:t>披露</w:t>
      </w:r>
      <w:r>
        <w:rPr>
          <w:rFonts w:ascii="仿宋_GB2312" w:eastAsia="仿宋_GB2312" w:cs="Times New Roman" w:hAnsiTheme="minorEastAsia"/>
          <w:color w:val="000000" w:themeColor="text1"/>
          <w:kern w:val="0"/>
          <w:sz w:val="28"/>
          <w:szCs w:val="28"/>
          <w:highlight w:val="none"/>
          <w14:textFill>
            <w14:solidFill>
              <w14:schemeClr w14:val="tx1"/>
            </w14:solidFill>
          </w14:textFill>
        </w:rPr>
        <w:t>）复牌交易。</w:t>
      </w:r>
    </w:p>
    <w:p w14:paraId="04101ECF">
      <w:pPr>
        <w:spacing w:line="600" w:lineRule="exact"/>
        <w:ind w:firstLine="560" w:firstLineChars="200"/>
        <w:rPr>
          <w:rFonts w:ascii="仿宋_GB2312" w:eastAsia="仿宋_GB2312" w:cs="Times New Roman" w:hAnsiTheme="minorEastAsia"/>
          <w:color w:val="000000" w:themeColor="text1"/>
          <w:kern w:val="0"/>
          <w:sz w:val="28"/>
          <w:szCs w:val="28"/>
          <w:highlight w:val="none"/>
          <w14:textFill>
            <w14:solidFill>
              <w14:schemeClr w14:val="tx1"/>
            </w14:solidFill>
          </w14:textFill>
        </w:rPr>
      </w:pPr>
      <w:r>
        <w:rPr>
          <w:rFonts w:ascii="仿宋_GB2312" w:eastAsia="仿宋_GB2312" w:cs="Times New Roman" w:hAnsiTheme="minorEastAsia"/>
          <w:color w:val="000000" w:themeColor="text1"/>
          <w:kern w:val="0"/>
          <w:sz w:val="28"/>
          <w:szCs w:val="28"/>
          <w:highlight w:val="none"/>
          <w14:textFill>
            <w14:solidFill>
              <w14:schemeClr w14:val="tx1"/>
            </w14:solidFill>
          </w14:textFill>
        </w:rPr>
        <w:t>本次吸收合并、要约收购或分立事项中，符合本所《股票上市规则》终止上市情形的上市公司，应当于现金选择权申报截止日的次一交易日向本所提交终止上市申请。公司股票及其衍生品种继续停牌，直至本所</w:t>
      </w:r>
      <w:r>
        <w:rPr>
          <w:rFonts w:hint="eastAsia" w:ascii="仿宋_GB2312" w:eastAsia="仿宋_GB2312" w:cs="Times New Roman" w:hAnsiTheme="minorEastAsia"/>
          <w:color w:val="000000" w:themeColor="text1"/>
          <w:kern w:val="0"/>
          <w:sz w:val="28"/>
          <w:szCs w:val="28"/>
          <w:highlight w:val="none"/>
          <w14:textFill>
            <w14:solidFill>
              <w14:schemeClr w14:val="tx1"/>
            </w14:solidFill>
          </w14:textFill>
        </w:rPr>
        <w:t>决定</w:t>
      </w:r>
      <w:r>
        <w:rPr>
          <w:rFonts w:ascii="仿宋_GB2312" w:eastAsia="仿宋_GB2312" w:cs="Times New Roman" w:hAnsiTheme="minorEastAsia"/>
          <w:color w:val="000000" w:themeColor="text1"/>
          <w:kern w:val="0"/>
          <w:sz w:val="28"/>
          <w:szCs w:val="28"/>
          <w:highlight w:val="none"/>
          <w14:textFill>
            <w14:solidFill>
              <w14:schemeClr w14:val="tx1"/>
            </w14:solidFill>
          </w14:textFill>
        </w:rPr>
        <w:t>公司</w:t>
      </w:r>
      <w:r>
        <w:rPr>
          <w:rFonts w:hint="eastAsia" w:ascii="仿宋_GB2312" w:eastAsia="仿宋_GB2312" w:cs="Times New Roman" w:hAnsiTheme="minorEastAsia"/>
          <w:color w:val="000000" w:themeColor="text1"/>
          <w:kern w:val="0"/>
          <w:sz w:val="28"/>
          <w:szCs w:val="28"/>
          <w:highlight w:val="none"/>
          <w14:textFill>
            <w14:solidFill>
              <w14:schemeClr w14:val="tx1"/>
            </w14:solidFill>
          </w14:textFill>
        </w:rPr>
        <w:t>股票</w:t>
      </w:r>
      <w:r>
        <w:rPr>
          <w:rFonts w:ascii="仿宋_GB2312" w:eastAsia="仿宋_GB2312" w:cs="Times New Roman" w:hAnsiTheme="minorEastAsia"/>
          <w:color w:val="000000" w:themeColor="text1"/>
          <w:kern w:val="0"/>
          <w:sz w:val="28"/>
          <w:szCs w:val="28"/>
          <w:highlight w:val="none"/>
          <w14:textFill>
            <w14:solidFill>
              <w14:schemeClr w14:val="tx1"/>
            </w14:solidFill>
          </w14:textFill>
        </w:rPr>
        <w:t>终止上市。</w:t>
      </w:r>
    </w:p>
    <w:p w14:paraId="5DD014D8">
      <w:pPr>
        <w:spacing w:line="600" w:lineRule="exact"/>
        <w:ind w:firstLine="560" w:firstLineChars="200"/>
        <w:rPr>
          <w:rFonts w:ascii="仿宋_GB2312" w:eastAsia="仿宋_GB2312" w:cs="Times New Roman" w:hAnsiTheme="minorEastAsia"/>
          <w:color w:val="000000" w:themeColor="text1"/>
          <w:kern w:val="0"/>
          <w:sz w:val="28"/>
          <w:szCs w:val="28"/>
          <w:highlight w:val="none"/>
          <w14:textFill>
            <w14:solidFill>
              <w14:schemeClr w14:val="tx1"/>
            </w14:solidFill>
          </w14:textFill>
        </w:rPr>
      </w:pPr>
      <w:r>
        <w:rPr>
          <w:rFonts w:hint="eastAsia" w:ascii="仿宋_GB2312" w:eastAsia="仿宋_GB2312" w:cs="Times New Roman" w:hAnsiTheme="minorEastAsia"/>
          <w:bCs/>
          <w:color w:val="000000" w:themeColor="text1"/>
          <w:kern w:val="0"/>
          <w:sz w:val="28"/>
          <w:szCs w:val="28"/>
          <w:highlight w:val="none"/>
          <w:lang w:val="en-US" w:eastAsia="zh-CN"/>
          <w14:textFill>
            <w14:solidFill>
              <w14:schemeClr w14:val="tx1"/>
            </w14:solidFill>
          </w14:textFill>
        </w:rPr>
        <w:t>5</w:t>
      </w:r>
      <w:r>
        <w:rPr>
          <w:rFonts w:ascii="仿宋_GB2312" w:eastAsia="仿宋_GB2312" w:cs="Times New Roman" w:hAnsiTheme="minorEastAsia"/>
          <w:color w:val="000000" w:themeColor="text1"/>
          <w:kern w:val="0"/>
          <w:sz w:val="28"/>
          <w:szCs w:val="28"/>
          <w:highlight w:val="none"/>
          <w14:textFill>
            <w14:solidFill>
              <w14:schemeClr w14:val="tx1"/>
            </w14:solidFill>
          </w14:textFill>
        </w:rPr>
        <w:t>.通过本所交易系统申报现金选择权，按以下程序办理股份申报、股份确认及相关过户事宜：</w:t>
      </w:r>
    </w:p>
    <w:p w14:paraId="4CDD4C69">
      <w:pPr>
        <w:spacing w:line="600" w:lineRule="exact"/>
        <w:ind w:firstLine="560" w:firstLineChars="200"/>
        <w:rPr>
          <w:rFonts w:ascii="仿宋_GB2312" w:eastAsia="仿宋_GB2312" w:cs="Times New Roman" w:hAnsiTheme="minorEastAsia"/>
          <w:color w:val="000000" w:themeColor="text1"/>
          <w:kern w:val="0"/>
          <w:sz w:val="28"/>
          <w:szCs w:val="28"/>
          <w:highlight w:val="none"/>
          <w14:textFill>
            <w14:solidFill>
              <w14:schemeClr w14:val="tx1"/>
            </w14:solidFill>
          </w14:textFill>
        </w:rPr>
      </w:pPr>
      <w:r>
        <w:rPr>
          <w:rFonts w:ascii="仿宋_GB2312" w:eastAsia="仿宋_GB2312" w:cs="Times New Roman" w:hAnsiTheme="minorEastAsia"/>
          <w:color w:val="000000" w:themeColor="text1"/>
          <w:kern w:val="0"/>
          <w:sz w:val="28"/>
          <w:szCs w:val="28"/>
          <w:highlight w:val="none"/>
          <w14:textFill>
            <w14:solidFill>
              <w14:schemeClr w14:val="tx1"/>
            </w14:solidFill>
          </w14:textFill>
        </w:rPr>
        <w:t>（一）申报有效期内，投资者可以对当天的申报进行撤单，次日开始不得撤销前日已生效的申报。申报生效后，相关股份将由</w:t>
      </w:r>
      <w:r>
        <w:rPr>
          <w:rFonts w:hint="eastAsia" w:ascii="仿宋_GB2312" w:eastAsia="仿宋_GB2312" w:cs="Times New Roman" w:hAnsiTheme="minorEastAsia"/>
          <w:color w:val="000000" w:themeColor="text1"/>
          <w:kern w:val="0"/>
          <w:sz w:val="28"/>
          <w:szCs w:val="28"/>
          <w:highlight w:val="none"/>
          <w14:textFill>
            <w14:solidFill>
              <w14:schemeClr w14:val="tx1"/>
            </w14:solidFill>
          </w14:textFill>
        </w:rPr>
        <w:t>中国结算</w:t>
      </w:r>
      <w:r>
        <w:rPr>
          <w:rFonts w:ascii="仿宋_GB2312" w:eastAsia="仿宋_GB2312" w:cs="Times New Roman" w:hAnsiTheme="minorEastAsia"/>
          <w:color w:val="000000" w:themeColor="text1"/>
          <w:kern w:val="0"/>
          <w:sz w:val="28"/>
          <w:szCs w:val="28"/>
          <w:highlight w:val="none"/>
          <w14:textFill>
            <w14:solidFill>
              <w14:schemeClr w14:val="tx1"/>
            </w14:solidFill>
          </w14:textFill>
        </w:rPr>
        <w:t>予以临时保管。股份在临时保管期间，投资者不得再行转让该部分股份。</w:t>
      </w:r>
    </w:p>
    <w:p w14:paraId="324D1DE0">
      <w:pPr>
        <w:spacing w:line="600" w:lineRule="exact"/>
        <w:ind w:firstLine="560" w:firstLineChars="200"/>
        <w:rPr>
          <w:rFonts w:ascii="仿宋_GB2312" w:eastAsia="仿宋_GB2312" w:cs="Times New Roman" w:hAnsiTheme="minorEastAsia"/>
          <w:color w:val="000000" w:themeColor="text1"/>
          <w:kern w:val="0"/>
          <w:sz w:val="28"/>
          <w:szCs w:val="28"/>
          <w:highlight w:val="none"/>
          <w14:textFill>
            <w14:solidFill>
              <w14:schemeClr w14:val="tx1"/>
            </w14:solidFill>
          </w14:textFill>
        </w:rPr>
      </w:pPr>
      <w:r>
        <w:rPr>
          <w:rFonts w:ascii="仿宋_GB2312" w:eastAsia="仿宋_GB2312" w:cs="Times New Roman" w:hAnsiTheme="minorEastAsia"/>
          <w:color w:val="000000" w:themeColor="text1"/>
          <w:kern w:val="0"/>
          <w:sz w:val="28"/>
          <w:szCs w:val="28"/>
          <w:highlight w:val="none"/>
          <w14:textFill>
            <w14:solidFill>
              <w14:schemeClr w14:val="tx1"/>
            </w14:solidFill>
          </w14:textFill>
        </w:rPr>
        <w:t>现金选择权申报</w:t>
      </w:r>
      <w:r>
        <w:rPr>
          <w:rFonts w:hint="eastAsia" w:ascii="仿宋_GB2312" w:eastAsia="仿宋_GB2312" w:cs="Times New Roman" w:hAnsiTheme="minorEastAsia"/>
          <w:color w:val="000000" w:themeColor="text1"/>
          <w:kern w:val="0"/>
          <w:sz w:val="28"/>
          <w:szCs w:val="28"/>
          <w:highlight w:val="none"/>
          <w14:textFill>
            <w14:solidFill>
              <w14:schemeClr w14:val="tx1"/>
            </w14:solidFill>
          </w14:textFill>
        </w:rPr>
        <w:t>编号经上市公司申请，</w:t>
      </w:r>
      <w:r>
        <w:rPr>
          <w:rFonts w:ascii="仿宋_GB2312" w:eastAsia="仿宋_GB2312" w:cs="Times New Roman" w:hAnsiTheme="minorEastAsia"/>
          <w:color w:val="000000" w:themeColor="text1"/>
          <w:kern w:val="0"/>
          <w:sz w:val="28"/>
          <w:szCs w:val="28"/>
          <w:highlight w:val="none"/>
          <w14:textFill>
            <w14:solidFill>
              <w14:schemeClr w14:val="tx1"/>
            </w14:solidFill>
          </w14:textFill>
        </w:rPr>
        <w:t>由本所提供给上市公司。投资者选择卖出为接受现金选择权，现金选择权价格和申报股份数量由投资者填写，申报股份数量的上限为该股东账户中持有的未被冻结、质押的股份数量，超过部分申报无效。</w:t>
      </w:r>
    </w:p>
    <w:p w14:paraId="56BB9DE6">
      <w:pPr>
        <w:spacing w:line="600" w:lineRule="exact"/>
        <w:ind w:firstLine="560" w:firstLineChars="200"/>
        <w:rPr>
          <w:rFonts w:ascii="仿宋_GB2312" w:eastAsia="仿宋_GB2312" w:cs="Times New Roman" w:hAnsiTheme="minorEastAsia"/>
          <w:color w:val="000000" w:themeColor="text1"/>
          <w:kern w:val="0"/>
          <w:sz w:val="28"/>
          <w:szCs w:val="28"/>
          <w:highlight w:val="none"/>
          <w14:textFill>
            <w14:solidFill>
              <w14:schemeClr w14:val="tx1"/>
            </w14:solidFill>
          </w14:textFill>
        </w:rPr>
      </w:pPr>
      <w:r>
        <w:rPr>
          <w:rFonts w:hint="eastAsia" w:ascii="仿宋_GB2312" w:eastAsia="仿宋_GB2312" w:cs="Times New Roman" w:hAnsiTheme="minorEastAsia"/>
          <w:color w:val="000000" w:themeColor="text1"/>
          <w:kern w:val="0"/>
          <w:sz w:val="28"/>
          <w:szCs w:val="28"/>
          <w:highlight w:val="none"/>
          <w14:textFill>
            <w14:solidFill>
              <w14:schemeClr w14:val="tx1"/>
            </w14:solidFill>
          </w14:textFill>
        </w:rPr>
        <w:t>涉及融资融券标的证券的，仅自本次现金选择权股权登记日起，普通证券账户内的股份可申报现金选择权。</w:t>
      </w:r>
    </w:p>
    <w:p w14:paraId="2CA6DE0E">
      <w:pPr>
        <w:spacing w:line="600" w:lineRule="exact"/>
        <w:ind w:firstLine="560" w:firstLineChars="200"/>
        <w:rPr>
          <w:rFonts w:ascii="仿宋_GB2312" w:eastAsia="仿宋_GB2312" w:cs="Times New Roman" w:hAnsiTheme="minorEastAsia"/>
          <w:color w:val="000000" w:themeColor="text1"/>
          <w:kern w:val="0"/>
          <w:sz w:val="28"/>
          <w:szCs w:val="28"/>
          <w:highlight w:val="none"/>
          <w14:textFill>
            <w14:solidFill>
              <w14:schemeClr w14:val="tx1"/>
            </w14:solidFill>
          </w14:textFill>
        </w:rPr>
      </w:pPr>
      <w:r>
        <w:rPr>
          <w:rFonts w:ascii="仿宋_GB2312" w:eastAsia="仿宋_GB2312" w:cs="Times New Roman" w:hAnsiTheme="minorEastAsia"/>
          <w:color w:val="000000" w:themeColor="text1"/>
          <w:kern w:val="0"/>
          <w:sz w:val="28"/>
          <w:szCs w:val="28"/>
          <w:highlight w:val="none"/>
          <w14:textFill>
            <w14:solidFill>
              <w14:schemeClr w14:val="tx1"/>
            </w14:solidFill>
          </w14:textFill>
        </w:rPr>
        <w:t>（二）现金选择权申报期满后，上市公司可以向</w:t>
      </w:r>
      <w:r>
        <w:rPr>
          <w:rFonts w:hint="eastAsia" w:ascii="仿宋_GB2312" w:eastAsia="仿宋_GB2312" w:cs="Times New Roman" w:hAnsiTheme="minorEastAsia"/>
          <w:color w:val="000000" w:themeColor="text1"/>
          <w:kern w:val="0"/>
          <w:sz w:val="28"/>
          <w:szCs w:val="28"/>
          <w:highlight w:val="none"/>
          <w14:textFill>
            <w14:solidFill>
              <w14:schemeClr w14:val="tx1"/>
            </w14:solidFill>
          </w14:textFill>
        </w:rPr>
        <w:t>中国结算</w:t>
      </w:r>
      <w:r>
        <w:rPr>
          <w:rFonts w:ascii="仿宋_GB2312" w:eastAsia="仿宋_GB2312" w:cs="Times New Roman" w:hAnsiTheme="minorEastAsia"/>
          <w:color w:val="000000" w:themeColor="text1"/>
          <w:kern w:val="0"/>
          <w:sz w:val="28"/>
          <w:szCs w:val="28"/>
          <w:highlight w:val="none"/>
          <w14:textFill>
            <w14:solidFill>
              <w14:schemeClr w14:val="tx1"/>
            </w14:solidFill>
          </w14:textFill>
        </w:rPr>
        <w:t>查询申报结果；上市公司</w:t>
      </w:r>
      <w:r>
        <w:rPr>
          <w:rFonts w:hint="eastAsia" w:ascii="仿宋_GB2312" w:eastAsia="仿宋_GB2312" w:cs="Times New Roman" w:hAnsiTheme="minorEastAsia"/>
          <w:color w:val="000000" w:themeColor="text1"/>
          <w:kern w:val="0"/>
          <w:sz w:val="28"/>
          <w:szCs w:val="28"/>
          <w:highlight w:val="none"/>
          <w14:textFill>
            <w14:solidFill>
              <w14:schemeClr w14:val="tx1"/>
            </w14:solidFill>
          </w14:textFill>
        </w:rPr>
        <w:t>披露</w:t>
      </w:r>
      <w:r>
        <w:rPr>
          <w:rFonts w:ascii="仿宋_GB2312" w:eastAsia="仿宋_GB2312" w:cs="Times New Roman" w:hAnsiTheme="minorEastAsia"/>
          <w:color w:val="000000" w:themeColor="text1"/>
          <w:kern w:val="0"/>
          <w:sz w:val="28"/>
          <w:szCs w:val="28"/>
          <w:highlight w:val="none"/>
          <w14:textFill>
            <w14:solidFill>
              <w14:schemeClr w14:val="tx1"/>
            </w14:solidFill>
          </w14:textFill>
        </w:rPr>
        <w:t>“现金选择权申报结果公告”。</w:t>
      </w:r>
    </w:p>
    <w:p w14:paraId="56933B7B">
      <w:pPr>
        <w:spacing w:line="600" w:lineRule="exact"/>
        <w:ind w:firstLine="560" w:firstLineChars="200"/>
        <w:rPr>
          <w:rFonts w:ascii="仿宋_GB2312" w:eastAsia="仿宋_GB2312" w:cs="Times New Roman" w:hAnsiTheme="minorEastAsia"/>
          <w:color w:val="000000" w:themeColor="text1"/>
          <w:kern w:val="0"/>
          <w:sz w:val="28"/>
          <w:szCs w:val="28"/>
          <w:highlight w:val="none"/>
          <w14:textFill>
            <w14:solidFill>
              <w14:schemeClr w14:val="tx1"/>
            </w14:solidFill>
          </w14:textFill>
        </w:rPr>
      </w:pPr>
      <w:r>
        <w:rPr>
          <w:rFonts w:ascii="仿宋_GB2312" w:eastAsia="仿宋_GB2312" w:cs="Times New Roman" w:hAnsiTheme="minorEastAsia"/>
          <w:color w:val="000000" w:themeColor="text1"/>
          <w:kern w:val="0"/>
          <w:sz w:val="28"/>
          <w:szCs w:val="28"/>
          <w:highlight w:val="none"/>
          <w14:textFill>
            <w14:solidFill>
              <w14:schemeClr w14:val="tx1"/>
            </w14:solidFill>
          </w14:textFill>
        </w:rPr>
        <w:t>（三）现金选择权提供方应当根据申报结果及时补足行权资金，完成本所确认手续后，可以向</w:t>
      </w:r>
      <w:r>
        <w:rPr>
          <w:rFonts w:hint="eastAsia" w:ascii="仿宋_GB2312" w:eastAsia="仿宋_GB2312" w:cs="Times New Roman" w:hAnsiTheme="minorEastAsia"/>
          <w:color w:val="000000" w:themeColor="text1"/>
          <w:kern w:val="0"/>
          <w:sz w:val="28"/>
          <w:szCs w:val="28"/>
          <w:highlight w:val="none"/>
          <w14:textFill>
            <w14:solidFill>
              <w14:schemeClr w14:val="tx1"/>
            </w14:solidFill>
          </w14:textFill>
        </w:rPr>
        <w:t>中国结算</w:t>
      </w:r>
      <w:r>
        <w:rPr>
          <w:rFonts w:ascii="仿宋_GB2312" w:eastAsia="仿宋_GB2312" w:cs="Times New Roman" w:hAnsiTheme="minorEastAsia"/>
          <w:color w:val="000000" w:themeColor="text1"/>
          <w:kern w:val="0"/>
          <w:sz w:val="28"/>
          <w:szCs w:val="28"/>
          <w:highlight w:val="none"/>
          <w14:textFill>
            <w14:solidFill>
              <w14:schemeClr w14:val="tx1"/>
            </w14:solidFill>
          </w14:textFill>
        </w:rPr>
        <w:t>申请办理相关股份的资金清算、过户、保证金解除冻结事宜。</w:t>
      </w:r>
    </w:p>
    <w:p w14:paraId="483324C5">
      <w:pPr>
        <w:spacing w:line="600" w:lineRule="exact"/>
        <w:ind w:firstLine="560" w:firstLineChars="200"/>
        <w:rPr>
          <w:rFonts w:ascii="仿宋_GB2312" w:eastAsia="仿宋_GB2312" w:cs="Times New Roman" w:hAnsiTheme="minorEastAsia"/>
          <w:color w:val="000000" w:themeColor="text1"/>
          <w:kern w:val="0"/>
          <w:sz w:val="28"/>
          <w:szCs w:val="28"/>
          <w:highlight w:val="none"/>
          <w14:textFill>
            <w14:solidFill>
              <w14:schemeClr w14:val="tx1"/>
            </w14:solidFill>
          </w14:textFill>
        </w:rPr>
      </w:pPr>
      <w:r>
        <w:rPr>
          <w:rFonts w:ascii="仿宋_GB2312" w:eastAsia="仿宋_GB2312" w:cs="Times New Roman" w:hAnsiTheme="minorEastAsia"/>
          <w:color w:val="000000" w:themeColor="text1"/>
          <w:kern w:val="0"/>
          <w:sz w:val="28"/>
          <w:szCs w:val="28"/>
          <w:highlight w:val="none"/>
          <w14:textFill>
            <w14:solidFill>
              <w14:schemeClr w14:val="tx1"/>
            </w14:solidFill>
          </w14:textFill>
        </w:rPr>
        <w:t>（四）现金选择权清算过户完成前，已申报行使现金选择权的投资者不得办理转指定交易手续。</w:t>
      </w:r>
    </w:p>
    <w:p w14:paraId="11393CE8">
      <w:pPr>
        <w:spacing w:line="600" w:lineRule="exact"/>
        <w:ind w:firstLine="560" w:firstLineChars="200"/>
        <w:rPr>
          <w:rFonts w:ascii="仿宋_GB2312" w:eastAsia="仿宋_GB2312" w:cs="Times New Roman" w:hAnsiTheme="minorEastAsia"/>
          <w:color w:val="000000" w:themeColor="text1"/>
          <w:kern w:val="0"/>
          <w:sz w:val="28"/>
          <w:szCs w:val="28"/>
          <w:highlight w:val="none"/>
          <w14:textFill>
            <w14:solidFill>
              <w14:schemeClr w14:val="tx1"/>
            </w14:solidFill>
          </w14:textFill>
        </w:rPr>
      </w:pPr>
      <w:r>
        <w:rPr>
          <w:rFonts w:hint="eastAsia" w:ascii="仿宋_GB2312" w:eastAsia="仿宋_GB2312" w:cs="Times New Roman" w:hAnsiTheme="minorEastAsia"/>
          <w:bCs/>
          <w:color w:val="000000" w:themeColor="text1"/>
          <w:kern w:val="0"/>
          <w:sz w:val="28"/>
          <w:szCs w:val="28"/>
          <w:highlight w:val="none"/>
          <w:lang w:val="en-US" w:eastAsia="zh-CN"/>
          <w14:textFill>
            <w14:solidFill>
              <w14:schemeClr w14:val="tx1"/>
            </w14:solidFill>
          </w14:textFill>
        </w:rPr>
        <w:t>6</w:t>
      </w:r>
      <w:r>
        <w:rPr>
          <w:rFonts w:hint="eastAsia" w:ascii="仿宋_GB2312" w:eastAsia="仿宋_GB2312" w:cs="Times New Roman" w:hAnsiTheme="minorEastAsia"/>
          <w:bCs/>
          <w:color w:val="000000" w:themeColor="text1"/>
          <w:kern w:val="0"/>
          <w:sz w:val="28"/>
          <w:szCs w:val="28"/>
          <w:highlight w:val="none"/>
          <w14:textFill>
            <w14:solidFill>
              <w14:schemeClr w14:val="tx1"/>
            </w14:solidFill>
          </w14:textFill>
        </w:rPr>
        <w:t>.</w:t>
      </w:r>
      <w:r>
        <w:rPr>
          <w:rFonts w:ascii="仿宋_GB2312" w:eastAsia="仿宋_GB2312" w:cs="Times New Roman" w:hAnsiTheme="minorEastAsia"/>
          <w:color w:val="000000" w:themeColor="text1"/>
          <w:kern w:val="0"/>
          <w:sz w:val="28"/>
          <w:szCs w:val="28"/>
          <w:highlight w:val="none"/>
          <w14:textFill>
            <w14:solidFill>
              <w14:schemeClr w14:val="tx1"/>
            </w14:solidFill>
          </w14:textFill>
        </w:rPr>
        <w:t>若现金选择权申报主体仅限于异议股东</w:t>
      </w:r>
      <w:r>
        <w:rPr>
          <w:rFonts w:hint="eastAsia" w:ascii="仿宋_GB2312" w:eastAsia="仿宋_GB2312" w:cs="Times New Roman" w:hAnsiTheme="minorEastAsia"/>
          <w:color w:val="000000" w:themeColor="text1"/>
          <w:kern w:val="0"/>
          <w:sz w:val="28"/>
          <w:szCs w:val="28"/>
          <w:highlight w:val="none"/>
          <w14:textFill>
            <w14:solidFill>
              <w14:schemeClr w14:val="tx1"/>
            </w14:solidFill>
          </w14:textFill>
        </w:rPr>
        <w:t>的，</w:t>
      </w:r>
      <w:r>
        <w:rPr>
          <w:rFonts w:ascii="仿宋_GB2312" w:eastAsia="仿宋_GB2312" w:cs="Times New Roman" w:hAnsiTheme="minorEastAsia"/>
          <w:color w:val="000000" w:themeColor="text1"/>
          <w:kern w:val="0"/>
          <w:sz w:val="28"/>
          <w:szCs w:val="28"/>
          <w:highlight w:val="none"/>
          <w14:textFill>
            <w14:solidFill>
              <w14:schemeClr w14:val="tx1"/>
            </w14:solidFill>
          </w14:textFill>
        </w:rPr>
        <w:t>在申报期满后，上市公司还需将申报结果和股东会投出有效反对票的异议股东截止股权登记日所持异议股份数量进行比对，剔除无效申报后，</w:t>
      </w:r>
      <w:r>
        <w:rPr>
          <w:rFonts w:hint="eastAsia" w:ascii="仿宋_GB2312" w:eastAsia="仿宋_GB2312" w:cs="Times New Roman" w:hAnsiTheme="minorEastAsia"/>
          <w:color w:val="000000" w:themeColor="text1"/>
          <w:kern w:val="0"/>
          <w:sz w:val="28"/>
          <w:szCs w:val="28"/>
          <w:highlight w:val="none"/>
          <w14:textFill>
            <w14:solidFill>
              <w14:schemeClr w14:val="tx1"/>
            </w14:solidFill>
          </w14:textFill>
        </w:rPr>
        <w:t>披露</w:t>
      </w:r>
      <w:r>
        <w:rPr>
          <w:rFonts w:ascii="仿宋_GB2312" w:eastAsia="仿宋_GB2312" w:cs="Times New Roman" w:hAnsiTheme="minorEastAsia"/>
          <w:color w:val="000000" w:themeColor="text1"/>
          <w:kern w:val="0"/>
          <w:sz w:val="28"/>
          <w:szCs w:val="28"/>
          <w:highlight w:val="none"/>
          <w14:textFill>
            <w14:solidFill>
              <w14:schemeClr w14:val="tx1"/>
            </w14:solidFill>
          </w14:textFill>
        </w:rPr>
        <w:t>“现金选择权申报结果公告”。</w:t>
      </w:r>
    </w:p>
    <w:p w14:paraId="295A9EE0">
      <w:pPr>
        <w:spacing w:line="600" w:lineRule="exact"/>
        <w:ind w:firstLine="560" w:firstLineChars="200"/>
        <w:rPr>
          <w:rFonts w:ascii="仿宋_GB2312" w:eastAsia="仿宋_GB2312" w:cs="Times New Roman" w:hAnsiTheme="minorEastAsia"/>
          <w:color w:val="000000" w:themeColor="text1"/>
          <w:kern w:val="0"/>
          <w:sz w:val="28"/>
          <w:szCs w:val="28"/>
          <w:highlight w:val="none"/>
          <w14:textFill>
            <w14:solidFill>
              <w14:schemeClr w14:val="tx1"/>
            </w14:solidFill>
          </w14:textFill>
        </w:rPr>
      </w:pPr>
      <w:r>
        <w:rPr>
          <w:rFonts w:ascii="仿宋_GB2312" w:eastAsia="仿宋_GB2312" w:cs="Times New Roman" w:hAnsiTheme="minorEastAsia"/>
          <w:color w:val="000000" w:themeColor="text1"/>
          <w:kern w:val="0"/>
          <w:sz w:val="28"/>
          <w:szCs w:val="28"/>
          <w:highlight w:val="none"/>
          <w14:textFill>
            <w14:solidFill>
              <w14:schemeClr w14:val="tx1"/>
            </w14:solidFill>
          </w14:textFill>
        </w:rPr>
        <w:t>经财务顾问盖章确认后，上市公司将书面过户申请和过户清单提交本所，本所</w:t>
      </w:r>
      <w:r>
        <w:rPr>
          <w:rFonts w:hint="eastAsia" w:ascii="仿宋_GB2312" w:eastAsia="仿宋_GB2312" w:cs="Times New Roman" w:hAnsiTheme="minorEastAsia"/>
          <w:color w:val="000000" w:themeColor="text1"/>
          <w:kern w:val="0"/>
          <w:sz w:val="28"/>
          <w:szCs w:val="28"/>
          <w:highlight w:val="none"/>
          <w14:textFill>
            <w14:solidFill>
              <w14:schemeClr w14:val="tx1"/>
            </w14:solidFill>
          </w14:textFill>
        </w:rPr>
        <w:t>确认</w:t>
      </w:r>
      <w:r>
        <w:rPr>
          <w:rFonts w:ascii="仿宋_GB2312" w:eastAsia="仿宋_GB2312" w:cs="Times New Roman" w:hAnsiTheme="minorEastAsia"/>
          <w:color w:val="000000" w:themeColor="text1"/>
          <w:kern w:val="0"/>
          <w:sz w:val="28"/>
          <w:szCs w:val="28"/>
          <w:highlight w:val="none"/>
          <w14:textFill>
            <w14:solidFill>
              <w14:schemeClr w14:val="tx1"/>
            </w14:solidFill>
          </w14:textFill>
        </w:rPr>
        <w:t>上述材料后，上市公司可以向</w:t>
      </w:r>
      <w:r>
        <w:rPr>
          <w:rFonts w:hint="eastAsia" w:ascii="仿宋_GB2312" w:eastAsia="仿宋_GB2312" w:cs="Times New Roman" w:hAnsiTheme="minorEastAsia"/>
          <w:color w:val="000000" w:themeColor="text1"/>
          <w:kern w:val="0"/>
          <w:sz w:val="28"/>
          <w:szCs w:val="28"/>
          <w:highlight w:val="none"/>
          <w14:textFill>
            <w14:solidFill>
              <w14:schemeClr w14:val="tx1"/>
            </w14:solidFill>
          </w14:textFill>
        </w:rPr>
        <w:t>中国结算</w:t>
      </w:r>
      <w:r>
        <w:rPr>
          <w:rFonts w:ascii="仿宋_GB2312" w:eastAsia="仿宋_GB2312" w:cs="Times New Roman" w:hAnsiTheme="minorEastAsia"/>
          <w:color w:val="000000" w:themeColor="text1"/>
          <w:kern w:val="0"/>
          <w:sz w:val="28"/>
          <w:szCs w:val="28"/>
          <w:highlight w:val="none"/>
          <w14:textFill>
            <w14:solidFill>
              <w14:schemeClr w14:val="tx1"/>
            </w14:solidFill>
          </w14:textFill>
        </w:rPr>
        <w:t>申请办理相关股份的资金清算、过户、保证金解除冻结等事宜。</w:t>
      </w:r>
    </w:p>
    <w:p w14:paraId="1122C514">
      <w:pPr>
        <w:spacing w:line="600" w:lineRule="exact"/>
        <w:ind w:firstLine="560" w:firstLineChars="200"/>
        <w:rPr>
          <w:rFonts w:ascii="仿宋_GB2312" w:eastAsia="仿宋_GB2312" w:cs="Times New Roman" w:hAnsiTheme="minorEastAsia"/>
          <w:color w:val="000000" w:themeColor="text1"/>
          <w:kern w:val="0"/>
          <w:sz w:val="28"/>
          <w:szCs w:val="28"/>
          <w:highlight w:val="none"/>
          <w14:textFill>
            <w14:solidFill>
              <w14:schemeClr w14:val="tx1"/>
            </w14:solidFill>
          </w14:textFill>
        </w:rPr>
      </w:pPr>
      <w:r>
        <w:rPr>
          <w:rFonts w:ascii="仿宋_GB2312" w:eastAsia="仿宋_GB2312" w:cs="Times New Roman" w:hAnsiTheme="minorEastAsia"/>
          <w:color w:val="000000" w:themeColor="text1"/>
          <w:kern w:val="0"/>
          <w:sz w:val="28"/>
          <w:szCs w:val="28"/>
          <w:highlight w:val="none"/>
          <w14:textFill>
            <w14:solidFill>
              <w14:schemeClr w14:val="tx1"/>
            </w14:solidFill>
          </w14:textFill>
        </w:rPr>
        <w:t>投资者通过交易系统申报现金选择权，若误将非异议股份进行申报的，其临时保管将在现金选择权清算完毕后予以解除。</w:t>
      </w:r>
    </w:p>
    <w:p w14:paraId="781CD9E3">
      <w:pPr>
        <w:spacing w:line="600" w:lineRule="exact"/>
        <w:ind w:firstLine="560" w:firstLineChars="200"/>
        <w:rPr>
          <w:rFonts w:ascii="仿宋_GB2312" w:eastAsia="仿宋_GB2312" w:cs="Times New Roman" w:hAnsiTheme="minorEastAsia"/>
          <w:color w:val="000000" w:themeColor="text1"/>
          <w:kern w:val="0"/>
          <w:sz w:val="28"/>
          <w:szCs w:val="28"/>
          <w:highlight w:val="none"/>
          <w14:textFill>
            <w14:solidFill>
              <w14:schemeClr w14:val="tx1"/>
            </w14:solidFill>
          </w14:textFill>
        </w:rPr>
      </w:pPr>
      <w:r>
        <w:rPr>
          <w:rFonts w:hint="eastAsia" w:ascii="仿宋_GB2312" w:eastAsia="仿宋_GB2312" w:cs="Times New Roman" w:hAnsiTheme="minorEastAsia"/>
          <w:bCs/>
          <w:color w:val="000000" w:themeColor="text1"/>
          <w:kern w:val="0"/>
          <w:sz w:val="28"/>
          <w:szCs w:val="28"/>
          <w:highlight w:val="none"/>
          <w:lang w:val="en-US" w:eastAsia="zh-CN"/>
          <w14:textFill>
            <w14:solidFill>
              <w14:schemeClr w14:val="tx1"/>
            </w14:solidFill>
          </w14:textFill>
        </w:rPr>
        <w:t>7</w:t>
      </w:r>
      <w:r>
        <w:rPr>
          <w:rFonts w:hint="eastAsia" w:ascii="仿宋_GB2312" w:eastAsia="仿宋_GB2312" w:cs="Times New Roman" w:hAnsiTheme="minorEastAsia"/>
          <w:bCs/>
          <w:color w:val="000000" w:themeColor="text1"/>
          <w:kern w:val="0"/>
          <w:sz w:val="28"/>
          <w:szCs w:val="28"/>
          <w:highlight w:val="none"/>
          <w14:textFill>
            <w14:solidFill>
              <w14:schemeClr w14:val="tx1"/>
            </w14:solidFill>
          </w14:textFill>
        </w:rPr>
        <w:t>.</w:t>
      </w:r>
      <w:r>
        <w:rPr>
          <w:rFonts w:ascii="仿宋_GB2312" w:eastAsia="仿宋_GB2312" w:cs="Times New Roman" w:hAnsiTheme="minorEastAsia"/>
          <w:color w:val="000000" w:themeColor="text1"/>
          <w:kern w:val="0"/>
          <w:sz w:val="28"/>
          <w:szCs w:val="28"/>
          <w:highlight w:val="none"/>
          <w14:textFill>
            <w14:solidFill>
              <w14:schemeClr w14:val="tx1"/>
            </w14:solidFill>
          </w14:textFill>
        </w:rPr>
        <w:t>上市公司应当在现金选择权申报首日和截止日</w:t>
      </w:r>
      <w:r>
        <w:rPr>
          <w:rFonts w:hint="eastAsia" w:ascii="仿宋_GB2312" w:eastAsia="仿宋_GB2312" w:cs="Times New Roman" w:hAnsiTheme="minorEastAsia"/>
          <w:color w:val="000000" w:themeColor="text1"/>
          <w:kern w:val="0"/>
          <w:sz w:val="28"/>
          <w:szCs w:val="28"/>
          <w:highlight w:val="none"/>
          <w14:textFill>
            <w14:solidFill>
              <w14:schemeClr w14:val="tx1"/>
            </w14:solidFill>
          </w14:textFill>
        </w:rPr>
        <w:t>披露</w:t>
      </w:r>
      <w:r>
        <w:rPr>
          <w:rFonts w:ascii="仿宋_GB2312" w:eastAsia="仿宋_GB2312" w:cs="Times New Roman" w:hAnsiTheme="minorEastAsia"/>
          <w:color w:val="000000" w:themeColor="text1"/>
          <w:kern w:val="0"/>
          <w:sz w:val="28"/>
          <w:szCs w:val="28"/>
          <w:highlight w:val="none"/>
          <w14:textFill>
            <w14:solidFill>
              <w14:schemeClr w14:val="tx1"/>
            </w14:solidFill>
          </w14:textFill>
        </w:rPr>
        <w:t>行使现金选择权提示性公告。</w:t>
      </w:r>
    </w:p>
    <w:p w14:paraId="06684ADE">
      <w:pPr>
        <w:spacing w:line="600" w:lineRule="exact"/>
        <w:ind w:firstLine="560" w:firstLineChars="200"/>
        <w:rPr>
          <w:rFonts w:ascii="仿宋_GB2312" w:eastAsia="仿宋_GB2312" w:cs="Times New Roman" w:hAnsiTheme="minorEastAsia"/>
          <w:color w:val="000000" w:themeColor="text1"/>
          <w:kern w:val="0"/>
          <w:sz w:val="28"/>
          <w:szCs w:val="28"/>
          <w:highlight w:val="none"/>
          <w14:textFill>
            <w14:solidFill>
              <w14:schemeClr w14:val="tx1"/>
            </w14:solidFill>
          </w14:textFill>
        </w:rPr>
      </w:pPr>
      <w:r>
        <w:rPr>
          <w:rFonts w:ascii="仿宋_GB2312" w:eastAsia="仿宋_GB2312" w:cs="Times New Roman" w:hAnsiTheme="minorEastAsia"/>
          <w:color w:val="000000" w:themeColor="text1"/>
          <w:kern w:val="0"/>
          <w:sz w:val="28"/>
          <w:szCs w:val="28"/>
          <w:highlight w:val="none"/>
          <w14:textFill>
            <w14:solidFill>
              <w14:schemeClr w14:val="tx1"/>
            </w14:solidFill>
          </w14:textFill>
        </w:rPr>
        <w:t>上市公司现金选择权提示性公告应当包括以下内容：</w:t>
      </w:r>
    </w:p>
    <w:p w14:paraId="5E134D3A">
      <w:pPr>
        <w:spacing w:line="600" w:lineRule="exact"/>
        <w:ind w:firstLine="560" w:firstLineChars="200"/>
        <w:rPr>
          <w:rFonts w:ascii="仿宋_GB2312" w:eastAsia="仿宋_GB2312" w:cs="Times New Roman" w:hAnsiTheme="minorEastAsia"/>
          <w:color w:val="000000" w:themeColor="text1"/>
          <w:kern w:val="0"/>
          <w:sz w:val="28"/>
          <w:szCs w:val="28"/>
          <w:highlight w:val="none"/>
          <w14:textFill>
            <w14:solidFill>
              <w14:schemeClr w14:val="tx1"/>
            </w14:solidFill>
          </w14:textFill>
        </w:rPr>
      </w:pPr>
      <w:r>
        <w:rPr>
          <w:rFonts w:ascii="仿宋_GB2312" w:eastAsia="仿宋_GB2312" w:cs="Times New Roman" w:hAnsiTheme="minorEastAsia"/>
          <w:color w:val="000000" w:themeColor="text1"/>
          <w:kern w:val="0"/>
          <w:sz w:val="28"/>
          <w:szCs w:val="28"/>
          <w:highlight w:val="none"/>
          <w14:textFill>
            <w14:solidFill>
              <w14:schemeClr w14:val="tx1"/>
            </w14:solidFill>
          </w14:textFill>
        </w:rPr>
        <w:t>（一） 现金选择权申报起止日期；</w:t>
      </w:r>
    </w:p>
    <w:p w14:paraId="59FD00D1">
      <w:pPr>
        <w:spacing w:line="600" w:lineRule="exact"/>
        <w:ind w:firstLine="560" w:firstLineChars="200"/>
        <w:rPr>
          <w:rFonts w:ascii="仿宋_GB2312" w:eastAsia="仿宋_GB2312" w:cs="Times New Roman" w:hAnsiTheme="minorEastAsia"/>
          <w:color w:val="000000" w:themeColor="text1"/>
          <w:kern w:val="0"/>
          <w:sz w:val="28"/>
          <w:szCs w:val="28"/>
          <w:highlight w:val="none"/>
          <w14:textFill>
            <w14:solidFill>
              <w14:schemeClr w14:val="tx1"/>
            </w14:solidFill>
          </w14:textFill>
        </w:rPr>
      </w:pPr>
      <w:r>
        <w:rPr>
          <w:rFonts w:ascii="仿宋_GB2312" w:eastAsia="仿宋_GB2312" w:cs="Times New Roman" w:hAnsiTheme="minorEastAsia"/>
          <w:color w:val="000000" w:themeColor="text1"/>
          <w:kern w:val="0"/>
          <w:sz w:val="28"/>
          <w:szCs w:val="28"/>
          <w:highlight w:val="none"/>
          <w14:textFill>
            <w14:solidFill>
              <w14:schemeClr w14:val="tx1"/>
            </w14:solidFill>
          </w14:textFill>
        </w:rPr>
        <w:t>（二） 现金选择权申报及行使具体要求，包括现金选择权股权登记日、现金选择权申报期限、现金选择权申报方式及应当注意事项等</w:t>
      </w:r>
      <w:r>
        <w:rPr>
          <w:rFonts w:hint="eastAsia" w:ascii="仿宋_GB2312" w:eastAsia="仿宋_GB2312" w:cs="Times New Roman" w:hAnsiTheme="minorEastAsia"/>
          <w:color w:val="000000" w:themeColor="text1"/>
          <w:kern w:val="0"/>
          <w:sz w:val="28"/>
          <w:szCs w:val="28"/>
          <w:highlight w:val="none"/>
          <w14:textFill>
            <w14:solidFill>
              <w14:schemeClr w14:val="tx1"/>
            </w14:solidFill>
          </w14:textFill>
        </w:rPr>
        <w:t>;</w:t>
      </w:r>
    </w:p>
    <w:p w14:paraId="5079ED31">
      <w:pPr>
        <w:spacing w:line="600" w:lineRule="exact"/>
        <w:ind w:firstLine="560" w:firstLineChars="200"/>
        <w:rPr>
          <w:rFonts w:ascii="仿宋_GB2312" w:eastAsia="仿宋_GB2312" w:cs="Times New Roman" w:hAnsiTheme="minorEastAsia"/>
          <w:color w:val="000000" w:themeColor="text1"/>
          <w:kern w:val="0"/>
          <w:sz w:val="28"/>
          <w:szCs w:val="28"/>
          <w:highlight w:val="none"/>
          <w14:textFill>
            <w14:solidFill>
              <w14:schemeClr w14:val="tx1"/>
            </w14:solidFill>
          </w14:textFill>
        </w:rPr>
      </w:pPr>
      <w:r>
        <w:rPr>
          <w:rFonts w:ascii="仿宋_GB2312" w:eastAsia="仿宋_GB2312" w:cs="Times New Roman" w:hAnsiTheme="minorEastAsia"/>
          <w:color w:val="000000" w:themeColor="text1"/>
          <w:kern w:val="0"/>
          <w:sz w:val="28"/>
          <w:szCs w:val="28"/>
          <w:highlight w:val="none"/>
          <w14:textFill>
            <w14:solidFill>
              <w14:schemeClr w14:val="tx1"/>
            </w14:solidFill>
          </w14:textFill>
        </w:rPr>
        <w:t>（三） 截至公告</w:t>
      </w:r>
      <w:r>
        <w:rPr>
          <w:rFonts w:hint="eastAsia" w:ascii="仿宋_GB2312" w:eastAsia="仿宋_GB2312" w:cs="Times New Roman" w:hAnsiTheme="minorEastAsia"/>
          <w:color w:val="000000" w:themeColor="text1"/>
          <w:kern w:val="0"/>
          <w:sz w:val="28"/>
          <w:szCs w:val="28"/>
          <w:highlight w:val="none"/>
          <w14:textFill>
            <w14:solidFill>
              <w14:schemeClr w14:val="tx1"/>
            </w14:solidFill>
          </w14:textFill>
        </w:rPr>
        <w:t>披露</w:t>
      </w:r>
      <w:r>
        <w:rPr>
          <w:rFonts w:ascii="仿宋_GB2312" w:eastAsia="仿宋_GB2312" w:cs="Times New Roman" w:hAnsiTheme="minorEastAsia"/>
          <w:color w:val="000000" w:themeColor="text1"/>
          <w:kern w:val="0"/>
          <w:sz w:val="28"/>
          <w:szCs w:val="28"/>
          <w:highlight w:val="none"/>
          <w14:textFill>
            <w14:solidFill>
              <w14:schemeClr w14:val="tx1"/>
            </w14:solidFill>
          </w14:textFill>
        </w:rPr>
        <w:t>时现金选择权的有效申报数量。</w:t>
      </w:r>
    </w:p>
    <w:p w14:paraId="4C79DFF3">
      <w:pPr>
        <w:spacing w:line="600" w:lineRule="exact"/>
        <w:ind w:firstLine="560" w:firstLineChars="200"/>
        <w:rPr>
          <w:rFonts w:ascii="仿宋_GB2312" w:eastAsia="仿宋_GB2312" w:cs="Times New Roman" w:hAnsiTheme="minorEastAsia"/>
          <w:color w:val="000000" w:themeColor="text1"/>
          <w:kern w:val="0"/>
          <w:sz w:val="28"/>
          <w:szCs w:val="28"/>
          <w:highlight w:val="none"/>
          <w14:textFill>
            <w14:solidFill>
              <w14:schemeClr w14:val="tx1"/>
            </w14:solidFill>
          </w14:textFill>
        </w:rPr>
      </w:pPr>
      <w:r>
        <w:rPr>
          <w:rFonts w:hint="eastAsia" w:ascii="仿宋_GB2312" w:eastAsia="仿宋_GB2312" w:cs="Times New Roman" w:hAnsiTheme="minorEastAsia"/>
          <w:bCs/>
          <w:color w:val="000000" w:themeColor="text1"/>
          <w:kern w:val="0"/>
          <w:sz w:val="28"/>
          <w:szCs w:val="28"/>
          <w:highlight w:val="none"/>
          <w:lang w:val="en-US" w:eastAsia="zh-CN"/>
          <w14:textFill>
            <w14:solidFill>
              <w14:schemeClr w14:val="tx1"/>
            </w14:solidFill>
          </w14:textFill>
        </w:rPr>
        <w:t>8</w:t>
      </w:r>
      <w:r>
        <w:rPr>
          <w:rFonts w:hint="eastAsia" w:ascii="仿宋_GB2312" w:eastAsia="仿宋_GB2312" w:cs="Times New Roman" w:hAnsiTheme="minorEastAsia"/>
          <w:bCs/>
          <w:color w:val="000000" w:themeColor="text1"/>
          <w:kern w:val="0"/>
          <w:sz w:val="28"/>
          <w:szCs w:val="28"/>
          <w:highlight w:val="none"/>
          <w14:textFill>
            <w14:solidFill>
              <w14:schemeClr w14:val="tx1"/>
            </w14:solidFill>
          </w14:textFill>
        </w:rPr>
        <w:t>.</w:t>
      </w:r>
      <w:r>
        <w:rPr>
          <w:rFonts w:ascii="仿宋_GB2312" w:eastAsia="仿宋_GB2312" w:cs="Times New Roman" w:hAnsiTheme="minorEastAsia"/>
          <w:color w:val="000000" w:themeColor="text1"/>
          <w:kern w:val="0"/>
          <w:sz w:val="28"/>
          <w:szCs w:val="28"/>
          <w:highlight w:val="none"/>
          <w14:textFill>
            <w14:solidFill>
              <w14:schemeClr w14:val="tx1"/>
            </w14:solidFill>
          </w14:textFill>
        </w:rPr>
        <w:t>上市公司与</w:t>
      </w:r>
      <w:r>
        <w:rPr>
          <w:rFonts w:hint="eastAsia" w:ascii="仿宋_GB2312" w:eastAsia="仿宋_GB2312" w:cs="Times New Roman" w:hAnsiTheme="minorEastAsia"/>
          <w:color w:val="000000" w:themeColor="text1"/>
          <w:kern w:val="0"/>
          <w:sz w:val="28"/>
          <w:szCs w:val="28"/>
          <w:highlight w:val="none"/>
          <w14:textFill>
            <w14:solidFill>
              <w14:schemeClr w14:val="tx1"/>
            </w14:solidFill>
          </w14:textFill>
        </w:rPr>
        <w:t>中国结算</w:t>
      </w:r>
      <w:r>
        <w:rPr>
          <w:rFonts w:ascii="仿宋_GB2312" w:eastAsia="仿宋_GB2312" w:cs="Times New Roman" w:hAnsiTheme="minorEastAsia"/>
          <w:color w:val="000000" w:themeColor="text1"/>
          <w:kern w:val="0"/>
          <w:sz w:val="28"/>
          <w:szCs w:val="28"/>
          <w:highlight w:val="none"/>
          <w14:textFill>
            <w14:solidFill>
              <w14:schemeClr w14:val="tx1"/>
            </w14:solidFill>
          </w14:textFill>
        </w:rPr>
        <w:t>协商确定申报股份过户时间后，</w:t>
      </w:r>
      <w:r>
        <w:rPr>
          <w:rFonts w:hint="eastAsia" w:ascii="仿宋_GB2312" w:eastAsia="仿宋_GB2312" w:cs="Times New Roman" w:hAnsiTheme="minorEastAsia"/>
          <w:color w:val="000000" w:themeColor="text1"/>
          <w:kern w:val="0"/>
          <w:sz w:val="28"/>
          <w:szCs w:val="28"/>
          <w:highlight w:val="none"/>
          <w14:textFill>
            <w14:solidFill>
              <w14:schemeClr w14:val="tx1"/>
            </w14:solidFill>
          </w14:textFill>
        </w:rPr>
        <w:t>披露</w:t>
      </w:r>
      <w:r>
        <w:rPr>
          <w:rFonts w:ascii="仿宋_GB2312" w:eastAsia="仿宋_GB2312" w:cs="Times New Roman" w:hAnsiTheme="minorEastAsia"/>
          <w:color w:val="000000" w:themeColor="text1"/>
          <w:kern w:val="0"/>
          <w:sz w:val="28"/>
          <w:szCs w:val="28"/>
          <w:highlight w:val="none"/>
          <w14:textFill>
            <w14:solidFill>
              <w14:schemeClr w14:val="tx1"/>
            </w14:solidFill>
          </w14:textFill>
        </w:rPr>
        <w:t>“公司现金选择权清算及交割结果公告”，该公告中应明确申报现金选择权股东资金到账日期。</w:t>
      </w:r>
    </w:p>
    <w:p w14:paraId="3953874D">
      <w:pPr>
        <w:spacing w:line="600" w:lineRule="exact"/>
        <w:ind w:firstLine="560" w:firstLineChars="200"/>
        <w:rPr>
          <w:rFonts w:ascii="仿宋_GB2312" w:eastAsia="仿宋_GB2312" w:cs="Times New Roman" w:hAnsiTheme="minorEastAsia"/>
          <w:color w:val="000000" w:themeColor="text1"/>
          <w:kern w:val="0"/>
          <w:sz w:val="28"/>
          <w:szCs w:val="28"/>
          <w:highlight w:val="none"/>
          <w14:textFill>
            <w14:solidFill>
              <w14:schemeClr w14:val="tx1"/>
            </w14:solidFill>
          </w14:textFill>
        </w:rPr>
      </w:pPr>
      <w:r>
        <w:rPr>
          <w:rFonts w:hint="eastAsia" w:ascii="仿宋_GB2312" w:eastAsia="仿宋_GB2312" w:cs="Times New Roman" w:hAnsiTheme="minorEastAsia"/>
          <w:bCs/>
          <w:color w:val="000000" w:themeColor="text1"/>
          <w:kern w:val="0"/>
          <w:sz w:val="28"/>
          <w:szCs w:val="28"/>
          <w:highlight w:val="none"/>
          <w:lang w:val="en-US" w:eastAsia="zh-CN"/>
          <w14:textFill>
            <w14:solidFill>
              <w14:schemeClr w14:val="tx1"/>
            </w14:solidFill>
          </w14:textFill>
        </w:rPr>
        <w:t>9</w:t>
      </w:r>
      <w:r>
        <w:rPr>
          <w:rFonts w:hint="eastAsia" w:ascii="仿宋_GB2312" w:eastAsia="仿宋_GB2312" w:cs="Times New Roman" w:hAnsiTheme="minorEastAsia"/>
          <w:bCs/>
          <w:color w:val="000000" w:themeColor="text1"/>
          <w:kern w:val="0"/>
          <w:sz w:val="28"/>
          <w:szCs w:val="28"/>
          <w:highlight w:val="none"/>
          <w14:textFill>
            <w14:solidFill>
              <w14:schemeClr w14:val="tx1"/>
            </w14:solidFill>
          </w14:textFill>
        </w:rPr>
        <w:t>.</w:t>
      </w:r>
      <w:r>
        <w:rPr>
          <w:rFonts w:ascii="仿宋_GB2312" w:eastAsia="仿宋_GB2312" w:cs="Times New Roman" w:hAnsiTheme="minorEastAsia"/>
          <w:color w:val="000000" w:themeColor="text1"/>
          <w:kern w:val="0"/>
          <w:sz w:val="28"/>
          <w:szCs w:val="28"/>
          <w:highlight w:val="none"/>
          <w14:textFill>
            <w14:solidFill>
              <w14:schemeClr w14:val="tx1"/>
            </w14:solidFill>
          </w14:textFill>
        </w:rPr>
        <w:t>通过本所交易系统进行现金选择权申报，指定交易的证券公司将参照</w:t>
      </w:r>
      <w:r>
        <w:rPr>
          <w:rFonts w:hint="eastAsia" w:ascii="仿宋_GB2312" w:eastAsia="仿宋_GB2312" w:cs="Times New Roman" w:hAnsiTheme="minorEastAsia"/>
          <w:color w:val="000000" w:themeColor="text1"/>
          <w:kern w:val="0"/>
          <w:sz w:val="28"/>
          <w:szCs w:val="28"/>
          <w:highlight w:val="none"/>
          <w:lang w:eastAsia="zh-CN"/>
          <w14:textFill>
            <w14:solidFill>
              <w14:schemeClr w14:val="tx1"/>
            </w14:solidFill>
          </w14:textFill>
        </w:rPr>
        <w:t>相应股票</w:t>
      </w:r>
      <w:r>
        <w:rPr>
          <w:rFonts w:ascii="仿宋_GB2312" w:eastAsia="仿宋_GB2312" w:cs="Times New Roman" w:hAnsiTheme="minorEastAsia"/>
          <w:color w:val="000000" w:themeColor="text1"/>
          <w:kern w:val="0"/>
          <w:sz w:val="28"/>
          <w:szCs w:val="28"/>
          <w:highlight w:val="none"/>
          <w14:textFill>
            <w14:solidFill>
              <w14:schemeClr w14:val="tx1"/>
            </w14:solidFill>
          </w14:textFill>
        </w:rPr>
        <w:t>买卖收费标准向投资者收取相关税费。</w:t>
      </w:r>
    </w:p>
    <w:p w14:paraId="3D303588">
      <w:pPr>
        <w:spacing w:line="600" w:lineRule="exact"/>
        <w:ind w:firstLine="560" w:firstLineChars="200"/>
        <w:rPr>
          <w:rFonts w:ascii="仿宋_GB2312" w:hAnsi="仿宋_GB2312" w:eastAsia="仿宋_GB2312" w:cs="仿宋_GB2312"/>
          <w:sz w:val="28"/>
          <w:szCs w:val="28"/>
          <w:highlight w:val="none"/>
        </w:rPr>
      </w:pPr>
      <w:r>
        <w:rPr>
          <w:rFonts w:hint="eastAsia" w:ascii="仿宋_GB2312" w:eastAsia="仿宋_GB2312" w:cs="Times New Roman" w:hAnsiTheme="minorEastAsia"/>
          <w:bCs/>
          <w:color w:val="000000" w:themeColor="text1"/>
          <w:kern w:val="0"/>
          <w:sz w:val="28"/>
          <w:szCs w:val="28"/>
          <w:highlight w:val="none"/>
          <w14:textFill>
            <w14:solidFill>
              <w14:schemeClr w14:val="tx1"/>
            </w14:solidFill>
          </w14:textFill>
        </w:rPr>
        <w:t>1</w:t>
      </w:r>
      <w:r>
        <w:rPr>
          <w:rFonts w:hint="eastAsia" w:ascii="仿宋_GB2312" w:eastAsia="仿宋_GB2312" w:cs="Times New Roman" w:hAnsiTheme="minorEastAsia"/>
          <w:bCs/>
          <w:color w:val="000000" w:themeColor="text1"/>
          <w:kern w:val="0"/>
          <w:sz w:val="28"/>
          <w:szCs w:val="28"/>
          <w:highlight w:val="none"/>
          <w:lang w:val="en-US" w:eastAsia="zh-CN"/>
          <w14:textFill>
            <w14:solidFill>
              <w14:schemeClr w14:val="tx1"/>
            </w14:solidFill>
          </w14:textFill>
        </w:rPr>
        <w:t>0</w:t>
      </w:r>
      <w:r>
        <w:rPr>
          <w:rFonts w:hint="eastAsia" w:ascii="仿宋_GB2312" w:eastAsia="仿宋_GB2312" w:cs="Times New Roman" w:hAnsiTheme="minorEastAsia"/>
          <w:bCs/>
          <w:color w:val="000000" w:themeColor="text1"/>
          <w:kern w:val="0"/>
          <w:sz w:val="28"/>
          <w:szCs w:val="28"/>
          <w:highlight w:val="none"/>
          <w14:textFill>
            <w14:solidFill>
              <w14:schemeClr w14:val="tx1"/>
            </w14:solidFill>
          </w14:textFill>
        </w:rPr>
        <w:t>.发行存托凭证并在本所主板上市的公司，现金选择权业务参照适用本指南的有关规定。本指南未作规定的，适用本所其他有关规定。</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仿宋_GB2312">
    <w:panose1 w:val="02010609030101010101"/>
    <w:charset w:val="86"/>
    <w:family w:val="modern"/>
    <w:pitch w:val="default"/>
    <w:sig w:usb0="00000001" w:usb1="080E0000" w:usb2="00000000" w:usb3="00000000" w:csb0="00040000" w:csb1="00000000"/>
  </w:font>
  <w:font w:name="方正大标宋简体">
    <w:panose1 w:val="02000000000000000000"/>
    <w:charset w:val="86"/>
    <w:family w:val="script"/>
    <w:pitch w:val="default"/>
    <w:sig w:usb0="A00002BF" w:usb1="184F6CFA" w:usb2="00000012" w:usb3="00000000" w:csb0="00040001" w:csb1="00000000"/>
  </w:font>
  <w:font w:name="Noto Sans CJK JP Bold">
    <w:panose1 w:val="020B0800000000000000"/>
    <w:charset w:val="86"/>
    <w:family w:val="auto"/>
    <w:pitch w:val="default"/>
    <w:sig w:usb0="30000003" w:usb1="2BDF3C10" w:usb2="00000016" w:usb3="00000000" w:csb0="602E01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13943485"/>
    </w:sdtPr>
    <w:sdtContent>
      <w:p w14:paraId="19088E17">
        <w:pPr>
          <w:pStyle w:val="4"/>
          <w:jc w:val="center"/>
        </w:pPr>
        <w:r>
          <w:fldChar w:fldCharType="begin"/>
        </w:r>
        <w:r>
          <w:instrText xml:space="preserve"> PAGE   \* MERGEFORMAT </w:instrText>
        </w:r>
        <w:r>
          <w:fldChar w:fldCharType="separate"/>
        </w:r>
        <w:r>
          <w:rPr>
            <w:lang w:val="zh-CN"/>
          </w:rPr>
          <w:t>6</w:t>
        </w:r>
        <w:r>
          <w:rPr>
            <w:lang w:val="zh-CN"/>
          </w:rP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4C82"/>
    <w:rsid w:val="00013C97"/>
    <w:rsid w:val="00052494"/>
    <w:rsid w:val="000569E6"/>
    <w:rsid w:val="000E5BDB"/>
    <w:rsid w:val="00100A0C"/>
    <w:rsid w:val="001078BA"/>
    <w:rsid w:val="00132851"/>
    <w:rsid w:val="00133989"/>
    <w:rsid w:val="00143283"/>
    <w:rsid w:val="00190CEE"/>
    <w:rsid w:val="001928A9"/>
    <w:rsid w:val="001B592B"/>
    <w:rsid w:val="001D7D29"/>
    <w:rsid w:val="00254771"/>
    <w:rsid w:val="00256A66"/>
    <w:rsid w:val="00273E98"/>
    <w:rsid w:val="00311181"/>
    <w:rsid w:val="00394D64"/>
    <w:rsid w:val="003D4E3A"/>
    <w:rsid w:val="003F4AA8"/>
    <w:rsid w:val="004230DE"/>
    <w:rsid w:val="00446360"/>
    <w:rsid w:val="004A7E44"/>
    <w:rsid w:val="004B53D5"/>
    <w:rsid w:val="004F1F63"/>
    <w:rsid w:val="00540090"/>
    <w:rsid w:val="005A110F"/>
    <w:rsid w:val="005A65CB"/>
    <w:rsid w:val="005D262C"/>
    <w:rsid w:val="006905CD"/>
    <w:rsid w:val="00690816"/>
    <w:rsid w:val="00692176"/>
    <w:rsid w:val="0072244F"/>
    <w:rsid w:val="007C0116"/>
    <w:rsid w:val="007E5160"/>
    <w:rsid w:val="007E54E7"/>
    <w:rsid w:val="00813569"/>
    <w:rsid w:val="008309B7"/>
    <w:rsid w:val="008B012B"/>
    <w:rsid w:val="00951D3E"/>
    <w:rsid w:val="00975F3C"/>
    <w:rsid w:val="009873FA"/>
    <w:rsid w:val="009C7948"/>
    <w:rsid w:val="00AE6399"/>
    <w:rsid w:val="00B414AE"/>
    <w:rsid w:val="00B44C82"/>
    <w:rsid w:val="00B822F4"/>
    <w:rsid w:val="00C80325"/>
    <w:rsid w:val="00D20EF5"/>
    <w:rsid w:val="00D62C23"/>
    <w:rsid w:val="00DA1EC5"/>
    <w:rsid w:val="00DA2FF5"/>
    <w:rsid w:val="00DA33AB"/>
    <w:rsid w:val="00E80F99"/>
    <w:rsid w:val="00EA60FC"/>
    <w:rsid w:val="00F23DF1"/>
    <w:rsid w:val="00F33A12"/>
    <w:rsid w:val="00F87B58"/>
    <w:rsid w:val="00FE1166"/>
    <w:rsid w:val="03CF2B05"/>
    <w:rsid w:val="073F54F1"/>
    <w:rsid w:val="0B865295"/>
    <w:rsid w:val="0F126458"/>
    <w:rsid w:val="128523BE"/>
    <w:rsid w:val="23123E8F"/>
    <w:rsid w:val="2628036B"/>
    <w:rsid w:val="275C279D"/>
    <w:rsid w:val="2CF673D1"/>
    <w:rsid w:val="36EBDF21"/>
    <w:rsid w:val="3F2CEFD6"/>
    <w:rsid w:val="3FDDEAD1"/>
    <w:rsid w:val="436B15F2"/>
    <w:rsid w:val="4AEF7E05"/>
    <w:rsid w:val="5180508C"/>
    <w:rsid w:val="53F35BA7"/>
    <w:rsid w:val="55DA3FAC"/>
    <w:rsid w:val="57DE42AF"/>
    <w:rsid w:val="5AB368DA"/>
    <w:rsid w:val="5BFF399D"/>
    <w:rsid w:val="5DEDD33D"/>
    <w:rsid w:val="5F3A4559"/>
    <w:rsid w:val="65B66104"/>
    <w:rsid w:val="6743EA4E"/>
    <w:rsid w:val="6AE9540C"/>
    <w:rsid w:val="6DEF1086"/>
    <w:rsid w:val="71DF4FDA"/>
    <w:rsid w:val="7376847B"/>
    <w:rsid w:val="740E5EB7"/>
    <w:rsid w:val="743A96D2"/>
    <w:rsid w:val="7D3FB488"/>
    <w:rsid w:val="7E4BB0FB"/>
    <w:rsid w:val="7EEDBD9C"/>
    <w:rsid w:val="7EFEE3EA"/>
    <w:rsid w:val="7FFC0406"/>
    <w:rsid w:val="8EBFE5B7"/>
    <w:rsid w:val="B58F8D16"/>
    <w:rsid w:val="B75E87A3"/>
    <w:rsid w:val="B8FFE57B"/>
    <w:rsid w:val="BA7780B5"/>
    <w:rsid w:val="BC87C230"/>
    <w:rsid w:val="BD37B6EC"/>
    <w:rsid w:val="BD3F59A4"/>
    <w:rsid w:val="BF7A5E1B"/>
    <w:rsid w:val="BFBBA2C9"/>
    <w:rsid w:val="DFFFCF41"/>
    <w:rsid w:val="E3FEB2EF"/>
    <w:rsid w:val="E7B90E67"/>
    <w:rsid w:val="ED9F85AB"/>
    <w:rsid w:val="EF2CB836"/>
    <w:rsid w:val="EF7A3408"/>
    <w:rsid w:val="F75E58DF"/>
    <w:rsid w:val="FEFE64C1"/>
    <w:rsid w:val="FF1CB465"/>
    <w:rsid w:val="FFCF3ECD"/>
    <w:rsid w:val="FFF7EFB6"/>
    <w:rsid w:val="FFFF52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4"/>
    <w:qFormat/>
    <w:uiPriority w:val="0"/>
    <w:pPr>
      <w:jc w:val="left"/>
    </w:pPr>
  </w:style>
  <w:style w:type="paragraph" w:styleId="3">
    <w:name w:val="Balloon Text"/>
    <w:basedOn w:val="1"/>
    <w:link w:val="11"/>
    <w:qFormat/>
    <w:uiPriority w:val="0"/>
    <w:rPr>
      <w:sz w:val="18"/>
      <w:szCs w:val="18"/>
    </w:rPr>
  </w:style>
  <w:style w:type="paragraph" w:styleId="4">
    <w:name w:val="footer"/>
    <w:basedOn w:val="1"/>
    <w:link w:val="13"/>
    <w:qFormat/>
    <w:uiPriority w:val="99"/>
    <w:pPr>
      <w:tabs>
        <w:tab w:val="center" w:pos="4153"/>
        <w:tab w:val="right" w:pos="8306"/>
      </w:tabs>
      <w:snapToGrid w:val="0"/>
      <w:jc w:val="left"/>
    </w:pPr>
    <w:rPr>
      <w:sz w:val="18"/>
      <w:szCs w:val="18"/>
    </w:rPr>
  </w:style>
  <w:style w:type="paragraph" w:styleId="5">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paragraph" w:styleId="7">
    <w:name w:val="annotation subject"/>
    <w:basedOn w:val="2"/>
    <w:next w:val="2"/>
    <w:link w:val="15"/>
    <w:qFormat/>
    <w:uiPriority w:val="0"/>
    <w:rPr>
      <w:b/>
      <w:bCs/>
    </w:rPr>
  </w:style>
  <w:style w:type="character" w:styleId="10">
    <w:name w:val="annotation reference"/>
    <w:basedOn w:val="9"/>
    <w:qFormat/>
    <w:uiPriority w:val="0"/>
    <w:rPr>
      <w:sz w:val="21"/>
      <w:szCs w:val="21"/>
    </w:rPr>
  </w:style>
  <w:style w:type="character" w:customStyle="1" w:styleId="11">
    <w:name w:val="批注框文本 Char"/>
    <w:basedOn w:val="9"/>
    <w:link w:val="3"/>
    <w:qFormat/>
    <w:uiPriority w:val="0"/>
    <w:rPr>
      <w:kern w:val="2"/>
      <w:sz w:val="18"/>
      <w:szCs w:val="18"/>
    </w:rPr>
  </w:style>
  <w:style w:type="character" w:customStyle="1" w:styleId="12">
    <w:name w:val="页眉 Char"/>
    <w:basedOn w:val="9"/>
    <w:link w:val="5"/>
    <w:qFormat/>
    <w:uiPriority w:val="0"/>
    <w:rPr>
      <w:kern w:val="2"/>
      <w:sz w:val="18"/>
      <w:szCs w:val="18"/>
    </w:rPr>
  </w:style>
  <w:style w:type="character" w:customStyle="1" w:styleId="13">
    <w:name w:val="页脚 Char"/>
    <w:basedOn w:val="9"/>
    <w:link w:val="4"/>
    <w:qFormat/>
    <w:uiPriority w:val="99"/>
    <w:rPr>
      <w:kern w:val="2"/>
      <w:sz w:val="18"/>
      <w:szCs w:val="18"/>
    </w:rPr>
  </w:style>
  <w:style w:type="character" w:customStyle="1" w:styleId="14">
    <w:name w:val="批注文字 Char"/>
    <w:basedOn w:val="9"/>
    <w:link w:val="2"/>
    <w:qFormat/>
    <w:uiPriority w:val="0"/>
    <w:rPr>
      <w:kern w:val="2"/>
      <w:sz w:val="21"/>
      <w:szCs w:val="24"/>
    </w:rPr>
  </w:style>
  <w:style w:type="character" w:customStyle="1" w:styleId="15">
    <w:name w:val="批注主题 Char"/>
    <w:basedOn w:val="14"/>
    <w:link w:val="7"/>
    <w:qFormat/>
    <w:uiPriority w:val="0"/>
    <w:rPr>
      <w:b/>
      <w:bCs/>
    </w:rPr>
  </w:style>
  <w:style w:type="paragraph" w:customStyle="1" w:styleId="16">
    <w:name w:val="Revision"/>
    <w:hidden/>
    <w:unhideWhenUsed/>
    <w:qFormat/>
    <w:uiPriority w:val="99"/>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上海证券交易所</Company>
  <Pages>6</Pages>
  <Words>2540</Words>
  <Characters>2557</Characters>
  <Lines>25</Lines>
  <Paragraphs>7</Paragraphs>
  <TotalTime>264</TotalTime>
  <ScaleCrop>false</ScaleCrop>
  <LinksUpToDate>false</LinksUpToDate>
  <CharactersWithSpaces>2561</CharactersWithSpaces>
  <Application>WPS Office_12.8.2.19313_F1E327BC-269C-435d-A152-05C5408002CA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2025-12-27T07:00:00Z</dcterms:created>
  <dc:creator>sse</dc:creator>
  <cp:lastModifiedBy>whxu</cp:lastModifiedBy>
  <dcterms:modified xsi:type="dcterms:W3CDTF">2026-04-24T21:10:15Z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2052-12.8.2.19313</vt:lpwstr>
  </property>
  <property fmtid="{D5CDD505-2E9C-101B-9397-08002B2CF9AE}" pid="3" name="ICV">
    <vt:lpwstr>7A6703DEEA05429F1D5FBA69B947E424_43</vt:lpwstr>
  </property>
</Properties>
</file>