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p>
    <w:p>
      <w:pPr>
        <w:tabs>
          <w:tab w:val="left" w:pos="540"/>
        </w:tabs>
        <w:spacing w:line="600" w:lineRule="exact"/>
        <w:jc w:val="center"/>
        <w:rPr>
          <w:rFonts w:ascii="黑体" w:hAnsi="黑体" w:eastAsia="黑体"/>
          <w:sz w:val="36"/>
          <w:szCs w:val="36"/>
        </w:rPr>
      </w:pPr>
      <w:r>
        <w:rPr>
          <w:rFonts w:hint="eastAsia" w:ascii="黑体" w:hAnsi="黑体" w:eastAsia="黑体"/>
          <w:sz w:val="36"/>
          <w:szCs w:val="36"/>
        </w:rPr>
        <w:t>第十三号 退市风险公司信息披露</w:t>
      </w:r>
    </w:p>
    <w:p>
      <w:pPr>
        <w:tabs>
          <w:tab w:val="left" w:pos="540"/>
        </w:tabs>
        <w:spacing w:line="600" w:lineRule="exact"/>
        <w:jc w:val="center"/>
        <w:rPr>
          <w:rFonts w:ascii="黑体" w:hAnsi="黑体" w:eastAsia="黑体"/>
          <w:sz w:val="40"/>
          <w:szCs w:val="40"/>
        </w:rPr>
      </w:pPr>
    </w:p>
    <w:p>
      <w:pPr>
        <w:tabs>
          <w:tab w:val="left" w:pos="540"/>
        </w:tabs>
        <w:spacing w:line="6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为严格执行退市制度，推动“应退尽退”常态化退市机制形成，引导股票具有退市</w:t>
      </w:r>
      <w:r>
        <w:rPr>
          <w:rFonts w:ascii="仿宋_GB2312" w:hAnsi="仿宋_GB2312" w:eastAsia="仿宋_GB2312"/>
          <w:sz w:val="32"/>
          <w:szCs w:val="32"/>
        </w:rPr>
        <w:t>风险</w:t>
      </w:r>
      <w:r>
        <w:rPr>
          <w:rFonts w:hint="eastAsia" w:ascii="仿宋_GB2312" w:hAnsi="仿宋_GB2312" w:eastAsia="仿宋_GB2312"/>
          <w:sz w:val="32"/>
          <w:szCs w:val="32"/>
        </w:rPr>
        <w:t>的上市公司（以下简称退市风险公司）及其董事、高级管理人员（以下简称高管）和负责审计的会计师事务所（以下简称会计师事务所）归位尽责，充分揭示退市风险、保护投资者合法权益，根据《上海证券交易所股票上市规则》（以下简称《股票上市规则》）等相关业务规则，制定本指南。</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一、总体要求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（一）退市</w:t>
      </w:r>
      <w:r>
        <w:rPr>
          <w:rFonts w:ascii="仿宋_GB2312" w:hAnsi="仿宋_GB2312" w:eastAsia="仿宋_GB2312" w:cs="仿宋_GB2312"/>
          <w:sz w:val="32"/>
          <w:szCs w:val="32"/>
        </w:rPr>
        <w:t>风险公司</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持续信息披露和定期报告编制过程中，</w:t>
      </w:r>
      <w:r>
        <w:rPr>
          <w:rFonts w:hint="eastAsia" w:ascii="仿宋_GB2312" w:hAnsi="仿宋_GB2312" w:eastAsia="仿宋_GB2312" w:cs="仿宋_GB2312"/>
          <w:sz w:val="32"/>
          <w:szCs w:val="32"/>
        </w:rPr>
        <w:t>应当高度关注可能涉及的退市风险，认真评估是否触及强制退市指标，充分论证相关交易及事项的合规性和商业合理性，依规审议并及时披露年度业绩预告、重大事项及其进展公告和年度报告，充分揭示退市风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（二）退市</w:t>
      </w:r>
      <w:r>
        <w:rPr>
          <w:rFonts w:ascii="仿宋_GB2312" w:hAnsi="仿宋_GB2312" w:eastAsia="仿宋_GB2312" w:cs="仿宋_GB2312"/>
          <w:sz w:val="32"/>
          <w:szCs w:val="32"/>
        </w:rPr>
        <w:t>风险公司</w:t>
      </w:r>
      <w:r>
        <w:rPr>
          <w:rFonts w:hint="eastAsia" w:ascii="仿宋_GB2312" w:hAnsi="仿宋_GB2312" w:eastAsia="仿宋_GB2312" w:cs="仿宋_GB2312"/>
          <w:sz w:val="32"/>
          <w:szCs w:val="32"/>
        </w:rPr>
        <w:t>不得随意披露附有</w:t>
      </w:r>
      <w:r>
        <w:rPr>
          <w:rFonts w:ascii="仿宋_GB2312" w:hAnsi="仿宋_GB2312" w:eastAsia="仿宋_GB2312" w:cs="仿宋_GB2312"/>
          <w:sz w:val="32"/>
          <w:szCs w:val="32"/>
        </w:rPr>
        <w:t>前提条件、存在重大</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确定性或疑点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缺乏商业合理性的重大交易</w:t>
      </w:r>
      <w:r>
        <w:rPr>
          <w:rFonts w:hint="eastAsia" w:ascii="仿宋_GB2312" w:hAnsi="仿宋_GB2312" w:eastAsia="仿宋_GB2312" w:cs="仿宋_GB2312"/>
          <w:sz w:val="32"/>
          <w:szCs w:val="32"/>
        </w:rPr>
        <w:t>公告，</w:t>
      </w:r>
      <w:r>
        <w:rPr>
          <w:rFonts w:ascii="仿宋_GB2312" w:hAnsi="仿宋_GB2312" w:eastAsia="仿宋_GB2312" w:cs="仿宋_GB2312"/>
          <w:sz w:val="32"/>
          <w:szCs w:val="32"/>
        </w:rPr>
        <w:t>缺乏可行性的增持</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回购、要约收购、控制权变更等公告。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（三）退市风险公司的董事、高管应当诚实守信、勤勉尽责，做好定期报告编制、审议、披露及内部控制评价相关工作，并配合会计师事务所的审计工作；充分</w:t>
      </w:r>
      <w:r>
        <w:rPr>
          <w:rFonts w:ascii="仿宋_GB2312" w:hAnsi="仿宋_GB2312" w:eastAsia="仿宋_GB2312" w:cs="仿宋_GB2312"/>
          <w:sz w:val="32"/>
          <w:szCs w:val="32"/>
        </w:rPr>
        <w:t>考虑重大交易的</w:t>
      </w:r>
      <w:r>
        <w:rPr>
          <w:rFonts w:hint="eastAsia" w:ascii="仿宋_GB2312" w:hAnsi="仿宋_GB2312" w:eastAsia="仿宋_GB2312" w:cs="仿宋_GB2312"/>
          <w:sz w:val="32"/>
          <w:szCs w:val="32"/>
        </w:rPr>
        <w:t>合规</w:t>
      </w:r>
      <w:r>
        <w:rPr>
          <w:rFonts w:ascii="仿宋_GB2312" w:hAnsi="仿宋_GB2312" w:eastAsia="仿宋_GB2312" w:cs="仿宋_GB2312"/>
          <w:sz w:val="32"/>
          <w:szCs w:val="32"/>
        </w:rPr>
        <w:t>合理性，</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对公司的影响</w:t>
      </w:r>
      <w:r>
        <w:rPr>
          <w:rFonts w:hint="eastAsia" w:ascii="仿宋_GB2312" w:hAnsi="仿宋_GB2312" w:eastAsia="仿宋_GB2312" w:cs="仿宋_GB2312"/>
          <w:sz w:val="32"/>
          <w:szCs w:val="32"/>
        </w:rPr>
        <w:t>和潜在</w:t>
      </w:r>
      <w:r>
        <w:rPr>
          <w:rFonts w:ascii="仿宋_GB2312" w:hAnsi="仿宋_GB2312" w:eastAsia="仿宋_GB2312" w:cs="仿宋_GB2312"/>
          <w:sz w:val="32"/>
          <w:szCs w:val="32"/>
        </w:rPr>
        <w:t>的风险，</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合理</w:t>
      </w:r>
      <w:r>
        <w:rPr>
          <w:rFonts w:hint="eastAsia" w:ascii="仿宋_GB2312" w:hAnsi="仿宋_GB2312" w:eastAsia="仿宋_GB2312" w:cs="仿宋_GB2312"/>
          <w:sz w:val="32"/>
          <w:szCs w:val="32"/>
        </w:rPr>
        <w:t>审</w:t>
      </w:r>
      <w:r>
        <w:rPr>
          <w:rFonts w:ascii="仿宋_GB2312" w:hAnsi="仿宋_GB2312" w:eastAsia="仿宋_GB2312" w:cs="仿宋_GB2312"/>
          <w:sz w:val="32"/>
          <w:szCs w:val="32"/>
        </w:rPr>
        <w:t>慎的</w:t>
      </w:r>
      <w:r>
        <w:rPr>
          <w:rFonts w:hint="eastAsia" w:ascii="仿宋_GB2312" w:hAnsi="仿宋_GB2312" w:eastAsia="仿宋_GB2312" w:cs="仿宋_GB2312"/>
          <w:sz w:val="32"/>
          <w:szCs w:val="32"/>
        </w:rPr>
        <w:t>态度</w:t>
      </w:r>
      <w:r>
        <w:rPr>
          <w:rFonts w:ascii="仿宋_GB2312" w:hAnsi="仿宋_GB2312" w:eastAsia="仿宋_GB2312" w:cs="仿宋_GB2312"/>
          <w:sz w:val="32"/>
          <w:szCs w:val="32"/>
        </w:rPr>
        <w:t>充分</w:t>
      </w:r>
      <w:r>
        <w:rPr>
          <w:rFonts w:hint="eastAsia" w:ascii="仿宋_GB2312" w:hAnsi="仿宋_GB2312" w:eastAsia="仿宋_GB2312" w:cs="仿宋_GB2312"/>
          <w:sz w:val="32"/>
          <w:szCs w:val="32"/>
        </w:rPr>
        <w:t>核实后发表</w:t>
      </w:r>
      <w:r>
        <w:rPr>
          <w:rFonts w:ascii="仿宋_GB2312" w:hAnsi="仿宋_GB2312" w:eastAsia="仿宋_GB2312" w:cs="仿宋_GB2312"/>
          <w:sz w:val="32"/>
          <w:szCs w:val="32"/>
        </w:rPr>
        <w:t>明确意见</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（四）会计师事务所应当严格按</w:t>
      </w:r>
      <w:bookmarkStart w:id="0" w:name="_GoBack"/>
      <w:bookmarkEnd w:id="0"/>
      <w:r>
        <w:rPr>
          <w:rFonts w:hint="eastAsia" w:ascii="仿宋_GB2312" w:hAnsi="仿宋_GB2312" w:eastAsia="仿宋_GB2312" w:cs="仿宋_GB2312"/>
          <w:sz w:val="32"/>
          <w:szCs w:val="32"/>
        </w:rPr>
        <w:t>照审计准则等的要求，勤勉尽责、规范执业，高度关注营业收入及其扣除情况、重大</w:t>
      </w:r>
      <w:r>
        <w:rPr>
          <w:rFonts w:ascii="仿宋_GB2312" w:hAnsi="仿宋_GB2312" w:eastAsia="仿宋_GB2312" w:cs="仿宋_GB2312"/>
          <w:sz w:val="32"/>
          <w:szCs w:val="32"/>
        </w:rPr>
        <w:t>会计</w:t>
      </w:r>
      <w:r>
        <w:rPr>
          <w:rFonts w:hint="eastAsia" w:ascii="仿宋_GB2312" w:hAnsi="仿宋_GB2312" w:eastAsia="仿宋_GB2312" w:cs="仿宋_GB2312"/>
          <w:sz w:val="32"/>
          <w:szCs w:val="32"/>
        </w:rPr>
        <w:t>差错</w:t>
      </w:r>
      <w:r>
        <w:rPr>
          <w:rFonts w:ascii="仿宋_GB2312" w:hAnsi="仿宋_GB2312" w:eastAsia="仿宋_GB2312" w:cs="仿宋_GB2312"/>
          <w:sz w:val="32"/>
          <w:szCs w:val="32"/>
        </w:rPr>
        <w:t>更正</w:t>
      </w:r>
      <w:r>
        <w:rPr>
          <w:rFonts w:hint="eastAsia" w:ascii="仿宋_GB2312" w:hAnsi="仿宋_GB2312" w:eastAsia="仿宋_GB2312" w:cs="仿宋_GB2312"/>
          <w:sz w:val="32"/>
          <w:szCs w:val="32"/>
        </w:rPr>
        <w:t>，以及净利润、非经常性损益、净资产等核心财务数据的真实性、准确性，重点审计财务报告内部控制有效性，履行充分、必要的程序，获取充分、适当的证据，发表恰当的专业意见，切实承担起中介机构责任。</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二、财务类退市风险信息披露</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（一）依规披露年度业绩预告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股票</w:t>
      </w:r>
      <w:r>
        <w:rPr>
          <w:rFonts w:hint="eastAsia" w:ascii="仿宋_GB2312" w:hAnsi="仿宋_GB2312" w:eastAsia="仿宋_GB2312"/>
          <w:sz w:val="32"/>
          <w:szCs w:val="32"/>
        </w:rPr>
        <w:t>已被实施财务类退市风险警示的上市公司（以下简称</w:t>
      </w:r>
      <w:r>
        <w:rPr>
          <w:rFonts w:hint="eastAsia" w:ascii="仿宋_GB2312" w:hAnsi="仿宋_GB2312" w:eastAsia="仿宋_GB2312" w:cs="仿宋_GB2312"/>
          <w:sz w:val="32"/>
          <w:szCs w:val="32"/>
        </w:rPr>
        <w:t>财务类退市风险公司</w:t>
      </w:r>
      <w:r>
        <w:rPr>
          <w:rFonts w:hint="eastAsia" w:ascii="仿宋_GB2312" w:hAnsi="仿宋_GB2312" w:eastAsia="仿宋_GB2312"/>
          <w:sz w:val="32"/>
          <w:szCs w:val="32"/>
        </w:rPr>
        <w:t>）</w:t>
      </w:r>
      <w:r>
        <w:rPr>
          <w:rFonts w:hint="eastAsia" w:ascii="仿宋_GB2312" w:hAnsi="仿宋_GB2312" w:eastAsia="仿宋_GB2312" w:cs="仿宋_GB2312"/>
          <w:sz w:val="32"/>
          <w:szCs w:val="32"/>
        </w:rPr>
        <w:t>应当按照《股票上市规则》第5.1.3条的规定，在会计年度结束后1个月内预告全年营业收入、扣除与主营业务无关的业务收入和不具备商业实质的收入后的营业收入、利润总额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净利润、扣除非经常性损益后的净利润和期末净资产。</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（二）持续做好退市风险提示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退市风险公司应当按照《股票上市规则》的有关规定，在其股票被实施退市风险警示当年的会计年度结束后1个月内，发布股票可能被终止上市的风险提示公告。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为提升风险揭示效果，财务</w:t>
      </w:r>
      <w:r>
        <w:rPr>
          <w:rFonts w:ascii="仿宋_GB2312" w:hAnsi="仿宋_GB2312" w:eastAsia="仿宋_GB2312" w:cs="仿宋_GB2312"/>
          <w:sz w:val="32"/>
          <w:szCs w:val="32"/>
        </w:rPr>
        <w:t>类</w:t>
      </w:r>
      <w:r>
        <w:rPr>
          <w:rFonts w:hint="eastAsia" w:ascii="仿宋_GB2312" w:hAnsi="仿宋_GB2312" w:eastAsia="仿宋_GB2312" w:cs="仿宋_GB2312"/>
          <w:sz w:val="32"/>
          <w:szCs w:val="32"/>
        </w:rPr>
        <w:t>退市风险公司应当在首次风险提示公告披露后至年度报告披露前，每10个交易日披露一次风险提示公告。上述风险提示公告均应当按照《上海证券交易所上市公司自律监管指南第1号——公告格式》中终止上市风险提示公告格式的要求，结合自身情况详细分析说明股票可能触及的终止上市情形及其原因，保证风险提示的可读性和有效性。本所可以视情况要求公司增加风险提示公告的披露次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财务类退市风险公司涉及下列情形之一的，应当在风险提示公告中予以重点提示。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1.年度业绩预告预计相关指标将触及《股票上市规则》第9.3.</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条第一款规定的任一情形，其股票可能被终止上市；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2.尚未聘请会计师事务所；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3.年度业绩预告与会计师事务所出具的预审计情况的专项说明或审计进展情况的专项说明中相关内容存在重大差异；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4.在年度报告编制及审计过程中，公司与会计师事务所对影响公司是否触及退市情形的关键事项存在重大分歧；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5.在法定期限内披露年度报告存在障碍的；</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.影响公司是否触及退市情形的事项尚未核实且未履行信息披露义务；</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.公司预计退市风险出现重大变化，其股票可能被终止上市；</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.本所要求的其他情形。</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（三）强化年度报告进展披露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财务类退市风险公司应当分别在年度报告预约披露日前</w:t>
      </w:r>
      <w:r>
        <w:rPr>
          <w:rFonts w:ascii="仿宋_GB2312" w:hAnsi="仿宋_GB2312" w:eastAsia="仿宋_GB2312" w:cs="仿宋_GB2312"/>
          <w:sz w:val="32"/>
          <w:szCs w:val="32"/>
        </w:rPr>
        <w:t>20个交易日和10个交易日，披露年度报告编制及最新审计进展情况，说明是否存在可能导致财务会计报告被出具非无保留意见的事项及具体情况；上一年度被出具非无保留意见的，应当说明涉及事项是否消除，仍未消除的应当说明具体情况；在重大会计处理、关键审计事项、审计意见类型、审计报告出具时间安排等事项上是否与会计师事务所存在重大分歧。会计师事务所在前述事项上与公司存在重大分歧的，可以向</w:t>
      </w:r>
      <w:r>
        <w:rPr>
          <w:rFonts w:hint="eastAsia" w:ascii="仿宋_GB2312" w:hAnsi="仿宋_GB2312" w:eastAsia="仿宋_GB2312" w:cs="仿宋_GB2312"/>
          <w:sz w:val="32"/>
          <w:szCs w:val="32"/>
        </w:rPr>
        <w:t>本所报告并出具专项说明文件，说明具体分歧及最新审计进展情况，并可根据需要说明公司上一年度非无保留意见消除情况（如有）、是否存在可能对</w:t>
      </w:r>
      <w:r>
        <w:rPr>
          <w:rFonts w:ascii="仿宋_GB2312" w:hAnsi="仿宋_GB2312" w:eastAsia="仿宋_GB2312" w:cs="仿宋_GB2312"/>
          <w:sz w:val="32"/>
          <w:szCs w:val="32"/>
        </w:rPr>
        <w:t>年度财务会计报告出具非无保留意见的情形及其原因等</w:t>
      </w:r>
      <w:r>
        <w:rPr>
          <w:rFonts w:hint="eastAsia" w:ascii="仿宋_GB2312" w:hAnsi="仿宋_GB2312" w:eastAsia="仿宋_GB2312" w:cs="仿宋_GB2312"/>
          <w:sz w:val="32"/>
          <w:szCs w:val="32"/>
        </w:rPr>
        <w:t>。</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（四）依法披露年度报告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财务类退市风险公司应当及时组织人员合理制定</w:t>
      </w:r>
      <w:r>
        <w:rPr>
          <w:rFonts w:ascii="仿宋_GB2312" w:hAnsi="仿宋_GB2312" w:eastAsia="仿宋_GB2312" w:cs="仿宋_GB2312"/>
          <w:sz w:val="32"/>
          <w:szCs w:val="32"/>
        </w:rPr>
        <w:t>年度报告的编制、审议、披露程序，明确重要时间节点及工作计划，确保于</w:t>
      </w:r>
      <w:r>
        <w:rPr>
          <w:rFonts w:hint="eastAsia" w:ascii="仿宋_GB2312" w:hAnsi="仿宋_GB2312" w:eastAsia="仿宋_GB2312" w:cs="仿宋_GB2312"/>
          <w:sz w:val="32"/>
          <w:szCs w:val="32"/>
        </w:rPr>
        <w:t>会计年度结束之日起四个月内</w:t>
      </w:r>
      <w:r>
        <w:rPr>
          <w:rFonts w:ascii="仿宋_GB2312" w:hAnsi="仿宋_GB2312" w:eastAsia="仿宋_GB2312" w:cs="仿宋_GB2312"/>
          <w:sz w:val="32"/>
          <w:szCs w:val="32"/>
        </w:rPr>
        <w:t>完成年度报告的披露工作。未</w:t>
      </w:r>
      <w:r>
        <w:rPr>
          <w:rFonts w:hint="eastAsia" w:ascii="仿宋_GB2312" w:hAnsi="仿宋_GB2312" w:eastAsia="仿宋_GB2312" w:cs="仿宋_GB2312"/>
          <w:sz w:val="32"/>
          <w:szCs w:val="32"/>
        </w:rPr>
        <w:t>在法定期限</w:t>
      </w:r>
      <w:r>
        <w:rPr>
          <w:rFonts w:ascii="仿宋_GB2312" w:hAnsi="仿宋_GB2312" w:eastAsia="仿宋_GB2312" w:cs="仿宋_GB2312"/>
          <w:sz w:val="32"/>
          <w:szCs w:val="32"/>
        </w:rPr>
        <w:t>内披露过半数董事保证真实、准确、完整的年度报告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触及《股票上市规则》对应情形的，本所将依规</w:t>
      </w:r>
      <w:r>
        <w:rPr>
          <w:rFonts w:hint="eastAsia" w:ascii="仿宋_GB2312" w:hAnsi="仿宋_GB2312" w:eastAsia="仿宋_GB2312" w:cs="仿宋_GB2312"/>
          <w:sz w:val="32"/>
          <w:szCs w:val="32"/>
        </w:rPr>
        <w:t>作出股票终止上市决定。</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三、财务类退市风险重点核实事项</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（一）营业收入扣除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1.年度</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经审计的</w:t>
      </w:r>
      <w:r>
        <w:rPr>
          <w:rFonts w:ascii="仿宋_GB2312" w:hAnsi="仿宋_GB2312" w:eastAsia="仿宋_GB2312" w:cs="仿宋_GB2312"/>
          <w:sz w:val="32"/>
          <w:szCs w:val="32"/>
        </w:rPr>
        <w:t>利润总额、净利润或者</w:t>
      </w:r>
      <w:r>
        <w:rPr>
          <w:rFonts w:hint="eastAsia" w:ascii="仿宋_GB2312" w:hAnsi="仿宋_GB2312" w:eastAsia="仿宋_GB2312" w:cs="仿宋_GB2312"/>
          <w:sz w:val="32"/>
          <w:szCs w:val="32"/>
        </w:rPr>
        <w:t>扣除非经常性损益后的净利润孰低者为负值的公司，应当按照本指南《第七号——财务类退市指标：营业收入扣除》的要求，扣除与主营业务无关的业务收入和不具备商业实质的收入，在年度报告中按项目逐一列示营业收入扣除的具体情况及扣除后的营业收入金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类退市风险公司应当确保营业收入确认的合规性、真实性、准确性及完整性，综合考虑相关收入同公司正常经营业务的关联程度以及可持续性，结合自身行业特点、经营模式等做出谨慎判断，依规进行营业收入扣除。</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（二）非经常性损益认定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务类退市风险公司应当严格按照《公开发行证券的公司信息披露解释性公告第1号——非经常性损益》中定义及列举的具体项目认定非经常性损益。在认定过程中应当重点考虑3个要素，即“与正常经营业务的相关性”“性质特殊和偶发性”和“体现公司正常的经营业绩和盈利能力”，并遵循三项判断原则，即“基于交易和事项的经济性质”“结合行业特点和业务模式”和“遵循重要性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类退市风险公司应当综合考虑相关损益同公司正常经营业务的关联程度、可持续性及发生频次，结合自身业务实际情况以及对报表使用者决策的影响做出合理判断，并在年度报告中予以充分披露，不应简单把规则列举的项目认定为非经常性损益，未列举项目即认定为经常性损益。</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（三）重大交易事项</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财务类退市风险公司实施债务重组</w:t>
      </w:r>
      <w:r>
        <w:rPr>
          <w:rFonts w:ascii="仿宋_GB2312" w:hAnsi="仿宋_GB2312" w:eastAsia="仿宋_GB2312" w:cs="仿宋_GB2312"/>
          <w:sz w:val="32"/>
          <w:szCs w:val="32"/>
        </w:rPr>
        <w:t>、资产</w:t>
      </w:r>
      <w:r>
        <w:rPr>
          <w:rFonts w:hint="eastAsia" w:ascii="仿宋_GB2312" w:hAnsi="仿宋_GB2312" w:eastAsia="仿宋_GB2312" w:cs="仿宋_GB2312"/>
          <w:sz w:val="32"/>
          <w:szCs w:val="32"/>
        </w:rPr>
        <w:t>捐赠</w:t>
      </w:r>
      <w:r>
        <w:rPr>
          <w:rFonts w:ascii="仿宋_GB2312" w:hAnsi="仿宋_GB2312" w:eastAsia="仿宋_GB2312" w:cs="仿宋_GB2312"/>
          <w:sz w:val="32"/>
          <w:szCs w:val="32"/>
        </w:rPr>
        <w:t>或其他重大交易，应当</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披露前充分核实是否</w:t>
      </w:r>
      <w:r>
        <w:rPr>
          <w:rFonts w:hint="eastAsia" w:ascii="仿宋_GB2312" w:hAnsi="仿宋_GB2312" w:eastAsia="仿宋_GB2312" w:cs="仿宋_GB2312"/>
          <w:sz w:val="32"/>
          <w:szCs w:val="32"/>
        </w:rPr>
        <w:t>附有前提条件，是否属于可</w:t>
      </w:r>
      <w:r>
        <w:rPr>
          <w:rFonts w:ascii="仿宋_GB2312" w:hAnsi="仿宋_GB2312" w:eastAsia="仿宋_GB2312" w:cs="仿宋_GB2312"/>
          <w:sz w:val="32"/>
          <w:szCs w:val="32"/>
        </w:rPr>
        <w:t>撤销情形，是否</w:t>
      </w:r>
      <w:r>
        <w:rPr>
          <w:rFonts w:hint="eastAsia" w:ascii="仿宋_GB2312" w:hAnsi="仿宋_GB2312" w:eastAsia="仿宋_GB2312" w:cs="仿宋_GB2312"/>
          <w:sz w:val="32"/>
          <w:szCs w:val="32"/>
        </w:rPr>
        <w:t>明显缺乏商业合理性，</w:t>
      </w:r>
      <w:r>
        <w:rPr>
          <w:rFonts w:ascii="仿宋_GB2312" w:hAnsi="仿宋_GB2312" w:eastAsia="仿宋_GB2312" w:cs="仿宋_GB2312"/>
          <w:sz w:val="32"/>
          <w:szCs w:val="32"/>
        </w:rPr>
        <w:t>是否存在重大不确定性</w:t>
      </w:r>
      <w:r>
        <w:rPr>
          <w:rFonts w:hint="eastAsia" w:ascii="仿宋_GB2312" w:hAnsi="仿宋_GB2312" w:eastAsia="仿宋_GB2312" w:cs="仿宋_GB2312"/>
          <w:sz w:val="32"/>
          <w:szCs w:val="32"/>
        </w:rPr>
        <w:t>或待</w:t>
      </w:r>
      <w:r>
        <w:rPr>
          <w:rFonts w:ascii="仿宋_GB2312" w:hAnsi="仿宋_GB2312" w:eastAsia="仿宋_GB2312" w:cs="仿宋_GB2312"/>
          <w:sz w:val="32"/>
          <w:szCs w:val="32"/>
        </w:rPr>
        <w:t>核实的重大</w:t>
      </w:r>
      <w:r>
        <w:rPr>
          <w:rFonts w:hint="eastAsia" w:ascii="仿宋_GB2312" w:hAnsi="仿宋_GB2312" w:eastAsia="仿宋_GB2312" w:cs="仿宋_GB2312"/>
          <w:sz w:val="32"/>
          <w:szCs w:val="32"/>
        </w:rPr>
        <w:t>疑点。在</w:t>
      </w:r>
      <w:r>
        <w:rPr>
          <w:rFonts w:ascii="仿宋_GB2312" w:hAnsi="仿宋_GB2312" w:eastAsia="仿宋_GB2312" w:cs="仿宋_GB2312"/>
          <w:sz w:val="32"/>
          <w:szCs w:val="32"/>
        </w:rPr>
        <w:t>前述事项尚未</w:t>
      </w:r>
      <w:r>
        <w:rPr>
          <w:rFonts w:hint="eastAsia" w:ascii="仿宋_GB2312" w:hAnsi="仿宋_GB2312" w:eastAsia="仿宋_GB2312" w:cs="仿宋_GB2312"/>
          <w:sz w:val="32"/>
          <w:szCs w:val="32"/>
        </w:rPr>
        <w:t>消除</w:t>
      </w:r>
      <w:r>
        <w:rPr>
          <w:rFonts w:ascii="仿宋_GB2312" w:hAnsi="仿宋_GB2312" w:eastAsia="仿宋_GB2312" w:cs="仿宋_GB2312"/>
          <w:sz w:val="32"/>
          <w:szCs w:val="32"/>
        </w:rPr>
        <w:t>或充分论证前，</w:t>
      </w:r>
      <w:r>
        <w:rPr>
          <w:rFonts w:hint="eastAsia" w:ascii="仿宋_GB2312" w:hAnsi="仿宋_GB2312" w:eastAsia="仿宋_GB2312" w:cs="仿宋_GB2312"/>
          <w:sz w:val="32"/>
          <w:szCs w:val="32"/>
        </w:rPr>
        <w:t>财务类</w:t>
      </w:r>
      <w:r>
        <w:rPr>
          <w:rFonts w:ascii="仿宋_GB2312" w:hAnsi="仿宋_GB2312" w:eastAsia="仿宋_GB2312" w:cs="仿宋_GB2312"/>
          <w:sz w:val="32"/>
          <w:szCs w:val="32"/>
        </w:rPr>
        <w:t>退市风险公司不得随意</w:t>
      </w:r>
      <w:r>
        <w:rPr>
          <w:rFonts w:hint="eastAsia" w:ascii="仿宋_GB2312" w:hAnsi="仿宋_GB2312" w:eastAsia="仿宋_GB2312" w:cs="仿宋_GB2312"/>
          <w:sz w:val="32"/>
          <w:szCs w:val="32"/>
        </w:rPr>
        <w:t>对外</w:t>
      </w:r>
      <w:r>
        <w:rPr>
          <w:rFonts w:ascii="仿宋_GB2312" w:hAnsi="仿宋_GB2312" w:eastAsia="仿宋_GB2312" w:cs="仿宋_GB2312"/>
          <w:sz w:val="32"/>
          <w:szCs w:val="32"/>
        </w:rPr>
        <w:t>披露</w:t>
      </w:r>
      <w:r>
        <w:rPr>
          <w:rFonts w:hint="eastAsia" w:ascii="仿宋_GB2312" w:hAnsi="仿宋_GB2312" w:eastAsia="仿宋_GB2312" w:cs="仿宋_GB2312"/>
          <w:sz w:val="32"/>
          <w:szCs w:val="32"/>
        </w:rPr>
        <w:t>债务重组</w:t>
      </w:r>
      <w:r>
        <w:rPr>
          <w:rFonts w:ascii="仿宋_GB2312" w:hAnsi="仿宋_GB2312" w:eastAsia="仿宋_GB2312" w:cs="仿宋_GB2312"/>
          <w:sz w:val="32"/>
          <w:szCs w:val="32"/>
        </w:rPr>
        <w:t>、资产</w:t>
      </w:r>
      <w:r>
        <w:rPr>
          <w:rFonts w:hint="eastAsia" w:ascii="仿宋_GB2312" w:hAnsi="仿宋_GB2312" w:eastAsia="仿宋_GB2312" w:cs="仿宋_GB2312"/>
          <w:sz w:val="32"/>
          <w:szCs w:val="32"/>
        </w:rPr>
        <w:t>捐赠</w:t>
      </w:r>
      <w:r>
        <w:rPr>
          <w:rFonts w:ascii="仿宋_GB2312" w:hAnsi="仿宋_GB2312" w:eastAsia="仿宋_GB2312" w:cs="仿宋_GB2312"/>
          <w:sz w:val="32"/>
          <w:szCs w:val="32"/>
        </w:rPr>
        <w:t>或其他重大交易</w:t>
      </w:r>
      <w:r>
        <w:rPr>
          <w:rFonts w:hint="eastAsia" w:ascii="仿宋_GB2312" w:hAnsi="仿宋_GB2312" w:eastAsia="仿宋_GB2312" w:cs="仿宋_GB2312"/>
          <w:sz w:val="32"/>
          <w:szCs w:val="32"/>
        </w:rPr>
        <w:t>等公告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避免</w:t>
      </w:r>
      <w:r>
        <w:rPr>
          <w:rFonts w:ascii="仿宋_GB2312" w:hAnsi="仿宋_GB2312" w:eastAsia="仿宋_GB2312" w:cs="仿宋_GB2312"/>
          <w:sz w:val="32"/>
          <w:szCs w:val="32"/>
        </w:rPr>
        <w:t>误导投资者。</w:t>
      </w:r>
    </w:p>
    <w:p>
      <w:pPr>
        <w:spacing w:line="560" w:lineRule="exact"/>
        <w:ind w:firstLine="640" w:firstLineChars="200"/>
        <w:rPr>
          <w:bCs/>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财务类</w:t>
      </w:r>
      <w:r>
        <w:rPr>
          <w:rFonts w:ascii="仿宋_GB2312" w:hAnsi="仿宋_GB2312" w:eastAsia="仿宋_GB2312" w:cs="仿宋_GB2312"/>
          <w:sz w:val="32"/>
          <w:szCs w:val="32"/>
        </w:rPr>
        <w:t>退市风险公司发生的交易达到《股票上市规则》第6.1.3条的规定标准</w:t>
      </w:r>
      <w:r>
        <w:rPr>
          <w:rFonts w:hint="eastAsia" w:ascii="仿宋_GB2312" w:hAnsi="仿宋_GB2312" w:eastAsia="仿宋_GB2312" w:cs="仿宋_GB2312"/>
          <w:sz w:val="32"/>
          <w:szCs w:val="32"/>
        </w:rPr>
        <w:t>，交易标的为公司股权的，应当同时披露标的资产经会计师事务所审计的最近一年又一期财务会计报告和由资产评估机构出具的标的资产评估报告。会计师事务所发表的审计意见应当为标准无保留意见。</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（四）非标审计意见涉及事项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1.财务类退市风险公司应当高度关注上期非标准审计意见涉及事项在本期的进展情况，以及可能导致</w:t>
      </w:r>
      <w:r>
        <w:rPr>
          <w:rFonts w:ascii="仿宋_GB2312" w:hAnsi="仿宋_GB2312" w:eastAsia="仿宋_GB2312" w:cs="仿宋_GB2312"/>
          <w:sz w:val="32"/>
          <w:szCs w:val="32"/>
        </w:rPr>
        <w:t>本期</w:t>
      </w:r>
      <w:r>
        <w:rPr>
          <w:rFonts w:hint="eastAsia" w:ascii="仿宋_GB2312" w:hAnsi="仿宋_GB2312" w:eastAsia="仿宋_GB2312" w:cs="仿宋_GB2312"/>
          <w:sz w:val="32"/>
          <w:szCs w:val="32"/>
        </w:rPr>
        <w:t>财务</w:t>
      </w:r>
      <w:r>
        <w:rPr>
          <w:rFonts w:ascii="仿宋_GB2312" w:hAnsi="仿宋_GB2312" w:eastAsia="仿宋_GB2312" w:cs="仿宋_GB2312"/>
          <w:sz w:val="32"/>
          <w:szCs w:val="32"/>
        </w:rPr>
        <w:t>报告</w:t>
      </w:r>
      <w:r>
        <w:rPr>
          <w:rFonts w:hint="eastAsia" w:ascii="仿宋_GB2312" w:hAnsi="仿宋_GB2312" w:eastAsia="仿宋_GB2312" w:cs="仿宋_GB2312"/>
          <w:sz w:val="32"/>
          <w:szCs w:val="32"/>
        </w:rPr>
        <w:t>被出具非标准审计意见的新增事项，依法依规采取措施消除相关事项影响，配合会计师事务所的工作，尊重其独立判断和发表的审计意见，禁止通过年末突击变更会计师事务所等方式“购买”审计意见以规避退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于上期为非标准审计意见而本期为标准无保留审计意见的财务类退市风险公司，董事会应当出具专项说明，披露上期非标审计意见事项的具体内容、消除上期非标审计意见事项的具体措施和相关事项影响在本期是否已切实消除，公司全体董事应当就该事项逐一发表明确意见。</w:t>
      </w:r>
    </w:p>
    <w:p>
      <w:pPr>
        <w:widowControl/>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（五）会计处理事项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务类退市风险公司应当切实采取有效措施，改善公司基本面，提高持续经营能力，严格按照《企业会计准则》《监管规则适用指引——会计类第1号》《监管规则适用指引——会计类第2号》等规则进行会计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务类退市风险公司不得通过构造交易或关联交易虚增或提前确认收入；不得通过缺乏商业实质的大额资产交易或不当资本运作增加净利润或净资产；不得随意计提或转回大额资产减值；不得滥用会计差错更正、会计政策变更或会计估计等方式虚增净利润或净资产；不得突击达成明显缺乏商业合理性、可能附有前提条件的债务豁免或者资产捐赠，实现净资产或净利润转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财务类</w:t>
      </w:r>
      <w:r>
        <w:rPr>
          <w:rFonts w:ascii="仿宋_GB2312" w:hAnsi="仿宋_GB2312" w:eastAsia="仿宋_GB2312" w:cs="仿宋_GB2312"/>
          <w:sz w:val="32"/>
          <w:szCs w:val="32"/>
        </w:rPr>
        <w:t>退市风险公司</w:t>
      </w:r>
      <w:r>
        <w:rPr>
          <w:rFonts w:hint="eastAsia" w:ascii="仿宋_GB2312" w:hAnsi="仿宋_GB2312" w:eastAsia="仿宋_GB2312" w:cs="仿宋_GB2312"/>
          <w:sz w:val="32"/>
          <w:szCs w:val="32"/>
        </w:rPr>
        <w:t>不得在破产重整或债务重组方案实施的重大不确定性消除前，提前确认债务重组收益。公司应当充分核实债务重组协议执行过程及结果是否存在重大不确定性。</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四、交易类退市风险信息披露</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股票收盘价</w:t>
      </w:r>
      <w:r>
        <w:rPr>
          <w:rFonts w:ascii="仿宋_GB2312" w:hAnsi="仿宋_GB2312" w:eastAsia="仿宋_GB2312" w:cs="仿宋_GB2312"/>
          <w:sz w:val="32"/>
          <w:szCs w:val="32"/>
        </w:rPr>
        <w:t>低于1元</w:t>
      </w:r>
      <w:r>
        <w:rPr>
          <w:rFonts w:hint="eastAsia" w:ascii="仿宋_GB2312" w:hAnsi="仿宋_GB2312" w:eastAsia="仿宋_GB2312" w:cs="仿宋_GB2312"/>
          <w:sz w:val="32"/>
          <w:szCs w:val="32"/>
        </w:rPr>
        <w:t>及</w:t>
      </w:r>
      <w:r>
        <w:rPr>
          <w:rFonts w:hint="eastAsia" w:ascii="仿宋_GB2312" w:hAnsi="宋体" w:eastAsia="仿宋_GB2312"/>
          <w:sz w:val="32"/>
          <w:szCs w:val="32"/>
        </w:rPr>
        <w:t>股票收盘总市值低于5亿元</w:t>
      </w:r>
      <w:r>
        <w:rPr>
          <w:rFonts w:ascii="仿宋_GB2312" w:hAnsi="仿宋_GB2312" w:eastAsia="仿宋_GB2312" w:cs="仿宋_GB2312"/>
          <w:sz w:val="32"/>
          <w:szCs w:val="32"/>
        </w:rPr>
        <w:t>的上市公司</w:t>
      </w:r>
      <w:r>
        <w:rPr>
          <w:rFonts w:hint="eastAsia" w:ascii="仿宋_GB2312" w:hAnsi="仿宋_GB2312" w:eastAsia="仿宋_GB2312" w:cs="仿宋_GB2312"/>
          <w:sz w:val="32"/>
          <w:szCs w:val="32"/>
        </w:rPr>
        <w:t>（包含</w:t>
      </w:r>
      <w:r>
        <w:rPr>
          <w:rFonts w:hint="eastAsia" w:ascii="仿宋_GB2312" w:hAnsi="宋体" w:eastAsia="仿宋_GB2312"/>
          <w:sz w:val="32"/>
          <w:szCs w:val="32"/>
        </w:rPr>
        <w:t>股票收盘总市值</w:t>
      </w:r>
      <w:r>
        <w:rPr>
          <w:rFonts w:hint="eastAsia" w:ascii="仿宋_GB2312" w:hAnsi="仿宋_GB2312" w:eastAsia="仿宋_GB2312" w:cs="仿宋_GB2312"/>
          <w:sz w:val="32"/>
          <w:szCs w:val="32"/>
        </w:rPr>
        <w:t>低于3亿元的B股公司）应当严格遵守信息披露规则，不得利用信息披露不当影响公司股票及其衍生品种价格、误导投资者，并按照以下要求进行信息披露：</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1.发布大股东</w:t>
      </w:r>
      <w:r>
        <w:rPr>
          <w:rFonts w:hint="eastAsia" w:ascii="仿宋_GB2312" w:hAnsi="仿宋_GB2312" w:eastAsia="仿宋_GB2312" w:cs="仿宋_GB2312"/>
          <w:sz w:val="32"/>
          <w:szCs w:val="32"/>
        </w:rPr>
        <w:t>、董事、高管增持计划公告，相关增持主体应同步说明是否具备履行能力。本所可以要求相关方提供证明性文件。</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2.发布回购方案公告，</w:t>
      </w:r>
      <w:r>
        <w:rPr>
          <w:rFonts w:hint="eastAsia" w:ascii="仿宋_GB2312" w:hAnsi="仿宋_GB2312" w:eastAsia="仿宋_GB2312" w:cs="仿宋_GB2312"/>
          <w:sz w:val="32"/>
          <w:szCs w:val="32"/>
        </w:rPr>
        <w:t>公司应充分说明自身是否具备履行能力和持续经营能力，回购规模和回购资金等是否与公司的实际财务状况相匹配。本所可以要求公司提供证明性文件，</w:t>
      </w:r>
      <w:r>
        <w:rPr>
          <w:rFonts w:ascii="仿宋_GB2312" w:hAnsi="仿宋_GB2312" w:eastAsia="仿宋_GB2312" w:cs="仿宋_GB2312"/>
          <w:sz w:val="32"/>
          <w:szCs w:val="32"/>
        </w:rPr>
        <w:t>或要求</w:t>
      </w:r>
      <w:r>
        <w:rPr>
          <w:rFonts w:hint="eastAsia" w:ascii="仿宋_GB2312" w:hAnsi="仿宋_GB2312" w:eastAsia="仿宋_GB2312" w:cs="仿宋_GB2312"/>
          <w:sz w:val="32"/>
          <w:szCs w:val="32"/>
        </w:rPr>
        <w:t>中介机构针对公司资金状况、回购方案合理性等发表意见。</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3.发布要约收购提示性公告，</w:t>
      </w:r>
      <w:r>
        <w:rPr>
          <w:rFonts w:hint="eastAsia" w:ascii="仿宋_GB2312" w:hAnsi="仿宋_GB2312" w:eastAsia="仿宋_GB2312" w:cs="仿宋_GB2312"/>
          <w:sz w:val="32"/>
          <w:szCs w:val="32"/>
        </w:rPr>
        <w:t>收购人应同步提供具备履行能力的证明性文件，财务顾问应就本次要约收购是否合法合规、收购人是否具备实际履行能力发表意见。</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4.发布控制权变更公告，权益变动相关方应当充分说明相关股份是否存在高比例质押、股权冻结等明显阻碍控制权变动的情形，是否已取得相关质权人或债权人同意；股权受让方应</w:t>
      </w:r>
      <w:r>
        <w:rPr>
          <w:rFonts w:hint="eastAsia" w:ascii="仿宋_GB2312" w:hAnsi="仿宋_GB2312" w:eastAsia="仿宋_GB2312" w:cs="仿宋_GB2312"/>
          <w:sz w:val="32"/>
          <w:szCs w:val="32"/>
        </w:rPr>
        <w:t>说明</w:t>
      </w:r>
      <w:r>
        <w:rPr>
          <w:rFonts w:ascii="仿宋_GB2312" w:hAnsi="仿宋_GB2312" w:eastAsia="仿宋_GB2312" w:cs="仿宋_GB2312"/>
          <w:sz w:val="32"/>
          <w:szCs w:val="32"/>
        </w:rPr>
        <w:t>自身</w:t>
      </w:r>
      <w:r>
        <w:rPr>
          <w:rFonts w:hint="eastAsia" w:ascii="仿宋_GB2312" w:hAnsi="仿宋_GB2312" w:eastAsia="仿宋_GB2312" w:cs="仿宋_GB2312"/>
          <w:sz w:val="32"/>
          <w:szCs w:val="32"/>
        </w:rPr>
        <w:t>是否</w:t>
      </w:r>
      <w:r>
        <w:rPr>
          <w:rFonts w:ascii="仿宋_GB2312" w:hAnsi="仿宋_GB2312" w:eastAsia="仿宋_GB2312" w:cs="仿宋_GB2312"/>
          <w:sz w:val="32"/>
          <w:szCs w:val="32"/>
        </w:rPr>
        <w:t>具备履约能力</w:t>
      </w:r>
      <w:r>
        <w:rPr>
          <w:rFonts w:hint="eastAsia" w:ascii="仿宋_GB2312" w:hAnsi="仿宋_GB2312" w:eastAsia="仿宋_GB2312" w:cs="仿宋_GB2312"/>
          <w:sz w:val="32"/>
          <w:szCs w:val="32"/>
        </w:rPr>
        <w:t>，同时充分披露股权转让方和受让方是否存在一致行动关系或其他一揽子交易安排。本所可以要求相关方提供证明性文件。</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本所</w:t>
      </w:r>
      <w:r>
        <w:rPr>
          <w:rFonts w:hint="eastAsia" w:ascii="仿宋_GB2312" w:hAnsi="仿宋_GB2312" w:eastAsia="仿宋_GB2312" w:cs="仿宋_GB2312"/>
          <w:sz w:val="32"/>
          <w:szCs w:val="32"/>
        </w:rPr>
        <w:t>可以</w:t>
      </w:r>
      <w:r>
        <w:rPr>
          <w:rFonts w:ascii="仿宋_GB2312" w:hAnsi="仿宋_GB2312" w:eastAsia="仿宋_GB2312" w:cs="仿宋_GB2312"/>
          <w:sz w:val="32"/>
          <w:szCs w:val="32"/>
        </w:rPr>
        <w:t>要求</w:t>
      </w:r>
      <w:r>
        <w:rPr>
          <w:rFonts w:hint="eastAsia" w:ascii="仿宋_GB2312" w:hAnsi="仿宋_GB2312" w:eastAsia="仿宋_GB2312" w:cs="仿宋_GB2312"/>
          <w:sz w:val="32"/>
          <w:szCs w:val="32"/>
        </w:rPr>
        <w:t>股票</w:t>
      </w:r>
      <w:r>
        <w:rPr>
          <w:rFonts w:ascii="仿宋_GB2312" w:hAnsi="仿宋_GB2312" w:eastAsia="仿宋_GB2312" w:cs="仿宋_GB2312"/>
          <w:sz w:val="32"/>
          <w:szCs w:val="32"/>
        </w:rPr>
        <w:t>收盘价</w:t>
      </w:r>
      <w:r>
        <w:rPr>
          <w:rFonts w:hint="eastAsia" w:ascii="仿宋_GB2312" w:hAnsi="仿宋_GB2312" w:eastAsia="仿宋_GB2312" w:cs="仿宋_GB2312"/>
          <w:sz w:val="32"/>
          <w:szCs w:val="32"/>
        </w:rPr>
        <w:t>接近1元及股票收盘总市值接近5亿元的</w:t>
      </w:r>
      <w:r>
        <w:rPr>
          <w:rFonts w:ascii="仿宋_GB2312" w:hAnsi="仿宋_GB2312" w:eastAsia="仿宋_GB2312" w:cs="仿宋_GB2312"/>
          <w:sz w:val="32"/>
          <w:szCs w:val="32"/>
        </w:rPr>
        <w:t>公司</w:t>
      </w:r>
      <w:r>
        <w:rPr>
          <w:rFonts w:hint="eastAsia" w:ascii="仿宋_GB2312" w:hAnsi="仿宋_GB2312" w:eastAsia="仿宋_GB2312" w:cs="仿宋_GB2312"/>
          <w:sz w:val="32"/>
          <w:szCs w:val="32"/>
        </w:rPr>
        <w:t>（包含</w:t>
      </w:r>
      <w:r>
        <w:rPr>
          <w:rFonts w:hint="eastAsia" w:ascii="仿宋_GB2312" w:hAnsi="宋体" w:eastAsia="仿宋_GB2312"/>
          <w:sz w:val="32"/>
          <w:szCs w:val="32"/>
        </w:rPr>
        <w:t>股票收盘总市值</w:t>
      </w:r>
      <w:r>
        <w:rPr>
          <w:rFonts w:hint="eastAsia" w:ascii="仿宋_GB2312" w:hAnsi="仿宋_GB2312" w:eastAsia="仿宋_GB2312" w:cs="仿宋_GB2312"/>
          <w:sz w:val="32"/>
          <w:szCs w:val="32"/>
        </w:rPr>
        <w:t>接近3亿元的B股公司）参照</w:t>
      </w:r>
      <w:r>
        <w:rPr>
          <w:rFonts w:ascii="仿宋_GB2312" w:hAnsi="仿宋_GB2312" w:eastAsia="仿宋_GB2312" w:cs="仿宋_GB2312"/>
          <w:sz w:val="32"/>
          <w:szCs w:val="32"/>
        </w:rPr>
        <w:t>上述要求</w:t>
      </w:r>
      <w:r>
        <w:rPr>
          <w:rFonts w:hint="eastAsia" w:ascii="仿宋_GB2312" w:hAnsi="仿宋_GB2312" w:eastAsia="仿宋_GB2312" w:cs="仿宋_GB2312"/>
          <w:sz w:val="32"/>
          <w:szCs w:val="32"/>
        </w:rPr>
        <w:t>进行</w:t>
      </w:r>
      <w:r>
        <w:rPr>
          <w:rFonts w:ascii="仿宋_GB2312" w:hAnsi="仿宋_GB2312" w:eastAsia="仿宋_GB2312" w:cs="仿宋_GB2312"/>
          <w:sz w:val="32"/>
          <w:szCs w:val="32"/>
        </w:rPr>
        <w:t>信息披露</w:t>
      </w:r>
      <w:r>
        <w:rPr>
          <w:rFonts w:hint="eastAsia" w:ascii="仿宋_GB2312" w:hAnsi="仿宋_GB2312" w:eastAsia="仿宋_GB2312" w:cs="仿宋_GB2312"/>
          <w:sz w:val="32"/>
          <w:szCs w:val="32"/>
        </w:rPr>
        <w:t>。</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五、重大违法类退市风险信息披露</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上市公司可能触及重大违法强制退市情形的，应当在知悉被相关行政机关立案调查或者被人民检察院提起公诉时及时对外披露，并在其后每月披露1次风险提示公告，说明相关情况进展，并就其股票可能被实施重大违法强制退市进行风险提示。本所可以视情况要求公司增加风险提示公告的披露次数。</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上市公司知悉相关行政机关行政处罚事先告知书或者人民法院作出的司法裁判当日，应当及时披露有关内容，如相关违法违规事实涉及的财务指标可能导致公司触及重大违法类强制退市情形的，应当及时披露相关事实触及重大违法类强制退市的具体情况。</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3.公司股票因可能触及重大违法类强制退市情形被实施退</w:t>
      </w:r>
      <w:r>
        <w:rPr>
          <w:rFonts w:hint="eastAsia" w:ascii="仿宋_GB2312" w:hAnsi="仿宋_GB2312" w:eastAsia="仿宋_GB2312" w:cs="仿宋_GB2312"/>
          <w:sz w:val="32"/>
          <w:szCs w:val="32"/>
        </w:rPr>
        <w:t>市风险警示期间，公司应当每</w:t>
      </w:r>
      <w:r>
        <w:rPr>
          <w:rFonts w:ascii="仿宋_GB2312" w:hAnsi="仿宋_GB2312" w:eastAsia="仿宋_GB2312" w:cs="仿宋_GB2312"/>
          <w:sz w:val="32"/>
          <w:szCs w:val="32"/>
        </w:rPr>
        <w:t>5个交易日披露1次相关事项进展情况，并就公司股票可能被实施重大违法类强制退市进行特别风险提示。</w:t>
      </w:r>
      <w:r>
        <w:rPr>
          <w:rFonts w:hint="eastAsia" w:ascii="仿宋_GB2312" w:hAnsi="仿宋_GB2312" w:eastAsia="仿宋_GB2312" w:cs="仿宋_GB2312"/>
          <w:sz w:val="32"/>
          <w:szCs w:val="32"/>
        </w:rPr>
        <w:t>本所可以视情况要求公司增加风险提示公告的披露次数。</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六、董事及高管履职要求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退市风险公司董事、高管应当忠实、勤勉履职，对年度报告编制及披露事项予以高度重视和持续关注，深入了解公司的生产经营和资本运作情况，重点关注公司财务数据是否存在异常迹象、上期非标准审计意见涉及事项在本期的进展情况和公司是否存在资金占用、违规担保、不当关联交易等违法违规事项。在审议过程中对相关事项存在疑问的，应当主动调查，获取充分、全面的决策依据信息，督促公司就重大不确定事项及时履行信息披露义务，充分提示风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（二）退市风险公司董事、高管应当确保财务报告内部控制有效实施，科学、客观认定内部控制缺陷;督促公司依法依规履行信息披露义务，更加</w:t>
      </w:r>
      <w:r>
        <w:rPr>
          <w:rFonts w:ascii="仿宋_GB2312" w:hAnsi="仿宋_GB2312" w:eastAsia="仿宋_GB2312" w:cs="仿宋_GB2312"/>
          <w:sz w:val="32"/>
          <w:szCs w:val="32"/>
        </w:rPr>
        <w:t>审慎地发布</w:t>
      </w:r>
      <w:r>
        <w:rPr>
          <w:rFonts w:hint="eastAsia" w:ascii="仿宋_GB2312" w:hAnsi="仿宋_GB2312" w:eastAsia="仿宋_GB2312" w:cs="仿宋_GB2312"/>
          <w:sz w:val="32"/>
          <w:szCs w:val="32"/>
        </w:rPr>
        <w:t>影响公司</w:t>
      </w:r>
      <w:r>
        <w:rPr>
          <w:rFonts w:ascii="仿宋_GB2312" w:hAnsi="仿宋_GB2312" w:eastAsia="仿宋_GB2312" w:cs="仿宋_GB2312"/>
          <w:sz w:val="32"/>
          <w:szCs w:val="32"/>
        </w:rPr>
        <w:t>上市地位相关</w:t>
      </w:r>
      <w:r>
        <w:rPr>
          <w:rFonts w:hint="eastAsia" w:ascii="仿宋_GB2312" w:hAnsi="仿宋_GB2312" w:eastAsia="仿宋_GB2312" w:cs="仿宋_GB2312"/>
          <w:sz w:val="32"/>
          <w:szCs w:val="32"/>
        </w:rPr>
        <w:t>的信息，确保真实、准确、完整，并充分提示风险，</w:t>
      </w:r>
      <w:r>
        <w:rPr>
          <w:rFonts w:ascii="仿宋_GB2312" w:hAnsi="仿宋_GB2312" w:eastAsia="仿宋_GB2312" w:cs="仿宋_GB2312"/>
          <w:sz w:val="32"/>
          <w:szCs w:val="32"/>
        </w:rPr>
        <w:t>避免对投资者</w:t>
      </w:r>
      <w:r>
        <w:rPr>
          <w:rFonts w:hint="eastAsia" w:ascii="仿宋_GB2312" w:hAnsi="仿宋_GB2312" w:eastAsia="仿宋_GB2312" w:cs="仿宋_GB2312"/>
          <w:sz w:val="32"/>
          <w:szCs w:val="32"/>
        </w:rPr>
        <w:t>决策</w:t>
      </w:r>
      <w:r>
        <w:rPr>
          <w:rFonts w:ascii="仿宋_GB2312" w:hAnsi="仿宋_GB2312" w:eastAsia="仿宋_GB2312" w:cs="仿宋_GB2312"/>
          <w:sz w:val="32"/>
          <w:szCs w:val="32"/>
        </w:rPr>
        <w:t>产生误导</w:t>
      </w:r>
      <w:r>
        <w:rPr>
          <w:rFonts w:hint="eastAsia" w:ascii="仿宋_GB2312" w:hAnsi="仿宋_GB2312" w:eastAsia="仿宋_GB2312" w:cs="仿宋_GB2312"/>
          <w:sz w:val="32"/>
          <w:szCs w:val="32"/>
        </w:rPr>
        <w:t>，及时纠正和报告公司的违规行为，维护上市公司和全体股东利益。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（三）退市风险公司审计委员会应当重点关注财务会计报告及定期报告中财务信息的真实性、准确性、完整性；关注财务会计报告的重大会计和审计问题；关注</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部</w:t>
      </w:r>
      <w:r>
        <w:rPr>
          <w:rFonts w:ascii="仿宋_GB2312" w:hAnsi="仿宋_GB2312" w:eastAsia="仿宋_GB2312" w:cs="仿宋_GB2312"/>
          <w:sz w:val="32"/>
          <w:szCs w:val="32"/>
        </w:rPr>
        <w:t>控制运行</w:t>
      </w:r>
      <w:r>
        <w:rPr>
          <w:rFonts w:hint="eastAsia" w:ascii="仿宋_GB2312" w:hAnsi="仿宋_GB2312" w:eastAsia="仿宋_GB2312" w:cs="仿宋_GB2312"/>
          <w:sz w:val="32"/>
          <w:szCs w:val="32"/>
        </w:rPr>
        <w:t>有效性;关注会计师事务所的专业胜任能力、投资者保护能力、独立性和诚信状况，在年度报告编制及披露的全过程加强与会计师事务所的沟通，对其审计工作进行持续性监督及审查。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退市风险公司董事、高管应当合理使用异议权，存在履职受限情形或发现违法违规行为线索的，应当及时提出纠正、改正意见，督促公司采取措施予以解决并及时履行信息披露义务，同时向本所报告，必要时可履行相应程序后独立聘请专业机构出具意见作为决策参考。在年度报告审议时确实存在异议的，应当详细说明异议原因及前期履职情况，不得以会计师事务所等中介机构意见代替其作出独立判断和发表针对性意见，不得仅以不了解情况为由拒绝发表相关意见。</w:t>
      </w:r>
    </w:p>
    <w:p>
      <w:pPr>
        <w:spacing w:line="560" w:lineRule="exact"/>
        <w:ind w:firstLine="640"/>
        <w:rPr>
          <w:rFonts w:ascii="黑体" w:hAnsi="黑体" w:eastAsia="黑体" w:cs="黑体"/>
          <w:sz w:val="32"/>
          <w:szCs w:val="32"/>
        </w:rPr>
      </w:pPr>
      <w:r>
        <w:rPr>
          <w:rFonts w:hint="eastAsia" w:ascii="黑体" w:hAnsi="黑体" w:eastAsia="黑体" w:cs="黑体"/>
          <w:sz w:val="32"/>
          <w:szCs w:val="32"/>
        </w:rPr>
        <w:t>七、中介机构核查要求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会计师事务所应当结合退</w:t>
      </w:r>
      <w:r>
        <w:rPr>
          <w:rFonts w:hint="eastAsia" w:ascii="仿宋_GB2312" w:hAnsi="仿宋_GB2312" w:eastAsia="仿宋_GB2312" w:cs="仿宋_GB2312"/>
          <w:sz w:val="32"/>
          <w:szCs w:val="32"/>
        </w:rPr>
        <w:t>市风险公司特点，提升风险合规意识，总所应当将本所承接的退市风险公司项目列为重点审计项目，加强审计执业质量控制。会计师事务所应高度关注与退市风险相关的重大错报风险，增加必要的真实性穿透核查。签字注册会计师及相关成员应当与总所项目质量控制及复核人员保持密切沟通，在会计师事务所内部就公司重大会计处理、关键审计事项、审计意见类型等尽早达成共识。会计师事务所应当发表恰当的审计意见，不得以“带强调事项段的无保留意见”代替“保留意见”等其他非标审计意见类型。退市风险公司变更会计师事务所的，新任会计师事务所应当充分了解公司情况，制定有针对性的审计计划和审计程序，做好前后任会计师沟通，对前任会计师与公司存在重大分歧的事项予以特别关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会计师事务所应当结合退</w:t>
      </w:r>
      <w:r>
        <w:rPr>
          <w:rFonts w:hint="eastAsia" w:ascii="仿宋_GB2312" w:hAnsi="仿宋_GB2312" w:eastAsia="仿宋_GB2312" w:cs="仿宋_GB2312"/>
          <w:sz w:val="32"/>
          <w:szCs w:val="32"/>
        </w:rPr>
        <w:t>市风险公司新增业务模式、历史经营情况等因素，核查公司营业收入扣除事项是否符合相关规定，就公司营业收入扣除事项是否合规及扣除后的营业收入金额出具专项核查意见；同时，应当充分关注公司收入确认的合规性，特别是上市公司是否存在以总额法代替净额法核算等情形；出具非标准审计意见涉及收入确认的，应当充分核查并在审计报告中说明非标准审计意见涉及的收入具体金额（出具无法表示意见的除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会计师事务所应当高度关注退</w:t>
      </w:r>
      <w:r>
        <w:rPr>
          <w:rFonts w:hint="eastAsia" w:ascii="仿宋_GB2312" w:hAnsi="仿宋_GB2312" w:eastAsia="仿宋_GB2312" w:cs="仿宋_GB2312"/>
          <w:sz w:val="32"/>
          <w:szCs w:val="32"/>
        </w:rPr>
        <w:t>市风险公司非经常性损益的认定情况，针对最近一个会计年度</w:t>
      </w:r>
      <w:r>
        <w:rPr>
          <w:rFonts w:ascii="仿宋_GB2312" w:hAnsi="仿宋_GB2312" w:eastAsia="仿宋_GB2312" w:cs="仿宋_GB2312"/>
          <w:sz w:val="32"/>
          <w:szCs w:val="32"/>
        </w:rPr>
        <w:t>经审计营业收入低于3亿元但</w:t>
      </w:r>
      <w:r>
        <w:rPr>
          <w:rFonts w:hint="eastAsia" w:ascii="仿宋_GB2312" w:hAnsi="仿宋_GB2312" w:eastAsia="仿宋_GB2312" w:cs="仿宋_GB2312"/>
          <w:sz w:val="32"/>
          <w:szCs w:val="32"/>
        </w:rPr>
        <w:t>利润总额、</w:t>
      </w:r>
      <w:r>
        <w:rPr>
          <w:rFonts w:ascii="仿宋_GB2312" w:hAnsi="仿宋_GB2312" w:eastAsia="仿宋_GB2312" w:cs="仿宋_GB2312"/>
          <w:sz w:val="32"/>
          <w:szCs w:val="32"/>
        </w:rPr>
        <w:t>净利润</w:t>
      </w:r>
      <w:r>
        <w:rPr>
          <w:rFonts w:hint="eastAsia" w:ascii="仿宋_GB2312" w:hAnsi="仿宋_GB2312" w:eastAsia="仿宋_GB2312" w:cs="仿宋_GB2312"/>
          <w:sz w:val="32"/>
          <w:szCs w:val="32"/>
        </w:rPr>
        <w:t>及扣除非经常性损益后的净利润均</w:t>
      </w:r>
      <w:r>
        <w:rPr>
          <w:rFonts w:ascii="仿宋_GB2312" w:hAnsi="仿宋_GB2312" w:eastAsia="仿宋_GB2312" w:cs="仿宋_GB2312"/>
          <w:sz w:val="32"/>
          <w:szCs w:val="32"/>
        </w:rPr>
        <w:t>为正值的公司，应当对其非经常性损益披露的真实性、准确性、完整性出具专项核查意见。在认定过程中，如核查发现公司从事的相关业务不具备可持续的经营和盈利模式，无法体现正常的经营业绩和盈利能力，应当审慎考虑将相关损益计入经常性损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会计师事务所应当详细核实前期非标准审计意见涉及事项在本期是否取得重要进展，恰当判断相关事项对本期财务报表的影响，审慎发表意见；同时，应当按照《公开发行证券的公司信息披露编报规则14号——非标准审计意见及其涉及事项的处理</w:t>
      </w:r>
      <w:r>
        <w:rPr>
          <w:rFonts w:hint="eastAsia" w:ascii="仿宋_GB2312" w:hAnsi="仿宋_GB2312" w:eastAsia="仿宋_GB2312" w:cs="仿宋_GB2312"/>
          <w:sz w:val="32"/>
          <w:szCs w:val="32"/>
        </w:rPr>
        <w:t>》《监管规则适用指引——审计类第</w:t>
      </w:r>
      <w:r>
        <w:rPr>
          <w:rFonts w:ascii="仿宋_GB2312" w:hAnsi="仿宋_GB2312" w:eastAsia="仿宋_GB2312" w:cs="仿宋_GB2312"/>
          <w:sz w:val="32"/>
          <w:szCs w:val="32"/>
        </w:rPr>
        <w:t>1号》</w:t>
      </w:r>
      <w:r>
        <w:rPr>
          <w:rFonts w:hint="eastAsia" w:ascii="仿宋_GB2312" w:hAnsi="仿宋_GB2312" w:eastAsia="仿宋_GB2312" w:cs="仿宋_GB2312"/>
          <w:sz w:val="32"/>
          <w:szCs w:val="32"/>
        </w:rPr>
        <w:t>等要求，针对审计意见中涉及的相关事项出具专项说明，充分披露“错报”“受限”、重要性水平、广泛性、上期非标事项在本期的情况等信息。</w:t>
      </w:r>
    </w:p>
    <w:p>
      <w:pPr>
        <w:widowControl/>
        <w:snapToGrid w:val="0"/>
        <w:spacing w:line="600" w:lineRule="exact"/>
        <w:ind w:firstLine="560" w:firstLineChars="200"/>
        <w:rPr>
          <w:rFonts w:ascii="仿宋_GB2312" w:eastAsia="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134297"/>
    </w:sdtPr>
    <w:sdtContent>
      <w:p>
        <w:pPr>
          <w:pStyle w:val="7"/>
          <w:jc w:val="center"/>
        </w:pPr>
        <w:r>
          <w:fldChar w:fldCharType="begin"/>
        </w:r>
        <w:r>
          <w:instrText xml:space="preserve"> PAGE   \* MERGEFORMAT </w:instrText>
        </w:r>
        <w:r>
          <w:fldChar w:fldCharType="separate"/>
        </w:r>
        <w:r>
          <w:rPr>
            <w:lang w:val="zh-CN"/>
          </w:rPr>
          <w:t>11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7F01D5"/>
    <w:rsid w:val="000123D5"/>
    <w:rsid w:val="00013E97"/>
    <w:rsid w:val="00042A80"/>
    <w:rsid w:val="000432FC"/>
    <w:rsid w:val="00057D30"/>
    <w:rsid w:val="00060A78"/>
    <w:rsid w:val="000662F0"/>
    <w:rsid w:val="000A5E5E"/>
    <w:rsid w:val="000A6EFB"/>
    <w:rsid w:val="000B2FA1"/>
    <w:rsid w:val="000B30E2"/>
    <w:rsid w:val="000C3143"/>
    <w:rsid w:val="000E3603"/>
    <w:rsid w:val="000E6FDF"/>
    <w:rsid w:val="000F4A05"/>
    <w:rsid w:val="000F4F0D"/>
    <w:rsid w:val="000F61F0"/>
    <w:rsid w:val="00100A07"/>
    <w:rsid w:val="00104E11"/>
    <w:rsid w:val="00122ABE"/>
    <w:rsid w:val="00126F52"/>
    <w:rsid w:val="001420D7"/>
    <w:rsid w:val="001454E1"/>
    <w:rsid w:val="00151B9A"/>
    <w:rsid w:val="00167CBD"/>
    <w:rsid w:val="00172791"/>
    <w:rsid w:val="00172EE4"/>
    <w:rsid w:val="00173820"/>
    <w:rsid w:val="0018563A"/>
    <w:rsid w:val="001A2F2D"/>
    <w:rsid w:val="001B492F"/>
    <w:rsid w:val="001B5C90"/>
    <w:rsid w:val="001E3997"/>
    <w:rsid w:val="001F4990"/>
    <w:rsid w:val="002029D9"/>
    <w:rsid w:val="00207BE3"/>
    <w:rsid w:val="00261F76"/>
    <w:rsid w:val="0026610E"/>
    <w:rsid w:val="0026622F"/>
    <w:rsid w:val="002778F1"/>
    <w:rsid w:val="002914B8"/>
    <w:rsid w:val="002B34B5"/>
    <w:rsid w:val="002C01C3"/>
    <w:rsid w:val="002C2177"/>
    <w:rsid w:val="002E0E2B"/>
    <w:rsid w:val="002E22FF"/>
    <w:rsid w:val="0031015D"/>
    <w:rsid w:val="003106C5"/>
    <w:rsid w:val="0031141D"/>
    <w:rsid w:val="003419F2"/>
    <w:rsid w:val="00342407"/>
    <w:rsid w:val="00351FF5"/>
    <w:rsid w:val="00363210"/>
    <w:rsid w:val="00364039"/>
    <w:rsid w:val="00372EBE"/>
    <w:rsid w:val="00382B24"/>
    <w:rsid w:val="003876A8"/>
    <w:rsid w:val="003901AE"/>
    <w:rsid w:val="0039125A"/>
    <w:rsid w:val="0039283F"/>
    <w:rsid w:val="00394F94"/>
    <w:rsid w:val="003B63B9"/>
    <w:rsid w:val="003C2CC1"/>
    <w:rsid w:val="003D5E5C"/>
    <w:rsid w:val="003E7945"/>
    <w:rsid w:val="003F5BAB"/>
    <w:rsid w:val="00407A22"/>
    <w:rsid w:val="00412882"/>
    <w:rsid w:val="004378DF"/>
    <w:rsid w:val="004403C2"/>
    <w:rsid w:val="00445CA9"/>
    <w:rsid w:val="00464EB1"/>
    <w:rsid w:val="00465DD6"/>
    <w:rsid w:val="00471577"/>
    <w:rsid w:val="0047500A"/>
    <w:rsid w:val="004819D9"/>
    <w:rsid w:val="00485878"/>
    <w:rsid w:val="004A041D"/>
    <w:rsid w:val="004E0344"/>
    <w:rsid w:val="004E2AD8"/>
    <w:rsid w:val="004E3A30"/>
    <w:rsid w:val="004E5FE0"/>
    <w:rsid w:val="00511C6A"/>
    <w:rsid w:val="00521631"/>
    <w:rsid w:val="00523F85"/>
    <w:rsid w:val="00533859"/>
    <w:rsid w:val="00554127"/>
    <w:rsid w:val="00567431"/>
    <w:rsid w:val="00572676"/>
    <w:rsid w:val="0057640D"/>
    <w:rsid w:val="005944FB"/>
    <w:rsid w:val="005A466E"/>
    <w:rsid w:val="005A799A"/>
    <w:rsid w:val="005B61D4"/>
    <w:rsid w:val="005C2117"/>
    <w:rsid w:val="005C2B4E"/>
    <w:rsid w:val="005D0C64"/>
    <w:rsid w:val="005E3AEA"/>
    <w:rsid w:val="005E3F7F"/>
    <w:rsid w:val="005F690F"/>
    <w:rsid w:val="0060381A"/>
    <w:rsid w:val="006141B1"/>
    <w:rsid w:val="00621028"/>
    <w:rsid w:val="0063104C"/>
    <w:rsid w:val="00646D5F"/>
    <w:rsid w:val="00653D4E"/>
    <w:rsid w:val="00654EF3"/>
    <w:rsid w:val="00665C44"/>
    <w:rsid w:val="006965A0"/>
    <w:rsid w:val="006A5EF9"/>
    <w:rsid w:val="006D6CF3"/>
    <w:rsid w:val="006F0B3D"/>
    <w:rsid w:val="00704D9D"/>
    <w:rsid w:val="007222B0"/>
    <w:rsid w:val="00726F3A"/>
    <w:rsid w:val="007308C6"/>
    <w:rsid w:val="00733BAB"/>
    <w:rsid w:val="007413E4"/>
    <w:rsid w:val="00746F79"/>
    <w:rsid w:val="007547AA"/>
    <w:rsid w:val="0075685B"/>
    <w:rsid w:val="007617A9"/>
    <w:rsid w:val="0077712C"/>
    <w:rsid w:val="00783CDC"/>
    <w:rsid w:val="00786085"/>
    <w:rsid w:val="007A0098"/>
    <w:rsid w:val="007C1122"/>
    <w:rsid w:val="007C6C2F"/>
    <w:rsid w:val="007E44CF"/>
    <w:rsid w:val="007F01D5"/>
    <w:rsid w:val="007F2A7A"/>
    <w:rsid w:val="008079EB"/>
    <w:rsid w:val="008121FE"/>
    <w:rsid w:val="00825EE3"/>
    <w:rsid w:val="00835652"/>
    <w:rsid w:val="008501F5"/>
    <w:rsid w:val="00851100"/>
    <w:rsid w:val="0085313F"/>
    <w:rsid w:val="0086198D"/>
    <w:rsid w:val="00870150"/>
    <w:rsid w:val="008741AC"/>
    <w:rsid w:val="008A104C"/>
    <w:rsid w:val="008A19AC"/>
    <w:rsid w:val="008A4BEA"/>
    <w:rsid w:val="008B1E0C"/>
    <w:rsid w:val="008C688B"/>
    <w:rsid w:val="008D1944"/>
    <w:rsid w:val="00906CB2"/>
    <w:rsid w:val="00913520"/>
    <w:rsid w:val="00937835"/>
    <w:rsid w:val="0095573B"/>
    <w:rsid w:val="00955D85"/>
    <w:rsid w:val="009609DD"/>
    <w:rsid w:val="00970320"/>
    <w:rsid w:val="0097479E"/>
    <w:rsid w:val="009773D0"/>
    <w:rsid w:val="00987AD0"/>
    <w:rsid w:val="00991F60"/>
    <w:rsid w:val="00995BAE"/>
    <w:rsid w:val="009A4A1C"/>
    <w:rsid w:val="009B0D60"/>
    <w:rsid w:val="009C2897"/>
    <w:rsid w:val="009D7B6A"/>
    <w:rsid w:val="009E5CE8"/>
    <w:rsid w:val="00A10B1D"/>
    <w:rsid w:val="00A129D6"/>
    <w:rsid w:val="00A20C76"/>
    <w:rsid w:val="00A21200"/>
    <w:rsid w:val="00A251F0"/>
    <w:rsid w:val="00A34392"/>
    <w:rsid w:val="00A5232F"/>
    <w:rsid w:val="00A53C00"/>
    <w:rsid w:val="00A61005"/>
    <w:rsid w:val="00A725B9"/>
    <w:rsid w:val="00A748D8"/>
    <w:rsid w:val="00A75499"/>
    <w:rsid w:val="00AB28C5"/>
    <w:rsid w:val="00AB2D6E"/>
    <w:rsid w:val="00AB6B04"/>
    <w:rsid w:val="00AC2E69"/>
    <w:rsid w:val="00AD7859"/>
    <w:rsid w:val="00AE06F4"/>
    <w:rsid w:val="00B20C86"/>
    <w:rsid w:val="00B21D74"/>
    <w:rsid w:val="00B311B5"/>
    <w:rsid w:val="00B41911"/>
    <w:rsid w:val="00B4282E"/>
    <w:rsid w:val="00B44FD1"/>
    <w:rsid w:val="00B62B12"/>
    <w:rsid w:val="00BB0C85"/>
    <w:rsid w:val="00BB4CA8"/>
    <w:rsid w:val="00BD1525"/>
    <w:rsid w:val="00BF0617"/>
    <w:rsid w:val="00C03B4C"/>
    <w:rsid w:val="00C27CBB"/>
    <w:rsid w:val="00C316A8"/>
    <w:rsid w:val="00C40AD0"/>
    <w:rsid w:val="00C64562"/>
    <w:rsid w:val="00C85F16"/>
    <w:rsid w:val="00CA0DE5"/>
    <w:rsid w:val="00CB2B2A"/>
    <w:rsid w:val="00CE5FFE"/>
    <w:rsid w:val="00D24EED"/>
    <w:rsid w:val="00D31551"/>
    <w:rsid w:val="00D401D4"/>
    <w:rsid w:val="00D50F06"/>
    <w:rsid w:val="00D61922"/>
    <w:rsid w:val="00D67B4C"/>
    <w:rsid w:val="00D72776"/>
    <w:rsid w:val="00D7793A"/>
    <w:rsid w:val="00D82380"/>
    <w:rsid w:val="00D90512"/>
    <w:rsid w:val="00D92D70"/>
    <w:rsid w:val="00DD0472"/>
    <w:rsid w:val="00DE2F2B"/>
    <w:rsid w:val="00DE531F"/>
    <w:rsid w:val="00E1222B"/>
    <w:rsid w:val="00E12780"/>
    <w:rsid w:val="00E30DB8"/>
    <w:rsid w:val="00E36628"/>
    <w:rsid w:val="00E437DC"/>
    <w:rsid w:val="00E71A72"/>
    <w:rsid w:val="00E95331"/>
    <w:rsid w:val="00EA4E9F"/>
    <w:rsid w:val="00EA6F69"/>
    <w:rsid w:val="00EC2423"/>
    <w:rsid w:val="00EC2E0B"/>
    <w:rsid w:val="00EC4F9C"/>
    <w:rsid w:val="00EC782A"/>
    <w:rsid w:val="00ED234A"/>
    <w:rsid w:val="00ED254F"/>
    <w:rsid w:val="00ED77B7"/>
    <w:rsid w:val="00EE2A9F"/>
    <w:rsid w:val="00EE5575"/>
    <w:rsid w:val="00EE5916"/>
    <w:rsid w:val="00F02035"/>
    <w:rsid w:val="00F06441"/>
    <w:rsid w:val="00F25D75"/>
    <w:rsid w:val="00F2766F"/>
    <w:rsid w:val="00F33A50"/>
    <w:rsid w:val="00F42068"/>
    <w:rsid w:val="00F60380"/>
    <w:rsid w:val="00F60652"/>
    <w:rsid w:val="00F645F7"/>
    <w:rsid w:val="00F7240E"/>
    <w:rsid w:val="00F920E7"/>
    <w:rsid w:val="00F93E2D"/>
    <w:rsid w:val="00FA56F0"/>
    <w:rsid w:val="00FB6C19"/>
    <w:rsid w:val="00FC3F37"/>
    <w:rsid w:val="00FC4D9A"/>
    <w:rsid w:val="00FC57FE"/>
    <w:rsid w:val="00FE2AE9"/>
    <w:rsid w:val="0103040A"/>
    <w:rsid w:val="04F45CB0"/>
    <w:rsid w:val="219F7F85"/>
    <w:rsid w:val="26321898"/>
    <w:rsid w:val="26B26E88"/>
    <w:rsid w:val="2B0931CA"/>
    <w:rsid w:val="2B674BBA"/>
    <w:rsid w:val="3FDFD35D"/>
    <w:rsid w:val="3FFE86B0"/>
    <w:rsid w:val="41606791"/>
    <w:rsid w:val="438A1693"/>
    <w:rsid w:val="48926705"/>
    <w:rsid w:val="48A114ED"/>
    <w:rsid w:val="5CFFDF56"/>
    <w:rsid w:val="62CF793D"/>
    <w:rsid w:val="654466FC"/>
    <w:rsid w:val="6AC23789"/>
    <w:rsid w:val="6AFB47F0"/>
    <w:rsid w:val="6EA70687"/>
    <w:rsid w:val="6FFFFB2E"/>
    <w:rsid w:val="71272EDB"/>
    <w:rsid w:val="73C816FC"/>
    <w:rsid w:val="78C04E1A"/>
    <w:rsid w:val="7DDF51CB"/>
    <w:rsid w:val="7F1E8600"/>
    <w:rsid w:val="B5B7DEDD"/>
    <w:rsid w:val="DFE9186E"/>
    <w:rsid w:val="E37BE7A7"/>
    <w:rsid w:val="EEF7714A"/>
    <w:rsid w:val="F7AD44A4"/>
    <w:rsid w:val="F86F1FB9"/>
    <w:rsid w:val="FFEF44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Date"/>
    <w:basedOn w:val="1"/>
    <w:next w:val="1"/>
    <w:link w:val="17"/>
    <w:semiHidden/>
    <w:unhideWhenUsed/>
    <w:qFormat/>
    <w:uiPriority w:val="0"/>
    <w:rPr>
      <w:kern w:val="0"/>
      <w:sz w:val="28"/>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1"/>
    <w:qFormat/>
    <w:uiPriority w:val="0"/>
    <w:pPr>
      <w:spacing w:before="240" w:after="60" w:line="312" w:lineRule="auto"/>
      <w:jc w:val="center"/>
      <w:outlineLvl w:val="1"/>
    </w:pPr>
    <w:rPr>
      <w:rFonts w:ascii="Cambria" w:hAnsi="Cambria"/>
      <w:b/>
      <w:bCs/>
      <w:kern w:val="28"/>
      <w:sz w:val="32"/>
      <w:szCs w:val="32"/>
    </w:rPr>
  </w:style>
  <w:style w:type="paragraph" w:styleId="10">
    <w:name w:val="annotation subject"/>
    <w:basedOn w:val="4"/>
    <w:next w:val="4"/>
    <w:link w:val="23"/>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标题 2 Char"/>
    <w:basedOn w:val="12"/>
    <w:link w:val="3"/>
    <w:semiHidden/>
    <w:qFormat/>
    <w:uiPriority w:val="0"/>
    <w:rPr>
      <w:rFonts w:ascii="Arial" w:hAnsi="Arial" w:eastAsia="黑体" w:cs="Times New Roman"/>
      <w:b/>
      <w:bCs/>
      <w:kern w:val="0"/>
      <w:sz w:val="32"/>
      <w:szCs w:val="32"/>
    </w:rPr>
  </w:style>
  <w:style w:type="character" w:customStyle="1" w:styleId="17">
    <w:name w:val="日期 Char"/>
    <w:basedOn w:val="12"/>
    <w:link w:val="5"/>
    <w:semiHidden/>
    <w:qFormat/>
    <w:uiPriority w:val="0"/>
    <w:rPr>
      <w:rFonts w:ascii="Times New Roman" w:hAnsi="Times New Roman" w:eastAsia="宋体" w:cs="Times New Roman"/>
      <w:kern w:val="0"/>
      <w:sz w:val="28"/>
      <w:szCs w:val="20"/>
    </w:rPr>
  </w:style>
  <w:style w:type="character" w:customStyle="1" w:styleId="18">
    <w:name w:val="标题 1 Char"/>
    <w:basedOn w:val="12"/>
    <w:link w:val="2"/>
    <w:qFormat/>
    <w:uiPriority w:val="0"/>
    <w:rPr>
      <w:rFonts w:ascii="Times New Roman" w:hAnsi="Times New Roman" w:eastAsia="宋体" w:cs="Times New Roman"/>
      <w:b/>
      <w:bCs/>
      <w:kern w:val="44"/>
      <w:sz w:val="44"/>
      <w:szCs w:val="44"/>
    </w:rPr>
  </w:style>
  <w:style w:type="character" w:customStyle="1" w:styleId="19">
    <w:name w:val="批注框文本 Char"/>
    <w:basedOn w:val="12"/>
    <w:link w:val="6"/>
    <w:semiHidden/>
    <w:qFormat/>
    <w:uiPriority w:val="99"/>
    <w:rPr>
      <w:rFonts w:ascii="Times New Roman" w:hAnsi="Times New Roman" w:eastAsia="宋体" w:cs="Times New Roman"/>
      <w:kern w:val="2"/>
      <w:sz w:val="18"/>
      <w:szCs w:val="18"/>
    </w:rPr>
  </w:style>
  <w:style w:type="character" w:customStyle="1" w:styleId="20">
    <w:name w:val="不明显参考1"/>
    <w:basedOn w:val="12"/>
    <w:qFormat/>
    <w:uiPriority w:val="31"/>
    <w:rPr>
      <w:smallCaps/>
      <w:color w:val="585858" w:themeColor="text1" w:themeTint="A6"/>
    </w:rPr>
  </w:style>
  <w:style w:type="character" w:customStyle="1" w:styleId="21">
    <w:name w:val="副标题 Char"/>
    <w:basedOn w:val="12"/>
    <w:link w:val="9"/>
    <w:qFormat/>
    <w:uiPriority w:val="0"/>
    <w:rPr>
      <w:rFonts w:ascii="Cambria" w:hAnsi="Cambria" w:eastAsia="宋体" w:cs="Times New Roman"/>
      <w:b/>
      <w:bCs/>
      <w:kern w:val="28"/>
      <w:sz w:val="32"/>
      <w:szCs w:val="32"/>
    </w:rPr>
  </w:style>
  <w:style w:type="character" w:customStyle="1" w:styleId="22">
    <w:name w:val="批注文字 Char"/>
    <w:basedOn w:val="12"/>
    <w:link w:val="4"/>
    <w:semiHidden/>
    <w:qFormat/>
    <w:uiPriority w:val="99"/>
    <w:rPr>
      <w:rFonts w:ascii="Times New Roman" w:hAnsi="Times New Roman" w:eastAsia="宋体" w:cs="Times New Roman"/>
      <w:kern w:val="2"/>
      <w:sz w:val="21"/>
      <w:szCs w:val="24"/>
    </w:rPr>
  </w:style>
  <w:style w:type="character" w:customStyle="1" w:styleId="23">
    <w:name w:val="批注主题 Char"/>
    <w:basedOn w:val="22"/>
    <w:link w:val="10"/>
    <w:semiHidden/>
    <w:qFormat/>
    <w:uiPriority w:val="99"/>
    <w:rPr>
      <w:rFonts w:ascii="Times New Roman" w:hAnsi="Times New Roman" w:eastAsia="宋体" w:cs="Times New Roman"/>
      <w:b/>
      <w:bCs/>
      <w:kern w:val="2"/>
      <w:sz w:val="21"/>
      <w:szCs w:val="24"/>
    </w:rPr>
  </w:style>
  <w:style w:type="paragraph" w:customStyle="1" w:styleId="24">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901</Words>
  <Characters>5136</Characters>
  <Lines>42</Lines>
  <Paragraphs>12</Paragraphs>
  <TotalTime>12</TotalTime>
  <ScaleCrop>false</ScaleCrop>
  <LinksUpToDate>false</LinksUpToDate>
  <CharactersWithSpaces>6025</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2024-04-10T06:13:00Z</dcterms:created>
  <dc:creator>whzhou</dc:creator>
  <cp:lastModifiedBy>whzhou</cp:lastModifiedBy>
  <cp:lastPrinted>2023-12-31T22:47:00Z</cp:lastPrinted>
  <dcterms:modified xsi:type="dcterms:W3CDTF">2025-02-12T00:30:23Z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EC99FC11FFC244F98A52AA1DD1C74019_13</vt:lpwstr>
  </property>
</Properties>
</file>