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D6B" w:rsidRDefault="000A2CCC">
      <w:pPr>
        <w:pStyle w:val="a8"/>
        <w:spacing w:before="156" w:after="156" w:line="360" w:lineRule="auto"/>
        <w:rPr>
          <w:rFonts w:ascii="黑体" w:eastAsia="黑体" w:hAnsi="黑体" w:cs="宋体"/>
          <w:b w:val="0"/>
          <w:kern w:val="0"/>
          <w:sz w:val="40"/>
          <w:szCs w:val="40"/>
        </w:rPr>
      </w:pPr>
      <w:r>
        <w:rPr>
          <w:rFonts w:ascii="黑体" w:eastAsia="黑体" w:hAnsi="黑体" w:hint="eastAsia"/>
          <w:b w:val="0"/>
          <w:sz w:val="40"/>
          <w:szCs w:val="40"/>
        </w:rPr>
        <w:t>第三号</w:t>
      </w:r>
      <w:r>
        <w:rPr>
          <w:rFonts w:ascii="黑体" w:eastAsia="黑体" w:hAnsi="黑体"/>
          <w:b w:val="0"/>
          <w:sz w:val="40"/>
          <w:szCs w:val="40"/>
        </w:rPr>
        <w:t xml:space="preserve"> </w:t>
      </w:r>
      <w:r>
        <w:rPr>
          <w:rFonts w:ascii="黑体" w:eastAsia="黑体" w:hAnsi="黑体" w:cs="宋体" w:hint="eastAsia"/>
          <w:b w:val="0"/>
          <w:kern w:val="0"/>
          <w:sz w:val="40"/>
          <w:szCs w:val="40"/>
        </w:rPr>
        <w:t>证券停复牌</w:t>
      </w:r>
    </w:p>
    <w:p w:rsidR="00271D6B" w:rsidRDefault="00271D6B">
      <w:pPr>
        <w:spacing w:line="360" w:lineRule="auto"/>
        <w:ind w:firstLineChars="200" w:firstLine="560"/>
        <w:rPr>
          <w:rFonts w:ascii="仿宋_GB2312" w:eastAsia="仿宋_GB2312" w:hAnsi="宋体"/>
          <w:sz w:val="28"/>
          <w:szCs w:val="28"/>
        </w:rPr>
      </w:pPr>
    </w:p>
    <w:p w:rsidR="00271D6B" w:rsidRDefault="000A2CCC" w:rsidP="00D0549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为防控证券停复牌业务操作风险，根据《上海证券交易所股票上市规则》《上海证券交易所上市公司自律监管指引第4号——停复牌》等规定，制定本指南。</w:t>
      </w:r>
    </w:p>
    <w:p w:rsidR="00271D6B" w:rsidRDefault="000A2CCC" w:rsidP="00D05492">
      <w:pPr>
        <w:spacing w:line="600" w:lineRule="exact"/>
        <w:ind w:firstLineChars="200" w:firstLine="562"/>
      </w:pPr>
      <w:r>
        <w:rPr>
          <w:rFonts w:ascii="仿宋_GB2312" w:eastAsia="仿宋_GB2312" w:hint="eastAsia"/>
          <w:b/>
          <w:sz w:val="28"/>
          <w:szCs w:val="28"/>
        </w:rPr>
        <w:t>一、一般规定</w:t>
      </w:r>
    </w:p>
    <w:p w:rsidR="00271D6B" w:rsidRDefault="000A2CCC" w:rsidP="00D05492">
      <w:pPr>
        <w:adjustRightInd w:val="0"/>
        <w:snapToGrid w:val="0"/>
        <w:spacing w:line="600" w:lineRule="exact"/>
        <w:ind w:firstLineChars="200" w:firstLine="560"/>
        <w:rPr>
          <w:rFonts w:ascii="仿宋_GB2312" w:eastAsia="仿宋_GB2312" w:hAnsi="微软雅黑" w:cs="宋体"/>
          <w:kern w:val="0"/>
          <w:sz w:val="28"/>
          <w:szCs w:val="28"/>
        </w:rPr>
      </w:pPr>
      <w:r>
        <w:rPr>
          <w:rFonts w:ascii="仿宋_GB2312" w:eastAsia="仿宋_GB2312" w:hAnsi="微软雅黑" w:cs="宋体" w:hint="eastAsia"/>
          <w:kern w:val="0"/>
          <w:sz w:val="28"/>
          <w:szCs w:val="28"/>
        </w:rPr>
        <w:t>1.</w:t>
      </w:r>
      <w:r>
        <w:rPr>
          <w:rFonts w:ascii="仿宋_GB2312" w:eastAsia="仿宋_GB2312" w:hAnsi="宋体" w:hint="eastAsia"/>
          <w:sz w:val="28"/>
          <w:szCs w:val="28"/>
        </w:rPr>
        <w:t>上海证券交易所（以下简称本所）的</w:t>
      </w:r>
      <w:r>
        <w:rPr>
          <w:rFonts w:ascii="仿宋_GB2312" w:eastAsia="仿宋_GB2312" w:hAnsi="微软雅黑" w:cs="宋体" w:hint="eastAsia"/>
          <w:kern w:val="0"/>
          <w:sz w:val="28"/>
          <w:szCs w:val="28"/>
        </w:rPr>
        <w:t>上市公司申请股票及其衍生品种停复牌以及可转债暂停或恢复转股等相关业务（以下统称停复牌）</w:t>
      </w:r>
      <w:r w:rsidR="001D72AF">
        <w:rPr>
          <w:rFonts w:ascii="仿宋_GB2312" w:eastAsia="仿宋_GB2312" w:hAnsi="微软雅黑" w:cs="宋体" w:hint="eastAsia"/>
          <w:kern w:val="0"/>
          <w:sz w:val="28"/>
          <w:szCs w:val="28"/>
        </w:rPr>
        <w:t>，</w:t>
      </w:r>
      <w:r>
        <w:rPr>
          <w:rFonts w:ascii="仿宋_GB2312" w:eastAsia="仿宋_GB2312" w:hAnsi="微软雅黑" w:cs="宋体" w:hint="eastAsia"/>
          <w:kern w:val="0"/>
          <w:sz w:val="28"/>
          <w:szCs w:val="28"/>
        </w:rPr>
        <w:t>适用本指南。</w:t>
      </w:r>
    </w:p>
    <w:p w:rsidR="00271D6B" w:rsidRDefault="000A2CCC" w:rsidP="00D05492">
      <w:pPr>
        <w:adjustRightInd w:val="0"/>
        <w:snapToGrid w:val="0"/>
        <w:spacing w:line="600" w:lineRule="exact"/>
        <w:ind w:firstLineChars="192" w:firstLine="538"/>
        <w:rPr>
          <w:rFonts w:ascii="仿宋_GB2312" w:eastAsia="仿宋_GB2312" w:hAnsi="微软雅黑" w:cs="宋体"/>
          <w:kern w:val="0"/>
          <w:sz w:val="28"/>
          <w:szCs w:val="28"/>
        </w:rPr>
      </w:pPr>
      <w:r>
        <w:rPr>
          <w:rFonts w:ascii="仿宋_GB2312" w:eastAsia="仿宋_GB2312" w:hAnsi="微软雅黑" w:cs="宋体" w:hint="eastAsia"/>
          <w:bCs/>
          <w:kern w:val="0"/>
          <w:sz w:val="28"/>
          <w:szCs w:val="28"/>
        </w:rPr>
        <w:t>2.</w:t>
      </w:r>
      <w:r>
        <w:rPr>
          <w:rFonts w:ascii="仿宋_GB2312" w:eastAsia="仿宋_GB2312" w:hAnsi="微软雅黑" w:cs="宋体" w:hint="eastAsia"/>
          <w:kern w:val="0"/>
          <w:sz w:val="28"/>
          <w:szCs w:val="28"/>
        </w:rPr>
        <w:t>上市公司根据停牌事由和相关规则要求，选择正确的</w:t>
      </w:r>
      <w:r>
        <w:rPr>
          <w:rFonts w:ascii="仿宋_GB2312" w:eastAsia="仿宋_GB2312" w:hAnsi="微软雅黑" w:cs="宋体"/>
          <w:kern w:val="0"/>
          <w:sz w:val="28"/>
          <w:szCs w:val="28"/>
        </w:rPr>
        <w:t>停牌类型</w:t>
      </w:r>
      <w:r>
        <w:rPr>
          <w:rFonts w:ascii="仿宋_GB2312" w:eastAsia="仿宋_GB2312" w:hAnsi="微软雅黑" w:cs="宋体" w:hint="eastAsia"/>
          <w:kern w:val="0"/>
          <w:sz w:val="28"/>
          <w:szCs w:val="28"/>
        </w:rPr>
        <w:t>、业务类型、停牌原因和停牌时间，在规定的停牌申请提交时段内，通过公司业务管理系统（以下简称系统）提交停牌申请和相关备查文件。上市公司申请停牌和复牌，在提交停复牌申请后，于非交易时间及时告知本所公司管理部门，关注办理进展，并在规定的时间核对确认停复牌操作结果。</w:t>
      </w:r>
      <w:bookmarkStart w:id="0" w:name="_GoBack"/>
      <w:bookmarkEnd w:id="0"/>
    </w:p>
    <w:p w:rsidR="00271D6B" w:rsidRDefault="000A2CCC" w:rsidP="00D05492">
      <w:pPr>
        <w:adjustRightInd w:val="0"/>
        <w:snapToGrid w:val="0"/>
        <w:spacing w:line="600" w:lineRule="exact"/>
        <w:ind w:firstLineChars="200" w:firstLine="560"/>
        <w:rPr>
          <w:rFonts w:ascii="仿宋_GB2312" w:eastAsia="仿宋_GB2312" w:hAnsi="微软雅黑" w:cs="宋体"/>
          <w:kern w:val="0"/>
          <w:sz w:val="28"/>
          <w:szCs w:val="28"/>
        </w:rPr>
      </w:pPr>
      <w:r>
        <w:rPr>
          <w:rFonts w:ascii="仿宋_GB2312" w:eastAsia="仿宋_GB2312" w:hAnsi="微软雅黑" w:cs="宋体" w:hint="eastAsia"/>
          <w:kern w:val="0"/>
          <w:sz w:val="28"/>
          <w:szCs w:val="28"/>
        </w:rPr>
        <w:t>3.如超过停复牌申请提交的截止时点，上市公司自行做好信息保密工作，于下一信息披露申请提交时段提交信息披露申请，或于下一停复牌申请提交时段提交停复牌申请。</w:t>
      </w:r>
    </w:p>
    <w:p w:rsidR="00271D6B" w:rsidRDefault="000A2CCC" w:rsidP="00D05492">
      <w:pPr>
        <w:spacing w:line="600" w:lineRule="exact"/>
        <w:ind w:firstLineChars="200" w:firstLine="562"/>
        <w:rPr>
          <w:rFonts w:ascii="仿宋_GB2312" w:eastAsia="仿宋_GB2312"/>
          <w:b/>
          <w:sz w:val="28"/>
          <w:szCs w:val="28"/>
        </w:rPr>
      </w:pPr>
      <w:r>
        <w:rPr>
          <w:rFonts w:ascii="仿宋_GB2312" w:eastAsia="仿宋_GB2312" w:hint="eastAsia"/>
          <w:b/>
          <w:sz w:val="28"/>
          <w:szCs w:val="28"/>
        </w:rPr>
        <w:t>二、停牌类型及提交时间</w:t>
      </w:r>
    </w:p>
    <w:p w:rsidR="00271D6B" w:rsidRDefault="000A2CCC" w:rsidP="00D05492">
      <w:pPr>
        <w:pStyle w:val="2"/>
        <w:adjustRightInd w:val="0"/>
        <w:snapToGrid w:val="0"/>
        <w:spacing w:before="0" w:beforeAutospacing="0" w:after="0" w:afterAutospacing="0" w:line="600" w:lineRule="exact"/>
        <w:ind w:firstLineChars="200" w:firstLine="562"/>
        <w:rPr>
          <w:rFonts w:ascii="仿宋_GB2312" w:eastAsia="仿宋_GB2312"/>
          <w:sz w:val="28"/>
          <w:szCs w:val="28"/>
        </w:rPr>
      </w:pPr>
      <w:r>
        <w:rPr>
          <w:rFonts w:ascii="仿宋_GB2312" w:eastAsia="仿宋_GB2312" w:hint="eastAsia"/>
          <w:sz w:val="28"/>
          <w:szCs w:val="28"/>
        </w:rPr>
        <w:t>（一）停牌类型按提交时段分类</w:t>
      </w:r>
    </w:p>
    <w:p w:rsidR="00271D6B" w:rsidRDefault="000A2CCC" w:rsidP="00D05492">
      <w:pPr>
        <w:widowControl/>
        <w:shd w:val="clear" w:color="auto" w:fill="FFFFFF"/>
        <w:spacing w:line="600" w:lineRule="exact"/>
        <w:ind w:firstLineChars="200" w:firstLine="560"/>
        <w:jc w:val="left"/>
        <w:rPr>
          <w:rFonts w:ascii="仿宋_GB2312" w:eastAsia="仿宋_GB2312" w:hAnsi="微软雅黑" w:cs="宋体"/>
          <w:kern w:val="0"/>
          <w:sz w:val="28"/>
          <w:szCs w:val="28"/>
        </w:rPr>
      </w:pPr>
      <w:r>
        <w:rPr>
          <w:rFonts w:ascii="仿宋_GB2312" w:eastAsia="仿宋_GB2312" w:hAnsi="微软雅黑" w:cs="宋体" w:hint="eastAsia"/>
          <w:kern w:val="0"/>
          <w:sz w:val="28"/>
          <w:szCs w:val="28"/>
        </w:rPr>
        <w:t>停牌申请按提交时段可分为盘后停牌和紧急停牌。其中，盘后停牌按停牌期间分为临时停牌和连续停牌。</w:t>
      </w:r>
    </w:p>
    <w:p w:rsidR="00271D6B" w:rsidRDefault="000A2CCC" w:rsidP="00D05492">
      <w:pPr>
        <w:widowControl/>
        <w:shd w:val="clear" w:color="auto" w:fill="FFFFFF"/>
        <w:spacing w:line="600" w:lineRule="exact"/>
        <w:ind w:firstLineChars="200" w:firstLine="560"/>
        <w:jc w:val="left"/>
        <w:rPr>
          <w:rFonts w:ascii="仿宋_GB2312" w:eastAsia="仿宋_GB2312" w:hAnsi="微软雅黑" w:cs="宋体"/>
          <w:kern w:val="0"/>
          <w:sz w:val="28"/>
          <w:szCs w:val="28"/>
        </w:rPr>
      </w:pPr>
      <w:r>
        <w:rPr>
          <w:rFonts w:ascii="仿宋_GB2312" w:eastAsia="仿宋_GB2312" w:hAnsi="微软雅黑" w:cs="宋体"/>
          <w:kern w:val="0"/>
          <w:sz w:val="28"/>
          <w:szCs w:val="28"/>
        </w:rPr>
        <w:lastRenderedPageBreak/>
        <w:t>1.临时停牌是指上市公司在交易日提交的、于</w:t>
      </w:r>
      <w:r>
        <w:rPr>
          <w:rFonts w:ascii="仿宋_GB2312" w:eastAsia="仿宋_GB2312" w:hAnsi="微软雅黑" w:cs="宋体" w:hint="eastAsia"/>
          <w:kern w:val="0"/>
          <w:sz w:val="28"/>
          <w:szCs w:val="28"/>
        </w:rPr>
        <w:t>次一交易日</w:t>
      </w:r>
      <w:r>
        <w:rPr>
          <w:rFonts w:ascii="仿宋_GB2312" w:eastAsia="仿宋_GB2312" w:hAnsi="微软雅黑" w:cs="宋体"/>
          <w:kern w:val="0"/>
          <w:sz w:val="28"/>
          <w:szCs w:val="28"/>
        </w:rPr>
        <w:t>停牌1</w:t>
      </w:r>
      <w:r>
        <w:rPr>
          <w:rFonts w:ascii="仿宋_GB2312" w:eastAsia="仿宋_GB2312" w:hAnsi="微软雅黑" w:cs="宋体" w:hint="eastAsia"/>
          <w:kern w:val="0"/>
          <w:sz w:val="28"/>
          <w:szCs w:val="28"/>
        </w:rPr>
        <w:t>天的证券停牌。</w:t>
      </w:r>
    </w:p>
    <w:p w:rsidR="00271D6B" w:rsidRDefault="000A2CCC" w:rsidP="00D05492">
      <w:pPr>
        <w:widowControl/>
        <w:shd w:val="clear" w:color="auto" w:fill="FFFFFF"/>
        <w:spacing w:line="600" w:lineRule="exact"/>
        <w:ind w:firstLineChars="200" w:firstLine="560"/>
        <w:jc w:val="left"/>
        <w:rPr>
          <w:rFonts w:ascii="仿宋_GB2312" w:eastAsia="仿宋_GB2312" w:hAnsi="微软雅黑" w:cs="宋体"/>
          <w:kern w:val="0"/>
          <w:sz w:val="28"/>
          <w:szCs w:val="28"/>
        </w:rPr>
      </w:pPr>
      <w:r>
        <w:rPr>
          <w:rFonts w:ascii="仿宋_GB2312" w:eastAsia="仿宋_GB2312" w:hAnsi="微软雅黑" w:cs="宋体"/>
          <w:kern w:val="0"/>
          <w:sz w:val="28"/>
          <w:szCs w:val="28"/>
        </w:rPr>
        <w:t>2.连续停牌是指上市公司在交易日提交的、于</w:t>
      </w:r>
      <w:r>
        <w:rPr>
          <w:rFonts w:ascii="仿宋_GB2312" w:eastAsia="仿宋_GB2312" w:hAnsi="微软雅黑" w:cs="宋体" w:hint="eastAsia"/>
          <w:kern w:val="0"/>
          <w:sz w:val="28"/>
          <w:szCs w:val="28"/>
        </w:rPr>
        <w:t>次一交易日</w:t>
      </w:r>
      <w:r>
        <w:rPr>
          <w:rFonts w:ascii="仿宋_GB2312" w:eastAsia="仿宋_GB2312" w:hAnsi="微软雅黑" w:cs="宋体"/>
          <w:kern w:val="0"/>
          <w:sz w:val="28"/>
          <w:szCs w:val="28"/>
        </w:rPr>
        <w:t>或之后交易日开始停牌、停牌期间为1</w:t>
      </w:r>
      <w:r>
        <w:rPr>
          <w:rFonts w:ascii="仿宋_GB2312" w:eastAsia="仿宋_GB2312" w:hAnsi="微软雅黑" w:cs="宋体" w:hint="eastAsia"/>
          <w:kern w:val="0"/>
          <w:sz w:val="28"/>
          <w:szCs w:val="28"/>
        </w:rPr>
        <w:t>个交易日以上的证券停牌。</w:t>
      </w:r>
    </w:p>
    <w:p w:rsidR="00271D6B" w:rsidRDefault="000A2CCC" w:rsidP="00D05492">
      <w:pPr>
        <w:widowControl/>
        <w:shd w:val="clear" w:color="auto" w:fill="FFFFFF"/>
        <w:spacing w:line="600" w:lineRule="exact"/>
        <w:ind w:firstLineChars="200" w:firstLine="560"/>
        <w:jc w:val="left"/>
        <w:rPr>
          <w:rFonts w:ascii="仿宋_GB2312" w:eastAsia="仿宋_GB2312" w:hAnsi="微软雅黑" w:cs="宋体"/>
          <w:kern w:val="0"/>
          <w:sz w:val="28"/>
          <w:szCs w:val="28"/>
        </w:rPr>
      </w:pPr>
      <w:r>
        <w:rPr>
          <w:rFonts w:ascii="仿宋_GB2312" w:eastAsia="仿宋_GB2312" w:hAnsi="微软雅黑" w:cs="宋体"/>
          <w:kern w:val="0"/>
          <w:sz w:val="28"/>
          <w:szCs w:val="28"/>
        </w:rPr>
        <w:t>3.紧急停牌是指上市公司在交易日早间和午间提交的、仅于当日停牌的证券停牌</w:t>
      </w:r>
      <w:r>
        <w:rPr>
          <w:rFonts w:ascii="仿宋_GB2312" w:eastAsia="仿宋_GB2312" w:hAnsi="微软雅黑" w:cs="宋体" w:hint="eastAsia"/>
          <w:kern w:val="0"/>
          <w:sz w:val="28"/>
          <w:szCs w:val="28"/>
        </w:rPr>
        <w:t>。</w:t>
      </w:r>
    </w:p>
    <w:p w:rsidR="00D05492" w:rsidRDefault="000A2CCC" w:rsidP="00D05492">
      <w:pPr>
        <w:widowControl/>
        <w:shd w:val="clear" w:color="auto" w:fill="FFFFFF"/>
        <w:spacing w:line="600" w:lineRule="exact"/>
        <w:ind w:firstLineChars="200" w:firstLine="562"/>
        <w:jc w:val="left"/>
        <w:rPr>
          <w:rFonts w:ascii="仿宋_GB2312" w:eastAsia="仿宋_GB2312"/>
          <w:b/>
          <w:sz w:val="28"/>
          <w:szCs w:val="28"/>
        </w:rPr>
      </w:pPr>
      <w:r>
        <w:rPr>
          <w:rFonts w:ascii="仿宋_GB2312" w:eastAsia="仿宋_GB2312" w:hAnsi="微软雅黑" w:cs="宋体" w:hint="eastAsia"/>
          <w:b/>
          <w:kern w:val="0"/>
          <w:sz w:val="28"/>
          <w:szCs w:val="28"/>
        </w:rPr>
        <w:t>（二）停牌类型</w:t>
      </w:r>
      <w:r>
        <w:rPr>
          <w:rFonts w:ascii="仿宋_GB2312" w:eastAsia="仿宋_GB2312" w:hint="eastAsia"/>
          <w:b/>
          <w:sz w:val="28"/>
          <w:szCs w:val="28"/>
        </w:rPr>
        <w:t>按提交方式分类</w:t>
      </w:r>
    </w:p>
    <w:p w:rsidR="00D05492" w:rsidRDefault="000A2CCC" w:rsidP="00D05492">
      <w:pPr>
        <w:widowControl/>
        <w:shd w:val="clear" w:color="auto" w:fill="FFFFFF"/>
        <w:spacing w:line="600" w:lineRule="exact"/>
        <w:ind w:firstLineChars="200" w:firstLine="560"/>
        <w:jc w:val="left"/>
        <w:rPr>
          <w:rFonts w:ascii="仿宋_GB2312" w:eastAsia="仿宋_GB2312"/>
          <w:b/>
          <w:sz w:val="28"/>
          <w:szCs w:val="28"/>
        </w:rPr>
      </w:pPr>
      <w:r>
        <w:rPr>
          <w:rFonts w:ascii="仿宋_GB2312" w:eastAsia="仿宋_GB2312" w:hint="eastAsia"/>
          <w:sz w:val="28"/>
          <w:szCs w:val="28"/>
        </w:rPr>
        <w:t>停牌申请按提交方式可分随公告停牌和独立停牌。</w:t>
      </w:r>
    </w:p>
    <w:p w:rsidR="00D05492" w:rsidRDefault="000A2CCC" w:rsidP="00D05492">
      <w:pPr>
        <w:widowControl/>
        <w:shd w:val="clear" w:color="auto" w:fill="FFFFFF"/>
        <w:spacing w:line="600" w:lineRule="exact"/>
        <w:ind w:firstLineChars="200" w:firstLine="560"/>
        <w:jc w:val="left"/>
        <w:rPr>
          <w:rFonts w:ascii="仿宋_GB2312" w:eastAsia="仿宋_GB2312"/>
          <w:b/>
          <w:sz w:val="28"/>
          <w:szCs w:val="28"/>
        </w:rPr>
      </w:pPr>
      <w:r>
        <w:rPr>
          <w:rFonts w:ascii="仿宋_GB2312" w:eastAsia="仿宋_GB2312"/>
          <w:sz w:val="28"/>
          <w:szCs w:val="28"/>
        </w:rPr>
        <w:t>1.</w:t>
      </w:r>
      <w:r>
        <w:rPr>
          <w:rFonts w:ascii="仿宋_GB2312" w:eastAsia="仿宋_GB2312" w:hint="eastAsia"/>
          <w:sz w:val="28"/>
          <w:szCs w:val="28"/>
        </w:rPr>
        <w:t>随公告停牌是指停复牌业务申请随公告添加、填写后一起提交的停复牌。上市公司公告涉及停复牌事宜，原则上应添加相应的停复牌申请。</w:t>
      </w:r>
    </w:p>
    <w:p w:rsidR="00271D6B" w:rsidRPr="00D05492" w:rsidRDefault="000A2CCC" w:rsidP="00D05492">
      <w:pPr>
        <w:widowControl/>
        <w:shd w:val="clear" w:color="auto" w:fill="FFFFFF"/>
        <w:spacing w:line="600" w:lineRule="exact"/>
        <w:ind w:firstLineChars="200" w:firstLine="560"/>
        <w:jc w:val="left"/>
        <w:rPr>
          <w:rFonts w:ascii="仿宋_GB2312" w:eastAsia="仿宋_GB2312"/>
          <w:b/>
          <w:sz w:val="28"/>
          <w:szCs w:val="28"/>
        </w:rPr>
      </w:pPr>
      <w:r>
        <w:rPr>
          <w:rFonts w:ascii="仿宋_GB2312" w:eastAsia="仿宋_GB2312"/>
          <w:sz w:val="28"/>
          <w:szCs w:val="28"/>
        </w:rPr>
        <w:t>2.</w:t>
      </w:r>
      <w:r>
        <w:rPr>
          <w:rFonts w:ascii="仿宋_GB2312" w:eastAsia="仿宋_GB2312" w:hint="eastAsia"/>
          <w:sz w:val="28"/>
          <w:szCs w:val="28"/>
        </w:rPr>
        <w:t>独立停牌是指停复牌业务申请不随公告、单独提交的停复牌。</w:t>
      </w:r>
    </w:p>
    <w:p w:rsidR="00D05492" w:rsidRDefault="000A2CCC" w:rsidP="00D05492">
      <w:pPr>
        <w:adjustRightInd w:val="0"/>
        <w:snapToGrid w:val="0"/>
        <w:spacing w:line="600" w:lineRule="exact"/>
        <w:ind w:firstLineChars="200" w:firstLine="562"/>
        <w:rPr>
          <w:rFonts w:ascii="仿宋_GB2312" w:eastAsia="仿宋_GB2312" w:hAnsi="微软雅黑" w:cs="宋体"/>
          <w:b/>
          <w:kern w:val="0"/>
          <w:sz w:val="28"/>
          <w:szCs w:val="28"/>
        </w:rPr>
      </w:pPr>
      <w:r>
        <w:rPr>
          <w:rFonts w:ascii="仿宋_GB2312" w:eastAsia="仿宋_GB2312" w:hAnsi="微软雅黑" w:cs="宋体" w:hint="eastAsia"/>
          <w:b/>
          <w:kern w:val="0"/>
          <w:sz w:val="28"/>
          <w:szCs w:val="28"/>
        </w:rPr>
        <w:t>（三）停牌申请的提交时间</w:t>
      </w:r>
    </w:p>
    <w:p w:rsidR="00D05492" w:rsidRDefault="000A2CCC" w:rsidP="00D05492">
      <w:pPr>
        <w:adjustRightInd w:val="0"/>
        <w:snapToGrid w:val="0"/>
        <w:spacing w:line="600" w:lineRule="exact"/>
        <w:ind w:firstLineChars="200" w:firstLine="560"/>
        <w:rPr>
          <w:rFonts w:ascii="仿宋_GB2312" w:eastAsia="仿宋_GB2312" w:hAnsi="微软雅黑" w:cs="宋体"/>
          <w:b/>
          <w:kern w:val="0"/>
          <w:sz w:val="28"/>
          <w:szCs w:val="28"/>
        </w:rPr>
      </w:pPr>
      <w:r>
        <w:rPr>
          <w:rFonts w:ascii="仿宋_GB2312" w:eastAsia="仿宋_GB2312" w:hAnsi="微软雅黑" w:cs="宋体"/>
          <w:kern w:val="0"/>
          <w:sz w:val="28"/>
          <w:szCs w:val="28"/>
        </w:rPr>
        <w:t>1.早间随公告提交的紧急停牌申请，应于8:30</w:t>
      </w:r>
      <w:r>
        <w:rPr>
          <w:rFonts w:ascii="仿宋_GB2312" w:eastAsia="仿宋_GB2312" w:hAnsi="微软雅黑" w:cs="宋体" w:hint="eastAsia"/>
          <w:kern w:val="0"/>
          <w:sz w:val="28"/>
          <w:szCs w:val="28"/>
        </w:rPr>
        <w:t>前完成提交。早间独立提交的紧急停牌申请，应于</w:t>
      </w:r>
      <w:r>
        <w:rPr>
          <w:rFonts w:ascii="仿宋_GB2312" w:eastAsia="仿宋_GB2312" w:hAnsi="微软雅黑" w:cs="宋体"/>
          <w:kern w:val="0"/>
          <w:sz w:val="28"/>
          <w:szCs w:val="28"/>
        </w:rPr>
        <w:t>8:50</w:t>
      </w:r>
      <w:r>
        <w:rPr>
          <w:rFonts w:ascii="仿宋_GB2312" w:eastAsia="仿宋_GB2312" w:hAnsi="微软雅黑" w:cs="宋体" w:hint="eastAsia"/>
          <w:kern w:val="0"/>
          <w:sz w:val="28"/>
          <w:szCs w:val="28"/>
        </w:rPr>
        <w:t>前完成提交。</w:t>
      </w:r>
    </w:p>
    <w:p w:rsidR="00D05492" w:rsidRDefault="000A2CCC" w:rsidP="00D05492">
      <w:pPr>
        <w:adjustRightInd w:val="0"/>
        <w:snapToGrid w:val="0"/>
        <w:spacing w:line="600" w:lineRule="exact"/>
        <w:ind w:firstLineChars="200" w:firstLine="560"/>
        <w:rPr>
          <w:rFonts w:ascii="仿宋_GB2312" w:eastAsia="仿宋_GB2312" w:hAnsi="微软雅黑" w:cs="宋体"/>
          <w:b/>
          <w:kern w:val="0"/>
          <w:sz w:val="28"/>
          <w:szCs w:val="28"/>
        </w:rPr>
      </w:pPr>
      <w:r>
        <w:rPr>
          <w:rFonts w:ascii="仿宋_GB2312" w:eastAsia="仿宋_GB2312" w:hAnsi="微软雅黑" w:cs="宋体"/>
          <w:kern w:val="0"/>
          <w:sz w:val="28"/>
          <w:szCs w:val="28"/>
        </w:rPr>
        <w:t>2.午间随公告提交的紧急停牌申请，以及独立提交的紧急停牌申请，均应于12</w:t>
      </w:r>
      <w:r>
        <w:rPr>
          <w:rFonts w:ascii="仿宋_GB2312" w:eastAsia="仿宋_GB2312" w:hAnsi="微软雅黑" w:cs="宋体" w:hint="eastAsia"/>
          <w:kern w:val="0"/>
          <w:sz w:val="28"/>
          <w:szCs w:val="28"/>
        </w:rPr>
        <w:t>：</w:t>
      </w:r>
      <w:r>
        <w:rPr>
          <w:rFonts w:ascii="仿宋_GB2312" w:eastAsia="仿宋_GB2312" w:hAnsi="微软雅黑" w:cs="宋体"/>
          <w:kern w:val="0"/>
          <w:sz w:val="28"/>
          <w:szCs w:val="28"/>
        </w:rPr>
        <w:t>30</w:t>
      </w:r>
      <w:r>
        <w:rPr>
          <w:rFonts w:ascii="仿宋_GB2312" w:eastAsia="仿宋_GB2312" w:hAnsi="微软雅黑" w:cs="宋体" w:hint="eastAsia"/>
          <w:kern w:val="0"/>
          <w:sz w:val="28"/>
          <w:szCs w:val="28"/>
        </w:rPr>
        <w:t>前完成提交。</w:t>
      </w:r>
    </w:p>
    <w:p w:rsidR="00271D6B" w:rsidRPr="00D05492" w:rsidRDefault="000A2CCC" w:rsidP="00D05492">
      <w:pPr>
        <w:adjustRightInd w:val="0"/>
        <w:snapToGrid w:val="0"/>
        <w:spacing w:line="600" w:lineRule="exact"/>
        <w:ind w:firstLineChars="200" w:firstLine="560"/>
        <w:rPr>
          <w:rFonts w:ascii="仿宋_GB2312" w:eastAsia="仿宋_GB2312" w:hAnsi="微软雅黑" w:cs="宋体"/>
          <w:b/>
          <w:kern w:val="0"/>
          <w:sz w:val="28"/>
          <w:szCs w:val="28"/>
        </w:rPr>
      </w:pPr>
      <w:r>
        <w:rPr>
          <w:rFonts w:ascii="仿宋_GB2312" w:eastAsia="仿宋_GB2312" w:hAnsi="微软雅黑" w:cs="宋体"/>
          <w:kern w:val="0"/>
          <w:sz w:val="28"/>
          <w:szCs w:val="28"/>
        </w:rPr>
        <w:t>3.盘后随公告提交的停复牌申请，以及独立提交的停复牌申请，均应于交易日17:00</w:t>
      </w:r>
      <w:r>
        <w:rPr>
          <w:rFonts w:ascii="仿宋_GB2312" w:eastAsia="仿宋_GB2312" w:hAnsi="微软雅黑" w:cs="宋体" w:hint="eastAsia"/>
          <w:kern w:val="0"/>
          <w:sz w:val="28"/>
          <w:szCs w:val="28"/>
        </w:rPr>
        <w:t>前完成提交。</w:t>
      </w:r>
    </w:p>
    <w:p w:rsidR="00271D6B" w:rsidRDefault="000A2CCC">
      <w:pPr>
        <w:tabs>
          <w:tab w:val="left" w:pos="540"/>
        </w:tabs>
        <w:adjustRightInd w:val="0"/>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表一  停牌申请提交和操作反馈结果核对确认时点一览表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2"/>
        <w:gridCol w:w="709"/>
        <w:gridCol w:w="1698"/>
        <w:gridCol w:w="1780"/>
        <w:gridCol w:w="1589"/>
        <w:gridCol w:w="2214"/>
      </w:tblGrid>
      <w:tr w:rsidR="00271D6B">
        <w:trPr>
          <w:trHeight w:val="90"/>
        </w:trPr>
        <w:tc>
          <w:tcPr>
            <w:tcW w:w="1241" w:type="dxa"/>
            <w:gridSpan w:val="2"/>
            <w:vAlign w:val="center"/>
          </w:tcPr>
          <w:p w:rsidR="00271D6B" w:rsidRDefault="000A2CCC">
            <w:pPr>
              <w:tabs>
                <w:tab w:val="left" w:pos="540"/>
              </w:tabs>
              <w:adjustRightInd w:val="0"/>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停牌类型</w:t>
            </w:r>
          </w:p>
        </w:tc>
        <w:tc>
          <w:tcPr>
            <w:tcW w:w="1698" w:type="dxa"/>
            <w:vAlign w:val="center"/>
          </w:tcPr>
          <w:p w:rsidR="00271D6B" w:rsidRDefault="000A2CCC">
            <w:pPr>
              <w:tabs>
                <w:tab w:val="left" w:pos="540"/>
              </w:tabs>
              <w:adjustRightInd w:val="0"/>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停牌时间</w:t>
            </w:r>
          </w:p>
        </w:tc>
        <w:tc>
          <w:tcPr>
            <w:tcW w:w="1780" w:type="dxa"/>
            <w:vAlign w:val="center"/>
          </w:tcPr>
          <w:p w:rsidR="00271D6B" w:rsidRDefault="000A2CCC">
            <w:pPr>
              <w:tabs>
                <w:tab w:val="left" w:pos="540"/>
              </w:tabs>
              <w:adjustRightInd w:val="0"/>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是否随公告提交</w:t>
            </w:r>
          </w:p>
        </w:tc>
        <w:tc>
          <w:tcPr>
            <w:tcW w:w="1589" w:type="dxa"/>
            <w:vAlign w:val="center"/>
          </w:tcPr>
          <w:p w:rsidR="00271D6B" w:rsidRDefault="000A2CCC">
            <w:pPr>
              <w:tabs>
                <w:tab w:val="left" w:pos="540"/>
              </w:tabs>
              <w:adjustRightInd w:val="0"/>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申请提交截止时间</w:t>
            </w:r>
          </w:p>
        </w:tc>
        <w:tc>
          <w:tcPr>
            <w:tcW w:w="2214" w:type="dxa"/>
            <w:vAlign w:val="center"/>
          </w:tcPr>
          <w:p w:rsidR="00271D6B" w:rsidRDefault="000A2CCC">
            <w:pPr>
              <w:tabs>
                <w:tab w:val="left" w:pos="540"/>
              </w:tabs>
              <w:adjustRightInd w:val="0"/>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操作反馈结果查看核对时间</w:t>
            </w:r>
          </w:p>
        </w:tc>
      </w:tr>
      <w:tr w:rsidR="00271D6B">
        <w:trPr>
          <w:trHeight w:val="90"/>
        </w:trPr>
        <w:tc>
          <w:tcPr>
            <w:tcW w:w="532" w:type="dxa"/>
            <w:vMerge w:val="restart"/>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紧急停牌</w:t>
            </w:r>
          </w:p>
        </w:tc>
        <w:tc>
          <w:tcPr>
            <w:tcW w:w="709" w:type="dxa"/>
            <w:vMerge w:val="restart"/>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早间停牌</w:t>
            </w:r>
          </w:p>
        </w:tc>
        <w:tc>
          <w:tcPr>
            <w:tcW w:w="1698" w:type="dxa"/>
            <w:vMerge w:val="restart"/>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当日全天</w:t>
            </w:r>
          </w:p>
        </w:tc>
        <w:tc>
          <w:tcPr>
            <w:tcW w:w="1780" w:type="dxa"/>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随公告提交</w:t>
            </w:r>
          </w:p>
        </w:tc>
        <w:tc>
          <w:tcPr>
            <w:tcW w:w="1589" w:type="dxa"/>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8:30:00前</w:t>
            </w:r>
          </w:p>
        </w:tc>
        <w:tc>
          <w:tcPr>
            <w:tcW w:w="2214" w:type="dxa"/>
            <w:vAlign w:val="center"/>
          </w:tcPr>
          <w:p w:rsidR="00271D6B" w:rsidRDefault="000A2CCC">
            <w:pPr>
              <w:pStyle w:val="10"/>
              <w:tabs>
                <w:tab w:val="left" w:pos="1276"/>
              </w:tabs>
              <w:spacing w:line="36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申请当日</w:t>
            </w:r>
          </w:p>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9:00—9:05</w:t>
            </w:r>
          </w:p>
        </w:tc>
      </w:tr>
      <w:tr w:rsidR="00271D6B">
        <w:trPr>
          <w:trHeight w:val="90"/>
        </w:trPr>
        <w:tc>
          <w:tcPr>
            <w:tcW w:w="532" w:type="dxa"/>
            <w:vMerge/>
            <w:vAlign w:val="center"/>
          </w:tcPr>
          <w:p w:rsidR="00271D6B" w:rsidRDefault="00271D6B">
            <w:pPr>
              <w:tabs>
                <w:tab w:val="left" w:pos="540"/>
              </w:tabs>
              <w:adjustRightInd w:val="0"/>
              <w:snapToGrid w:val="0"/>
              <w:jc w:val="center"/>
              <w:rPr>
                <w:rFonts w:ascii="仿宋_GB2312" w:eastAsia="仿宋_GB2312" w:hAnsi="仿宋_GB2312" w:cs="仿宋_GB2312"/>
                <w:szCs w:val="21"/>
              </w:rPr>
            </w:pPr>
          </w:p>
        </w:tc>
        <w:tc>
          <w:tcPr>
            <w:tcW w:w="709" w:type="dxa"/>
            <w:vMerge/>
            <w:vAlign w:val="center"/>
          </w:tcPr>
          <w:p w:rsidR="00271D6B" w:rsidRDefault="00271D6B">
            <w:pPr>
              <w:tabs>
                <w:tab w:val="left" w:pos="540"/>
              </w:tabs>
              <w:adjustRightInd w:val="0"/>
              <w:snapToGrid w:val="0"/>
              <w:jc w:val="center"/>
              <w:rPr>
                <w:rFonts w:ascii="仿宋_GB2312" w:eastAsia="仿宋_GB2312" w:hAnsi="仿宋_GB2312" w:cs="仿宋_GB2312"/>
                <w:szCs w:val="21"/>
              </w:rPr>
            </w:pPr>
          </w:p>
        </w:tc>
        <w:tc>
          <w:tcPr>
            <w:tcW w:w="1698" w:type="dxa"/>
            <w:vMerge/>
            <w:vAlign w:val="center"/>
          </w:tcPr>
          <w:p w:rsidR="00271D6B" w:rsidRDefault="00271D6B">
            <w:pPr>
              <w:tabs>
                <w:tab w:val="left" w:pos="540"/>
              </w:tabs>
              <w:adjustRightInd w:val="0"/>
              <w:snapToGrid w:val="0"/>
              <w:jc w:val="center"/>
              <w:rPr>
                <w:rFonts w:ascii="仿宋_GB2312" w:eastAsia="仿宋_GB2312" w:hAnsi="仿宋_GB2312" w:cs="仿宋_GB2312"/>
                <w:szCs w:val="21"/>
              </w:rPr>
            </w:pPr>
          </w:p>
        </w:tc>
        <w:tc>
          <w:tcPr>
            <w:tcW w:w="1780" w:type="dxa"/>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独立提交</w:t>
            </w:r>
          </w:p>
        </w:tc>
        <w:tc>
          <w:tcPr>
            <w:tcW w:w="1589" w:type="dxa"/>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8:50:00前</w:t>
            </w:r>
          </w:p>
        </w:tc>
        <w:tc>
          <w:tcPr>
            <w:tcW w:w="2214" w:type="dxa"/>
            <w:vAlign w:val="center"/>
          </w:tcPr>
          <w:p w:rsidR="00271D6B" w:rsidRDefault="000A2CCC">
            <w:pPr>
              <w:pStyle w:val="10"/>
              <w:tabs>
                <w:tab w:val="left" w:pos="1276"/>
              </w:tabs>
              <w:spacing w:line="36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申请当日</w:t>
            </w:r>
          </w:p>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9:00—9:05</w:t>
            </w:r>
          </w:p>
        </w:tc>
      </w:tr>
      <w:tr w:rsidR="00271D6B">
        <w:trPr>
          <w:trHeight w:val="710"/>
        </w:trPr>
        <w:tc>
          <w:tcPr>
            <w:tcW w:w="532" w:type="dxa"/>
            <w:vMerge/>
            <w:vAlign w:val="center"/>
          </w:tcPr>
          <w:p w:rsidR="00271D6B" w:rsidRDefault="00271D6B">
            <w:pPr>
              <w:tabs>
                <w:tab w:val="left" w:pos="540"/>
              </w:tabs>
              <w:adjustRightInd w:val="0"/>
              <w:snapToGrid w:val="0"/>
              <w:jc w:val="center"/>
              <w:rPr>
                <w:rFonts w:ascii="仿宋_GB2312" w:eastAsia="仿宋_GB2312" w:hAnsi="仿宋_GB2312" w:cs="仿宋_GB2312"/>
                <w:szCs w:val="21"/>
              </w:rPr>
            </w:pPr>
          </w:p>
        </w:tc>
        <w:tc>
          <w:tcPr>
            <w:tcW w:w="709" w:type="dxa"/>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午间停牌</w:t>
            </w:r>
          </w:p>
        </w:tc>
        <w:tc>
          <w:tcPr>
            <w:tcW w:w="1698" w:type="dxa"/>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当日下午</w:t>
            </w:r>
          </w:p>
        </w:tc>
        <w:tc>
          <w:tcPr>
            <w:tcW w:w="1780" w:type="dxa"/>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随公告提交、</w:t>
            </w:r>
          </w:p>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独立提交</w:t>
            </w:r>
          </w:p>
        </w:tc>
        <w:tc>
          <w:tcPr>
            <w:tcW w:w="1589" w:type="dxa"/>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12:30:00前</w:t>
            </w:r>
          </w:p>
        </w:tc>
        <w:tc>
          <w:tcPr>
            <w:tcW w:w="2214" w:type="dxa"/>
            <w:vAlign w:val="center"/>
          </w:tcPr>
          <w:p w:rsidR="00271D6B" w:rsidRDefault="000A2CCC">
            <w:pPr>
              <w:pStyle w:val="10"/>
              <w:tabs>
                <w:tab w:val="left" w:pos="1276"/>
              </w:tabs>
              <w:spacing w:line="36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申请当日</w:t>
            </w:r>
          </w:p>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12:40—12:50</w:t>
            </w:r>
          </w:p>
        </w:tc>
      </w:tr>
      <w:tr w:rsidR="00271D6B">
        <w:trPr>
          <w:trHeight w:val="905"/>
        </w:trPr>
        <w:tc>
          <w:tcPr>
            <w:tcW w:w="532" w:type="dxa"/>
            <w:vMerge w:val="restart"/>
            <w:shd w:val="clear" w:color="auto" w:fill="auto"/>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盘后停牌</w:t>
            </w:r>
          </w:p>
        </w:tc>
        <w:tc>
          <w:tcPr>
            <w:tcW w:w="709" w:type="dxa"/>
            <w:shd w:val="clear" w:color="auto" w:fill="auto"/>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临时停牌</w:t>
            </w:r>
          </w:p>
        </w:tc>
        <w:tc>
          <w:tcPr>
            <w:tcW w:w="1698" w:type="dxa"/>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下一交易日</w:t>
            </w:r>
          </w:p>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停牌1天</w:t>
            </w:r>
          </w:p>
        </w:tc>
        <w:tc>
          <w:tcPr>
            <w:tcW w:w="1780" w:type="dxa"/>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随公告提交、</w:t>
            </w:r>
          </w:p>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独立提交</w:t>
            </w:r>
          </w:p>
        </w:tc>
        <w:tc>
          <w:tcPr>
            <w:tcW w:w="1589" w:type="dxa"/>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17:00:00前</w:t>
            </w:r>
          </w:p>
        </w:tc>
        <w:tc>
          <w:tcPr>
            <w:tcW w:w="2214" w:type="dxa"/>
            <w:vAlign w:val="center"/>
          </w:tcPr>
          <w:p w:rsidR="00271D6B" w:rsidRDefault="000A2CCC">
            <w:pPr>
              <w:pStyle w:val="10"/>
              <w:tabs>
                <w:tab w:val="left" w:pos="1276"/>
              </w:tabs>
              <w:spacing w:line="36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申请日下一交易日8:45—9:00</w:t>
            </w:r>
          </w:p>
        </w:tc>
      </w:tr>
      <w:tr w:rsidR="00271D6B">
        <w:trPr>
          <w:trHeight w:val="653"/>
        </w:trPr>
        <w:tc>
          <w:tcPr>
            <w:tcW w:w="532" w:type="dxa"/>
            <w:vMerge/>
            <w:shd w:val="clear" w:color="auto" w:fill="auto"/>
            <w:vAlign w:val="center"/>
          </w:tcPr>
          <w:p w:rsidR="00271D6B" w:rsidRDefault="00271D6B">
            <w:pPr>
              <w:tabs>
                <w:tab w:val="left" w:pos="540"/>
              </w:tabs>
              <w:adjustRightInd w:val="0"/>
              <w:snapToGrid w:val="0"/>
              <w:jc w:val="center"/>
              <w:rPr>
                <w:rFonts w:ascii="仿宋_GB2312" w:eastAsia="仿宋_GB2312" w:hAnsi="仿宋_GB2312" w:cs="仿宋_GB2312"/>
                <w:szCs w:val="21"/>
              </w:rPr>
            </w:pPr>
          </w:p>
        </w:tc>
        <w:tc>
          <w:tcPr>
            <w:tcW w:w="709" w:type="dxa"/>
            <w:shd w:val="clear" w:color="auto" w:fill="auto"/>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连续停牌</w:t>
            </w:r>
          </w:p>
        </w:tc>
        <w:tc>
          <w:tcPr>
            <w:tcW w:w="1698" w:type="dxa"/>
            <w:vAlign w:val="center"/>
          </w:tcPr>
          <w:p w:rsidR="00271D6B" w:rsidRDefault="000A2CCC">
            <w:pPr>
              <w:tabs>
                <w:tab w:val="left" w:pos="540"/>
              </w:tabs>
              <w:adjustRightInd w:val="0"/>
              <w:snapToGrid w:val="0"/>
              <w:ind w:firstLine="1"/>
              <w:jc w:val="center"/>
              <w:rPr>
                <w:rFonts w:ascii="仿宋_GB2312" w:eastAsia="仿宋_GB2312" w:hAnsi="仿宋_GB2312" w:cs="仿宋_GB2312"/>
                <w:szCs w:val="21"/>
              </w:rPr>
            </w:pPr>
            <w:r>
              <w:rPr>
                <w:rFonts w:ascii="仿宋_GB2312" w:eastAsia="仿宋_GB2312" w:hAnsi="仿宋_GB2312" w:cs="仿宋_GB2312" w:hint="eastAsia"/>
                <w:szCs w:val="21"/>
              </w:rPr>
              <w:t>下一交易日或之后停牌1个交易日以上</w:t>
            </w:r>
          </w:p>
        </w:tc>
        <w:tc>
          <w:tcPr>
            <w:tcW w:w="1780" w:type="dxa"/>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随公告提交、</w:t>
            </w:r>
          </w:p>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独立提交</w:t>
            </w:r>
          </w:p>
        </w:tc>
        <w:tc>
          <w:tcPr>
            <w:tcW w:w="1589" w:type="dxa"/>
            <w:vAlign w:val="center"/>
          </w:tcPr>
          <w:p w:rsidR="00271D6B" w:rsidRDefault="000A2CCC">
            <w:pPr>
              <w:tabs>
                <w:tab w:val="left" w:pos="540"/>
              </w:tabs>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17:00:00前</w:t>
            </w:r>
          </w:p>
        </w:tc>
        <w:tc>
          <w:tcPr>
            <w:tcW w:w="2214" w:type="dxa"/>
            <w:vAlign w:val="center"/>
          </w:tcPr>
          <w:p w:rsidR="00271D6B" w:rsidRDefault="000A2CCC">
            <w:pPr>
              <w:pStyle w:val="10"/>
              <w:tabs>
                <w:tab w:val="left" w:pos="1276"/>
              </w:tabs>
              <w:spacing w:line="36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申请日下一交易日8:45—9:00</w:t>
            </w:r>
          </w:p>
        </w:tc>
      </w:tr>
    </w:tbl>
    <w:p w:rsidR="00271D6B" w:rsidRDefault="000A2CCC" w:rsidP="00D05492">
      <w:pPr>
        <w:spacing w:line="600" w:lineRule="exact"/>
        <w:ind w:firstLineChars="200" w:firstLine="562"/>
        <w:rPr>
          <w:rFonts w:ascii="仿宋_GB2312" w:eastAsia="仿宋_GB2312"/>
          <w:b/>
          <w:sz w:val="28"/>
          <w:szCs w:val="28"/>
        </w:rPr>
      </w:pPr>
      <w:r>
        <w:rPr>
          <w:rFonts w:ascii="仿宋_GB2312" w:eastAsia="仿宋_GB2312" w:hint="eastAsia"/>
          <w:b/>
          <w:sz w:val="28"/>
          <w:szCs w:val="28"/>
        </w:rPr>
        <w:t>三、办理流程</w:t>
      </w:r>
    </w:p>
    <w:p w:rsidR="00271D6B" w:rsidRDefault="000A2CCC" w:rsidP="00D05492">
      <w:pPr>
        <w:adjustRightInd w:val="0"/>
        <w:snapToGrid w:val="0"/>
        <w:spacing w:line="600" w:lineRule="exact"/>
        <w:ind w:firstLineChars="200" w:firstLine="562"/>
        <w:rPr>
          <w:rFonts w:ascii="仿宋_GB2312" w:eastAsia="仿宋_GB2312" w:hAnsi="微软雅黑" w:cs="宋体"/>
          <w:b/>
          <w:kern w:val="0"/>
          <w:sz w:val="28"/>
          <w:szCs w:val="28"/>
        </w:rPr>
      </w:pPr>
      <w:r>
        <w:rPr>
          <w:rFonts w:ascii="仿宋_GB2312" w:eastAsia="仿宋_GB2312" w:hAnsi="微软雅黑" w:cs="宋体" w:hint="eastAsia"/>
          <w:b/>
          <w:kern w:val="0"/>
          <w:sz w:val="28"/>
          <w:szCs w:val="28"/>
        </w:rPr>
        <w:t>（一）创建停复牌申请</w:t>
      </w:r>
    </w:p>
    <w:p w:rsidR="00271D6B" w:rsidRDefault="000A2CCC" w:rsidP="00D05492">
      <w:pPr>
        <w:adjustRightInd w:val="0"/>
        <w:snapToGrid w:val="0"/>
        <w:spacing w:line="600" w:lineRule="exact"/>
        <w:ind w:firstLineChars="192" w:firstLine="538"/>
        <w:rPr>
          <w:rFonts w:ascii="仿宋_GB2312" w:eastAsia="仿宋_GB2312" w:hAnsi="微软雅黑" w:cs="宋体"/>
          <w:kern w:val="0"/>
          <w:sz w:val="28"/>
          <w:szCs w:val="28"/>
        </w:rPr>
      </w:pPr>
      <w:r>
        <w:rPr>
          <w:rFonts w:ascii="仿宋_GB2312" w:eastAsia="仿宋_GB2312" w:hAnsi="微软雅黑" w:cs="宋体" w:hint="eastAsia"/>
          <w:kern w:val="0"/>
          <w:sz w:val="28"/>
          <w:szCs w:val="28"/>
        </w:rPr>
        <w:t>上市公司在提交与停复牌相关公告时，应根据公告内容和业务操作申请需要，准确选择公告类别，随公告一起提交停复牌业务申请，不得以公告替代停复牌业务申请。</w:t>
      </w:r>
    </w:p>
    <w:p w:rsidR="00271D6B" w:rsidRDefault="000A2CCC" w:rsidP="00D05492">
      <w:pPr>
        <w:adjustRightInd w:val="0"/>
        <w:snapToGrid w:val="0"/>
        <w:spacing w:line="600" w:lineRule="exact"/>
        <w:ind w:firstLineChars="192" w:firstLine="538"/>
        <w:rPr>
          <w:rFonts w:ascii="仿宋_GB2312" w:eastAsia="仿宋_GB2312" w:hAnsi="微软雅黑" w:cs="宋体"/>
          <w:kern w:val="0"/>
          <w:sz w:val="28"/>
          <w:szCs w:val="28"/>
        </w:rPr>
      </w:pPr>
      <w:r>
        <w:rPr>
          <w:rFonts w:ascii="仿宋_GB2312" w:eastAsia="仿宋_GB2312" w:hAnsi="微软雅黑" w:cs="宋体" w:hint="eastAsia"/>
          <w:kern w:val="0"/>
          <w:sz w:val="28"/>
          <w:szCs w:val="28"/>
        </w:rPr>
        <w:t>上市公司也可在系统中“独立停复牌”模块单独提交停复牌申请。</w:t>
      </w:r>
    </w:p>
    <w:p w:rsidR="00271D6B" w:rsidRDefault="000A2CCC" w:rsidP="00D05492">
      <w:pPr>
        <w:adjustRightInd w:val="0"/>
        <w:snapToGrid w:val="0"/>
        <w:spacing w:line="600" w:lineRule="exact"/>
        <w:ind w:firstLineChars="192" w:firstLine="538"/>
        <w:rPr>
          <w:rFonts w:ascii="仿宋_GB2312" w:eastAsia="仿宋_GB2312" w:hAnsi="微软雅黑" w:cs="宋体"/>
          <w:kern w:val="0"/>
          <w:sz w:val="28"/>
          <w:szCs w:val="28"/>
        </w:rPr>
      </w:pPr>
      <w:r>
        <w:rPr>
          <w:rFonts w:ascii="仿宋_GB2312" w:eastAsia="仿宋_GB2312" w:hAnsi="微软雅黑" w:cs="宋体" w:hint="eastAsia"/>
          <w:kern w:val="0"/>
          <w:sz w:val="28"/>
          <w:szCs w:val="28"/>
        </w:rPr>
        <w:t>上市公司不能申请其证券当天复牌或当天起的连续停牌。</w:t>
      </w:r>
    </w:p>
    <w:p w:rsidR="00271D6B" w:rsidRDefault="000A2CCC" w:rsidP="00D05492">
      <w:pPr>
        <w:adjustRightInd w:val="0"/>
        <w:snapToGrid w:val="0"/>
        <w:spacing w:line="600" w:lineRule="exact"/>
        <w:ind w:firstLineChars="200" w:firstLine="562"/>
        <w:rPr>
          <w:rFonts w:ascii="仿宋_GB2312" w:eastAsia="仿宋_GB2312" w:hAnsi="微软雅黑" w:cs="宋体"/>
          <w:b/>
          <w:kern w:val="0"/>
          <w:sz w:val="28"/>
          <w:szCs w:val="28"/>
        </w:rPr>
      </w:pPr>
      <w:r>
        <w:rPr>
          <w:rFonts w:ascii="仿宋_GB2312" w:eastAsia="仿宋_GB2312" w:hAnsi="微软雅黑" w:cs="宋体" w:hint="eastAsia"/>
          <w:b/>
          <w:kern w:val="0"/>
          <w:sz w:val="28"/>
          <w:szCs w:val="28"/>
        </w:rPr>
        <w:t>（二）填写停复牌申请</w:t>
      </w:r>
    </w:p>
    <w:p w:rsidR="00271D6B" w:rsidRDefault="000A2CCC" w:rsidP="00D05492">
      <w:pPr>
        <w:adjustRightInd w:val="0"/>
        <w:snapToGrid w:val="0"/>
        <w:spacing w:line="600" w:lineRule="exact"/>
        <w:ind w:firstLineChars="192" w:firstLine="538"/>
        <w:rPr>
          <w:rFonts w:ascii="仿宋_GB2312" w:eastAsia="仿宋_GB2312" w:hAnsi="微软雅黑" w:cs="宋体"/>
          <w:kern w:val="0"/>
          <w:sz w:val="28"/>
          <w:szCs w:val="28"/>
        </w:rPr>
      </w:pPr>
      <w:r>
        <w:rPr>
          <w:rFonts w:ascii="仿宋_GB2312" w:eastAsia="仿宋_GB2312" w:hAnsi="微软雅黑" w:cs="宋体" w:hint="eastAsia"/>
          <w:kern w:val="0"/>
          <w:sz w:val="28"/>
          <w:szCs w:val="28"/>
        </w:rPr>
        <w:t>上市公司填写停复牌申请时，应根据停牌事由正确选择停复牌的证券品种、业务类型、停复牌原因及日期。</w:t>
      </w:r>
    </w:p>
    <w:p w:rsidR="00271D6B" w:rsidRDefault="000A2CCC" w:rsidP="00D05492">
      <w:pPr>
        <w:adjustRightInd w:val="0"/>
        <w:snapToGrid w:val="0"/>
        <w:spacing w:line="600" w:lineRule="exact"/>
        <w:ind w:firstLineChars="192" w:firstLine="538"/>
        <w:rPr>
          <w:rFonts w:ascii="仿宋_GB2312" w:eastAsia="仿宋_GB2312" w:hAnsi="微软雅黑" w:cs="宋体"/>
          <w:kern w:val="0"/>
          <w:sz w:val="28"/>
          <w:szCs w:val="28"/>
        </w:rPr>
      </w:pPr>
      <w:r>
        <w:rPr>
          <w:rFonts w:ascii="仿宋_GB2312" w:eastAsia="仿宋_GB2312" w:hAnsi="微软雅黑" w:cs="宋体" w:hint="eastAsia"/>
          <w:kern w:val="0"/>
          <w:sz w:val="28"/>
          <w:szCs w:val="28"/>
        </w:rPr>
        <w:t>若为连续停牌，“停牌起始日”为提交停牌申请的下一个交易日或之后交易日，停牌终止日一般不填写。</w:t>
      </w:r>
    </w:p>
    <w:p w:rsidR="00271D6B" w:rsidRDefault="000A2CCC" w:rsidP="00D05492">
      <w:pPr>
        <w:adjustRightInd w:val="0"/>
        <w:snapToGrid w:val="0"/>
        <w:spacing w:line="600" w:lineRule="exact"/>
        <w:ind w:firstLineChars="192" w:firstLine="538"/>
        <w:rPr>
          <w:rFonts w:ascii="仿宋_GB2312" w:eastAsia="仿宋_GB2312" w:hAnsi="微软雅黑" w:cs="宋体"/>
          <w:kern w:val="0"/>
          <w:sz w:val="28"/>
          <w:szCs w:val="28"/>
        </w:rPr>
      </w:pPr>
      <w:r>
        <w:rPr>
          <w:rFonts w:ascii="仿宋_GB2312" w:eastAsia="仿宋_GB2312" w:hAnsi="微软雅黑" w:hint="eastAsia"/>
          <w:sz w:val="28"/>
          <w:szCs w:val="28"/>
        </w:rPr>
        <w:t>连续停牌在提交申请时未确定停牌终止日的，证券如需复牌，公司需在连续停牌终止日（含）前再次提交连续停牌申请，明确停牌终止日。</w:t>
      </w:r>
      <w:r>
        <w:rPr>
          <w:rFonts w:ascii="仿宋_GB2312" w:eastAsia="仿宋_GB2312" w:hAnsi="微软雅黑" w:cs="宋体" w:hint="eastAsia"/>
          <w:kern w:val="0"/>
          <w:sz w:val="28"/>
          <w:szCs w:val="28"/>
        </w:rPr>
        <w:t>“停牌终止日”</w:t>
      </w:r>
      <w:r>
        <w:rPr>
          <w:rFonts w:ascii="仿宋_GB2312" w:eastAsia="仿宋_GB2312" w:hint="eastAsia"/>
          <w:sz w:val="28"/>
          <w:szCs w:val="28"/>
        </w:rPr>
        <w:t>的下一交易日即为复牌日，停牌证券在复牌日恢复交易，</w:t>
      </w:r>
      <w:r>
        <w:rPr>
          <w:rFonts w:ascii="仿宋_GB2312" w:eastAsia="仿宋_GB2312" w:hAnsi="微软雅黑" w:hint="eastAsia"/>
          <w:sz w:val="28"/>
          <w:szCs w:val="28"/>
        </w:rPr>
        <w:t>复牌申请不填写“</w:t>
      </w:r>
      <w:r>
        <w:rPr>
          <w:rFonts w:ascii="仿宋_GB2312" w:eastAsia="仿宋_GB2312" w:hAnsi="微软雅黑" w:cs="宋体" w:hint="eastAsia"/>
          <w:kern w:val="0"/>
          <w:sz w:val="28"/>
          <w:szCs w:val="28"/>
        </w:rPr>
        <w:t>停牌起始日”。</w:t>
      </w:r>
    </w:p>
    <w:p w:rsidR="00271D6B" w:rsidRDefault="000A2CCC" w:rsidP="00D05492">
      <w:pPr>
        <w:adjustRightInd w:val="0"/>
        <w:snapToGrid w:val="0"/>
        <w:spacing w:line="600" w:lineRule="exact"/>
        <w:ind w:firstLineChars="192" w:firstLine="538"/>
        <w:rPr>
          <w:rFonts w:ascii="仿宋_GB2312" w:eastAsia="仿宋_GB2312" w:hAnsi="微软雅黑" w:cs="宋体"/>
          <w:kern w:val="0"/>
          <w:sz w:val="28"/>
          <w:szCs w:val="28"/>
        </w:rPr>
      </w:pPr>
      <w:r>
        <w:rPr>
          <w:rFonts w:ascii="仿宋_GB2312" w:eastAsia="仿宋_GB2312" w:hAnsi="微软雅黑" w:cs="宋体"/>
          <w:kern w:val="0"/>
          <w:sz w:val="28"/>
          <w:szCs w:val="28"/>
        </w:rPr>
        <w:t>证券临时停牌或紧急停牌后，上市公司如需继续停牌，应在当日盘后通过系统另行提交停牌申请，如上市公司未提交继续停牌申请的，</w:t>
      </w:r>
      <w:r>
        <w:rPr>
          <w:rFonts w:ascii="仿宋_GB2312" w:eastAsia="仿宋_GB2312" w:hAnsi="微软雅黑" w:cs="宋体"/>
          <w:kern w:val="0"/>
          <w:sz w:val="28"/>
          <w:szCs w:val="28"/>
        </w:rPr>
        <w:lastRenderedPageBreak/>
        <w:t>该证券下一交易日将自动复牌交易。</w:t>
      </w:r>
    </w:p>
    <w:p w:rsidR="00271D6B" w:rsidRDefault="000A2CCC" w:rsidP="00D05492">
      <w:pPr>
        <w:adjustRightInd w:val="0"/>
        <w:snapToGrid w:val="0"/>
        <w:spacing w:line="600" w:lineRule="exact"/>
        <w:ind w:firstLineChars="200" w:firstLine="562"/>
        <w:rPr>
          <w:rFonts w:ascii="仿宋_GB2312" w:eastAsia="仿宋_GB2312" w:hAnsi="微软雅黑" w:cs="宋体"/>
          <w:b/>
          <w:kern w:val="0"/>
          <w:sz w:val="28"/>
          <w:szCs w:val="28"/>
        </w:rPr>
      </w:pPr>
      <w:r>
        <w:rPr>
          <w:rFonts w:ascii="仿宋_GB2312" w:eastAsia="仿宋_GB2312" w:hAnsi="微软雅黑" w:cs="宋体" w:hint="eastAsia"/>
          <w:b/>
          <w:kern w:val="0"/>
          <w:sz w:val="28"/>
          <w:szCs w:val="28"/>
        </w:rPr>
        <w:t>（三）确认停复牌业务操作结果</w:t>
      </w:r>
    </w:p>
    <w:p w:rsidR="00271D6B" w:rsidRDefault="000A2CCC" w:rsidP="00D05492">
      <w:pPr>
        <w:adjustRightInd w:val="0"/>
        <w:snapToGrid w:val="0"/>
        <w:spacing w:line="600" w:lineRule="exact"/>
        <w:ind w:firstLineChars="192" w:firstLine="538"/>
        <w:rPr>
          <w:rFonts w:ascii="仿宋_GB2312" w:eastAsia="仿宋_GB2312" w:hAnsi="微软雅黑" w:cs="宋体"/>
          <w:kern w:val="0"/>
          <w:sz w:val="28"/>
          <w:szCs w:val="28"/>
        </w:rPr>
      </w:pPr>
      <w:r>
        <w:rPr>
          <w:rFonts w:ascii="仿宋_GB2312" w:eastAsia="仿宋_GB2312" w:hAnsi="微软雅黑" w:cs="宋体" w:hint="eastAsia"/>
          <w:kern w:val="0"/>
          <w:sz w:val="28"/>
          <w:szCs w:val="28"/>
        </w:rPr>
        <w:t>上市公司应关注停复牌办理进展。本所按照上市公司申请实施停复牌操作后，将通过系统向上市公司反馈停复牌操作结果，上市公司应当及时核对确认停复牌操作反馈结果是否与业务申请内容一致。</w:t>
      </w:r>
    </w:p>
    <w:p w:rsidR="00271D6B" w:rsidRDefault="000A2CCC" w:rsidP="00D05492">
      <w:pPr>
        <w:adjustRightInd w:val="0"/>
        <w:snapToGrid w:val="0"/>
        <w:spacing w:line="600" w:lineRule="exact"/>
        <w:ind w:firstLineChars="192" w:firstLine="538"/>
        <w:rPr>
          <w:rFonts w:ascii="仿宋_GB2312" w:eastAsia="仿宋_GB2312" w:hAnsi="微软雅黑" w:cs="宋体"/>
          <w:kern w:val="0"/>
          <w:sz w:val="28"/>
          <w:szCs w:val="28"/>
        </w:rPr>
      </w:pPr>
      <w:r>
        <w:rPr>
          <w:rFonts w:ascii="仿宋_GB2312" w:eastAsia="仿宋_GB2312" w:hAnsi="微软雅黑" w:cs="宋体" w:hint="eastAsia"/>
          <w:kern w:val="0"/>
          <w:sz w:val="28"/>
          <w:szCs w:val="28"/>
        </w:rPr>
        <w:t>如发现停复牌操作反馈结果与上市公司业务申请不一致，或未在规定时间收到停复牌操作反馈结果，公司应当立即与本所公司管理部门联系处理。</w:t>
      </w:r>
    </w:p>
    <w:p w:rsidR="00271D6B" w:rsidRDefault="000A2CCC" w:rsidP="00D05492">
      <w:pPr>
        <w:adjustRightInd w:val="0"/>
        <w:snapToGrid w:val="0"/>
        <w:spacing w:line="600" w:lineRule="exact"/>
        <w:ind w:firstLineChars="200" w:firstLine="560"/>
        <w:rPr>
          <w:rFonts w:ascii="仿宋_GB2312" w:eastAsia="仿宋_GB2312" w:hAnsi="微软雅黑" w:cs="宋体"/>
          <w:kern w:val="0"/>
          <w:sz w:val="28"/>
          <w:szCs w:val="28"/>
        </w:rPr>
      </w:pPr>
      <w:r>
        <w:rPr>
          <w:rFonts w:ascii="仿宋_GB2312" w:eastAsia="仿宋_GB2312" w:hAnsi="微软雅黑" w:cs="宋体" w:hint="eastAsia"/>
          <w:kern w:val="0"/>
          <w:sz w:val="28"/>
          <w:szCs w:val="28"/>
        </w:rPr>
        <w:t>上市公司核对确认停复牌操作结果的时间如本指南表一所示。系统中核对确认操作反馈结果的具体路径为“首页—信息披露—业务操作申请结果确认”。</w:t>
      </w:r>
    </w:p>
    <w:sectPr w:rsidR="00271D6B" w:rsidSect="00271D6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727" w:rsidRDefault="00247727" w:rsidP="00271D6B">
      <w:r>
        <w:separator/>
      </w:r>
    </w:p>
  </w:endnote>
  <w:endnote w:type="continuationSeparator" w:id="0">
    <w:p w:rsidR="00247727" w:rsidRDefault="00247727" w:rsidP="00271D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988704"/>
    </w:sdtPr>
    <w:sdtContent>
      <w:p w:rsidR="00271D6B" w:rsidRDefault="009550A1">
        <w:pPr>
          <w:pStyle w:val="a5"/>
          <w:jc w:val="center"/>
        </w:pPr>
        <w:r>
          <w:fldChar w:fldCharType="begin"/>
        </w:r>
        <w:r w:rsidR="000A2CCC">
          <w:instrText xml:space="preserve"> PAGE   \* MERGEFORMAT </w:instrText>
        </w:r>
        <w:r>
          <w:fldChar w:fldCharType="separate"/>
        </w:r>
        <w:r w:rsidR="001D72AF" w:rsidRPr="001D72AF">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727" w:rsidRDefault="00247727" w:rsidP="00271D6B">
      <w:r>
        <w:separator/>
      </w:r>
    </w:p>
  </w:footnote>
  <w:footnote w:type="continuationSeparator" w:id="0">
    <w:p w:rsidR="00247727" w:rsidRDefault="00247727" w:rsidP="00271D6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zhu">
    <w15:presenceInfo w15:providerId="None" w15:userId="kzhu"/>
  </w15:person>
  <w15:person w15:author="gwang">
    <w15:presenceInfo w15:providerId="None" w15:userId="gwa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08500E1"/>
    <w:rsid w:val="000A2CCC"/>
    <w:rsid w:val="000B34B5"/>
    <w:rsid w:val="0016064E"/>
    <w:rsid w:val="00182A76"/>
    <w:rsid w:val="001D72AF"/>
    <w:rsid w:val="001E48D6"/>
    <w:rsid w:val="00220B49"/>
    <w:rsid w:val="00247727"/>
    <w:rsid w:val="00271D6B"/>
    <w:rsid w:val="002B3B29"/>
    <w:rsid w:val="003B048A"/>
    <w:rsid w:val="004071E9"/>
    <w:rsid w:val="00413B4F"/>
    <w:rsid w:val="00424417"/>
    <w:rsid w:val="004C4714"/>
    <w:rsid w:val="006356D1"/>
    <w:rsid w:val="008420F2"/>
    <w:rsid w:val="00890102"/>
    <w:rsid w:val="00913616"/>
    <w:rsid w:val="00924DCF"/>
    <w:rsid w:val="009251C2"/>
    <w:rsid w:val="00940BB3"/>
    <w:rsid w:val="00942C3A"/>
    <w:rsid w:val="009550A1"/>
    <w:rsid w:val="009F259F"/>
    <w:rsid w:val="00A82318"/>
    <w:rsid w:val="00AD5675"/>
    <w:rsid w:val="00AE67BF"/>
    <w:rsid w:val="00B02DE9"/>
    <w:rsid w:val="00B943AB"/>
    <w:rsid w:val="00D05492"/>
    <w:rsid w:val="00E61AB4"/>
    <w:rsid w:val="00E65AEA"/>
    <w:rsid w:val="00E971A0"/>
    <w:rsid w:val="00F06278"/>
    <w:rsid w:val="02DA277D"/>
    <w:rsid w:val="06804B49"/>
    <w:rsid w:val="14725519"/>
    <w:rsid w:val="14EC216F"/>
    <w:rsid w:val="19E12676"/>
    <w:rsid w:val="21BE66FC"/>
    <w:rsid w:val="2F2F5EFD"/>
    <w:rsid w:val="39F350B4"/>
    <w:rsid w:val="3CB3408C"/>
    <w:rsid w:val="408500E1"/>
    <w:rsid w:val="439B1BB3"/>
    <w:rsid w:val="45EB5B11"/>
    <w:rsid w:val="51C13FBE"/>
    <w:rsid w:val="6193113F"/>
    <w:rsid w:val="6D5F7D37"/>
    <w:rsid w:val="72CE71D3"/>
    <w:rsid w:val="73322903"/>
    <w:rsid w:val="75E204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unhideWhenUsed="1" w:qFormat="1"/>
    <w:lsdException w:name="header" w:qFormat="1"/>
    <w:lsdException w:name="footer" w:uiPriority="99" w:qFormat="1"/>
    <w:lsdException w:name="caption" w:semiHidden="1" w:unhideWhenUsed="1" w:qFormat="1"/>
    <w:lsdException w:name="footnote reference" w:semiHidden="1" w:qFormat="1"/>
    <w:lsdException w:name="annotation reference"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1D6B"/>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271D6B"/>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uiPriority w:val="9"/>
    <w:qFormat/>
    <w:rsid w:val="00271D6B"/>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rsid w:val="00271D6B"/>
    <w:pPr>
      <w:jc w:val="left"/>
    </w:pPr>
    <w:rPr>
      <w:rFonts w:ascii="Calibri" w:hAnsi="Calibri"/>
      <w:szCs w:val="22"/>
    </w:rPr>
  </w:style>
  <w:style w:type="paragraph" w:styleId="a4">
    <w:name w:val="Balloon Text"/>
    <w:basedOn w:val="a"/>
    <w:link w:val="Char"/>
    <w:qFormat/>
    <w:rsid w:val="00271D6B"/>
    <w:rPr>
      <w:sz w:val="18"/>
      <w:szCs w:val="18"/>
    </w:rPr>
  </w:style>
  <w:style w:type="paragraph" w:styleId="a5">
    <w:name w:val="footer"/>
    <w:basedOn w:val="a"/>
    <w:link w:val="Char0"/>
    <w:uiPriority w:val="99"/>
    <w:qFormat/>
    <w:rsid w:val="00271D6B"/>
    <w:pPr>
      <w:tabs>
        <w:tab w:val="center" w:pos="4153"/>
        <w:tab w:val="right" w:pos="8306"/>
      </w:tabs>
      <w:snapToGrid w:val="0"/>
      <w:jc w:val="left"/>
    </w:pPr>
    <w:rPr>
      <w:sz w:val="18"/>
      <w:szCs w:val="18"/>
    </w:rPr>
  </w:style>
  <w:style w:type="paragraph" w:styleId="a6">
    <w:name w:val="header"/>
    <w:basedOn w:val="a"/>
    <w:link w:val="Char1"/>
    <w:qFormat/>
    <w:rsid w:val="00271D6B"/>
    <w:pPr>
      <w:pBdr>
        <w:bottom w:val="single" w:sz="6" w:space="1" w:color="auto"/>
      </w:pBdr>
      <w:tabs>
        <w:tab w:val="center" w:pos="4153"/>
        <w:tab w:val="right" w:pos="8306"/>
      </w:tabs>
      <w:snapToGrid w:val="0"/>
      <w:jc w:val="center"/>
    </w:pPr>
    <w:rPr>
      <w:sz w:val="18"/>
      <w:szCs w:val="18"/>
    </w:rPr>
  </w:style>
  <w:style w:type="paragraph" w:styleId="a7">
    <w:name w:val="footnote text"/>
    <w:basedOn w:val="a"/>
    <w:semiHidden/>
    <w:qFormat/>
    <w:rsid w:val="00271D6B"/>
    <w:pPr>
      <w:snapToGrid w:val="0"/>
      <w:jc w:val="left"/>
    </w:pPr>
    <w:rPr>
      <w:sz w:val="18"/>
      <w:szCs w:val="18"/>
    </w:rPr>
  </w:style>
  <w:style w:type="paragraph" w:styleId="a8">
    <w:name w:val="Title"/>
    <w:basedOn w:val="a"/>
    <w:next w:val="a"/>
    <w:qFormat/>
    <w:rsid w:val="00271D6B"/>
    <w:pPr>
      <w:spacing w:beforeLines="50" w:afterLines="50" w:line="480" w:lineRule="auto"/>
      <w:jc w:val="center"/>
      <w:outlineLvl w:val="0"/>
    </w:pPr>
    <w:rPr>
      <w:rFonts w:ascii="Cambria" w:hAnsi="Cambria"/>
      <w:b/>
      <w:bCs/>
      <w:sz w:val="30"/>
      <w:szCs w:val="30"/>
    </w:rPr>
  </w:style>
  <w:style w:type="character" w:styleId="a9">
    <w:name w:val="annotation reference"/>
    <w:basedOn w:val="a0"/>
    <w:unhideWhenUsed/>
    <w:qFormat/>
    <w:rsid w:val="00271D6B"/>
    <w:rPr>
      <w:sz w:val="21"/>
      <w:szCs w:val="21"/>
    </w:rPr>
  </w:style>
  <w:style w:type="character" w:styleId="aa">
    <w:name w:val="footnote reference"/>
    <w:basedOn w:val="a0"/>
    <w:semiHidden/>
    <w:qFormat/>
    <w:rsid w:val="00271D6B"/>
    <w:rPr>
      <w:vertAlign w:val="superscript"/>
    </w:rPr>
  </w:style>
  <w:style w:type="paragraph" w:customStyle="1" w:styleId="10">
    <w:name w:val="列出段落1"/>
    <w:basedOn w:val="a"/>
    <w:qFormat/>
    <w:rsid w:val="00271D6B"/>
    <w:pPr>
      <w:widowControl/>
      <w:ind w:firstLineChars="200" w:firstLine="420"/>
      <w:jc w:val="left"/>
    </w:pPr>
    <w:rPr>
      <w:rFonts w:ascii="宋体" w:hAnsi="宋体" w:cs="宋体"/>
      <w:kern w:val="0"/>
      <w:sz w:val="24"/>
    </w:rPr>
  </w:style>
  <w:style w:type="character" w:customStyle="1" w:styleId="Char">
    <w:name w:val="批注框文本 Char"/>
    <w:basedOn w:val="a0"/>
    <w:link w:val="a4"/>
    <w:qFormat/>
    <w:rsid w:val="00271D6B"/>
    <w:rPr>
      <w:rFonts w:ascii="Times New Roman" w:eastAsia="宋体" w:hAnsi="Times New Roman" w:cs="Times New Roman"/>
      <w:kern w:val="2"/>
      <w:sz w:val="18"/>
      <w:szCs w:val="18"/>
    </w:rPr>
  </w:style>
  <w:style w:type="character" w:customStyle="1" w:styleId="Char1">
    <w:name w:val="页眉 Char"/>
    <w:basedOn w:val="a0"/>
    <w:link w:val="a6"/>
    <w:qFormat/>
    <w:rsid w:val="00271D6B"/>
    <w:rPr>
      <w:rFonts w:ascii="Times New Roman" w:eastAsia="宋体" w:hAnsi="Times New Roman" w:cs="Times New Roman"/>
      <w:kern w:val="2"/>
      <w:sz w:val="18"/>
      <w:szCs w:val="18"/>
    </w:rPr>
  </w:style>
  <w:style w:type="character" w:customStyle="1" w:styleId="Char0">
    <w:name w:val="页脚 Char"/>
    <w:basedOn w:val="a0"/>
    <w:link w:val="a5"/>
    <w:uiPriority w:val="99"/>
    <w:qFormat/>
    <w:rsid w:val="00271D6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2021-11-25T01:42:00Z</dcterms:created>
  <dcterms:modified xsi:type="dcterms:W3CDTF">2023-02-24T08:27:00Z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8ECEB1A79E6446D09893C3A81173B49F</vt:lpwstr>
  </property>
</Properties>
</file>