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32"/>
          <w:szCs w:val="32"/>
        </w:rPr>
      </w:pPr>
      <w:bookmarkStart w:id="0" w:name="_Toc340839653"/>
      <w:bookmarkStart w:id="1" w:name="_Toc108525204"/>
      <w:bookmarkStart w:id="2" w:name="_Toc50034098"/>
      <w:bookmarkStart w:id="3" w:name="_Toc330904170"/>
      <w:r>
        <w:rPr>
          <w:rFonts w:hint="eastAsia"/>
          <w:sz w:val="32"/>
          <w:szCs w:val="32"/>
        </w:rPr>
        <w:t>科创板上市公司可转债转股结果暨股份变动</w:t>
      </w:r>
      <w:bookmarkEnd w:id="0"/>
      <w:bookmarkEnd w:id="1"/>
      <w:bookmarkEnd w:id="2"/>
      <w:bookmarkEnd w:id="3"/>
      <w:bookmarkStart w:id="5" w:name="_GoBack"/>
      <w:bookmarkEnd w:id="5"/>
    </w:p>
    <w:p>
      <w:pPr>
        <w:widowControl/>
        <w:adjustRightInd w:val="0"/>
        <w:snapToGrid w:val="0"/>
        <w:spacing w:line="560" w:lineRule="exact"/>
        <w:jc w:val="left"/>
        <w:rPr>
          <w:rFonts w:ascii="仿宋" w:hAnsi="仿宋" w:eastAsia="仿宋_GB2312" w:cs="宋体"/>
          <w:b/>
          <w:bCs/>
          <w:kern w:val="0"/>
          <w:sz w:val="30"/>
          <w:szCs w:val="30"/>
        </w:rPr>
      </w:pPr>
      <w:r>
        <w:rPr>
          <w:rFonts w:hint="eastAsia" w:ascii="仿宋" w:hAnsi="仿宋" w:eastAsia="仿宋_GB2312" w:cs="宋体"/>
          <w:b/>
          <w:bCs/>
          <w:kern w:val="0"/>
          <w:sz w:val="30"/>
          <w:szCs w:val="30"/>
        </w:rPr>
        <w:t>适用情形：</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1、转股期间每个季度结束后的2个交易日内，无论是否出现转股情况均须披露转股结果公告。</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2、可转债转换为股份的数额累计达到可转债转股前公司已发行股份总额10%。</w:t>
      </w:r>
    </w:p>
    <w:p>
      <w:pPr>
        <w:adjustRightInd w:val="0"/>
        <w:snapToGrid w:val="0"/>
        <w:spacing w:line="560" w:lineRule="exact"/>
        <w:ind w:firstLine="600" w:firstLineChars="200"/>
        <w:rPr>
          <w:rFonts w:ascii="仿宋" w:hAnsi="仿宋" w:eastAsia="仿宋_GB2312"/>
          <w:sz w:val="30"/>
          <w:szCs w:val="30"/>
          <w:u w:val="single"/>
        </w:rPr>
      </w:pP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            证券简称：            公告编号：</w:t>
      </w: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            转债简称：</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XXXX股份有限公司可转债转股结果暨股份变动公告</w:t>
      </w:r>
    </w:p>
    <w:p>
      <w:pPr>
        <w:adjustRightInd w:val="0"/>
        <w:snapToGrid w:val="0"/>
        <w:spacing w:line="560" w:lineRule="exact"/>
        <w:ind w:firstLine="600" w:firstLineChars="200"/>
        <w:jc w:val="center"/>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pPr>
        <w:numPr>
          <w:ilvl w:val="0"/>
          <w:numId w:val="1"/>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累计转股情况（说明可转债累计转股的金额、累计因转股形成的股份数量以及占可转债转股前公司已发行股份总额的比例）</w:t>
      </w:r>
    </w:p>
    <w:p>
      <w:pPr>
        <w:numPr>
          <w:ilvl w:val="0"/>
          <w:numId w:val="1"/>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未转股可转债情况（说明尚未转股的可转债金额以及占可转债发行总量的比例）</w:t>
      </w:r>
    </w:p>
    <w:p>
      <w:pPr>
        <w:numPr>
          <w:ilvl w:val="0"/>
          <w:numId w:val="1"/>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本季度转股情况（说明本季度可转债转股的金额、因转股形成的股份数量）（如适用）</w:t>
      </w:r>
    </w:p>
    <w:p>
      <w:pPr>
        <w:numPr>
          <w:ilvl w:val="0"/>
          <w:numId w:val="1"/>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需提请投资者注意的其他情况（如适用）</w:t>
      </w:r>
    </w:p>
    <w:p>
      <w:pPr>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pPr>
        <w:autoSpaceDE w:val="0"/>
        <w:autoSpaceDN w:val="0"/>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（一）可转债获中国证监会注册发行基本情况，</w:t>
      </w:r>
      <w:r>
        <w:rPr>
          <w:rFonts w:hint="eastAsia" w:ascii="仿宋_GB2312" w:hAnsi="宋体" w:eastAsia="仿宋_GB2312"/>
          <w:sz w:val="30"/>
          <w:szCs w:val="30"/>
        </w:rPr>
        <w:t>包括注册号、发行时间、发行数量、面值、发行总额、期限等</w:t>
      </w:r>
      <w:r>
        <w:rPr>
          <w:rFonts w:hint="eastAsia" w:ascii="仿宋_GB2312" w:hAnsi="宋体" w:eastAsia="仿宋_GB2312" w:cs="宋体"/>
          <w:kern w:val="0"/>
          <w:sz w:val="30"/>
          <w:szCs w:val="30"/>
        </w:rPr>
        <w:t>。</w:t>
      </w:r>
    </w:p>
    <w:p>
      <w:pPr>
        <w:autoSpaceDE w:val="0"/>
        <w:autoSpaceDN w:val="0"/>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（二）可转债在上海证券交易所挂牌上市的基本情况，包括核准上市文号、上市日期、可转债交易代码、可转债简称等。</w:t>
      </w:r>
    </w:p>
    <w:p>
      <w:pPr>
        <w:autoSpaceDE w:val="0"/>
        <w:autoSpaceDN w:val="0"/>
        <w:adjustRightInd w:val="0"/>
        <w:snapToGrid w:val="0"/>
        <w:spacing w:line="560" w:lineRule="exact"/>
        <w:ind w:firstLine="600" w:firstLineChars="200"/>
        <w:jc w:val="left"/>
        <w:rPr>
          <w:rFonts w:ascii="仿宋" w:hAnsi="仿宋" w:eastAsia="仿宋_GB2312"/>
          <w:sz w:val="30"/>
          <w:szCs w:val="30"/>
        </w:rPr>
      </w:pPr>
      <w:r>
        <w:rPr>
          <w:rFonts w:hint="eastAsia" w:ascii="仿宋_GB2312" w:hAnsi="宋体" w:eastAsia="仿宋_GB2312"/>
          <w:sz w:val="30"/>
          <w:szCs w:val="30"/>
        </w:rPr>
        <w:t>（三）公司应说明公司可转债开始转股的日期、转股价格等。</w:t>
      </w:r>
    </w:p>
    <w:p>
      <w:pPr>
        <w:autoSpaceDE w:val="0"/>
        <w:autoSpaceDN w:val="0"/>
        <w:adjustRightInd w:val="0"/>
        <w:snapToGrid w:val="0"/>
        <w:spacing w:line="560" w:lineRule="exact"/>
        <w:ind w:firstLine="600" w:firstLineChars="200"/>
        <w:jc w:val="left"/>
        <w:rPr>
          <w:rFonts w:ascii="仿宋" w:hAnsi="仿宋" w:eastAsia="仿宋_GB2312"/>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二、可转债本次转股情况</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公司应说明可转债的转股情况，包括转股期间、本次可转债转股金额、本次因转股形成的股份数量，以及累计转股的金额、累计因转股形成的股份数量以及占公司可转债转股前公司已发行股份总额的比例等。</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（二）说明未转股可转债的情况，包括尚未转股的可转债金额以及占可转债发行总量的比例等。</w:t>
      </w:r>
    </w:p>
    <w:p>
      <w:pPr>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三、股本变动情况（如披露期间无转股，应予以明示）</w:t>
      </w:r>
    </w:p>
    <w:p>
      <w:pPr>
        <w:widowControl/>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公司应列表说明因可转债本次转股导致的股本变动情况</w:t>
      </w:r>
    </w:p>
    <w:p>
      <w:pPr>
        <w:adjustRightInd w:val="0"/>
        <w:snapToGrid w:val="0"/>
        <w:spacing w:line="560" w:lineRule="exact"/>
        <w:ind w:firstLine="480" w:firstLineChars="200"/>
        <w:jc w:val="right"/>
        <w:rPr>
          <w:rFonts w:ascii="仿宋" w:hAnsi="仿宋" w:eastAsia="仿宋_GB2312"/>
          <w:sz w:val="24"/>
          <w:szCs w:val="24"/>
        </w:rPr>
      </w:pPr>
      <w:r>
        <w:rPr>
          <w:rFonts w:hint="eastAsia" w:ascii="仿宋" w:hAnsi="仿宋" w:eastAsia="仿宋_GB2312"/>
          <w:sz w:val="24"/>
          <w:szCs w:val="24"/>
        </w:rPr>
        <w:t>单位：股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055"/>
        <w:gridCol w:w="188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adjustRightInd w:val="0"/>
              <w:snapToGrid w:val="0"/>
              <w:spacing w:line="56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股份类别</w:t>
            </w:r>
          </w:p>
        </w:tc>
        <w:tc>
          <w:tcPr>
            <w:tcW w:w="2055" w:type="dxa"/>
            <w:vAlign w:val="center"/>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变动前（</w:t>
            </w:r>
            <w:r>
              <w:rPr>
                <w:rFonts w:hint="eastAsia" w:ascii="仿宋_GB2312" w:hAnsi="仿宋" w:eastAsia="仿宋_GB2312" w:cs="宋体"/>
                <w:kern w:val="0"/>
                <w:sz w:val="24"/>
                <w:szCs w:val="24"/>
              </w:rPr>
              <w:t>XXXX</w:t>
            </w:r>
            <w:r>
              <w:rPr>
                <w:rFonts w:hint="eastAsia" w:ascii="仿宋_GB2312" w:hAnsi="仿宋_GB2312" w:eastAsia="仿宋_GB2312" w:cs="仿宋_GB2312"/>
                <w:kern w:val="0"/>
                <w:sz w:val="24"/>
                <w:szCs w:val="24"/>
              </w:rPr>
              <w:t>年</w:t>
            </w:r>
            <w:r>
              <w:rPr>
                <w:rFonts w:hint="eastAsia" w:ascii="仿宋_GB2312" w:hAnsi="仿宋" w:eastAsia="仿宋_GB2312" w:cs="宋体"/>
                <w:kern w:val="0"/>
                <w:sz w:val="24"/>
                <w:szCs w:val="24"/>
              </w:rPr>
              <w:t>XX</w:t>
            </w:r>
            <w:r>
              <w:rPr>
                <w:rFonts w:hint="eastAsia" w:ascii="仿宋_GB2312" w:hAnsi="仿宋" w:eastAsia="仿宋_GB2312"/>
                <w:kern w:val="0"/>
                <w:sz w:val="24"/>
                <w:szCs w:val="24"/>
              </w:rPr>
              <w:t>月</w:t>
            </w:r>
            <w:r>
              <w:rPr>
                <w:rFonts w:hint="eastAsia" w:ascii="仿宋_GB2312" w:hAnsi="仿宋" w:eastAsia="仿宋_GB2312" w:cs="宋体"/>
                <w:kern w:val="0"/>
                <w:sz w:val="24"/>
                <w:szCs w:val="24"/>
              </w:rPr>
              <w:t>XX</w:t>
            </w:r>
            <w:r>
              <w:rPr>
                <w:rFonts w:hint="eastAsia" w:ascii="仿宋_GB2312" w:hAnsi="仿宋_GB2312" w:eastAsia="仿宋_GB2312" w:cs="仿宋_GB2312"/>
                <w:kern w:val="0"/>
                <w:sz w:val="24"/>
                <w:szCs w:val="24"/>
              </w:rPr>
              <w:t>日）</w:t>
            </w:r>
          </w:p>
        </w:tc>
        <w:tc>
          <w:tcPr>
            <w:tcW w:w="1888" w:type="dxa"/>
            <w:vAlign w:val="center"/>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本次可转债转股</w:t>
            </w:r>
          </w:p>
        </w:tc>
        <w:tc>
          <w:tcPr>
            <w:tcW w:w="2131" w:type="dxa"/>
            <w:vAlign w:val="center"/>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变动后（</w:t>
            </w:r>
            <w:r>
              <w:rPr>
                <w:rFonts w:hint="eastAsia" w:ascii="仿宋_GB2312" w:hAnsi="仿宋" w:eastAsia="仿宋_GB2312" w:cs="宋体"/>
                <w:kern w:val="0"/>
                <w:sz w:val="24"/>
                <w:szCs w:val="24"/>
              </w:rPr>
              <w:t>XXXX</w:t>
            </w:r>
            <w:r>
              <w:rPr>
                <w:rFonts w:hint="eastAsia" w:ascii="仿宋_GB2312" w:hAnsi="仿宋_GB2312" w:eastAsia="仿宋_GB2312" w:cs="仿宋_GB2312"/>
                <w:kern w:val="0"/>
                <w:sz w:val="24"/>
                <w:szCs w:val="24"/>
              </w:rPr>
              <w:t>年</w:t>
            </w:r>
            <w:r>
              <w:rPr>
                <w:rFonts w:hint="eastAsia" w:ascii="仿宋_GB2312" w:hAnsi="仿宋" w:eastAsia="仿宋_GB2312" w:cs="宋体"/>
                <w:kern w:val="0"/>
                <w:sz w:val="24"/>
                <w:szCs w:val="24"/>
              </w:rPr>
              <w:t>XX</w:t>
            </w:r>
            <w:r>
              <w:rPr>
                <w:rFonts w:hint="eastAsia" w:ascii="仿宋_GB2312" w:hAnsi="仿宋" w:eastAsia="仿宋_GB2312"/>
                <w:kern w:val="0"/>
                <w:sz w:val="24"/>
                <w:szCs w:val="24"/>
              </w:rPr>
              <w:t>月</w:t>
            </w:r>
            <w:r>
              <w:rPr>
                <w:rFonts w:hint="eastAsia" w:ascii="仿宋_GB2312" w:hAnsi="仿宋" w:eastAsia="仿宋_GB2312" w:cs="宋体"/>
                <w:kern w:val="0"/>
                <w:sz w:val="24"/>
                <w:szCs w:val="24"/>
              </w:rPr>
              <w:t>XX</w:t>
            </w:r>
            <w:r>
              <w:rPr>
                <w:rFonts w:hint="eastAsia" w:ascii="仿宋_GB2312" w:hAns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有限售条件流通股</w:t>
            </w:r>
          </w:p>
        </w:tc>
        <w:tc>
          <w:tcPr>
            <w:tcW w:w="2055"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pPr>
              <w:adjustRightInd w:val="0"/>
              <w:snapToGrid w:val="0"/>
              <w:spacing w:line="560" w:lineRule="exact"/>
              <w:ind w:firstLine="480" w:firstLineChars="20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无限售条件流通股</w:t>
            </w:r>
          </w:p>
        </w:tc>
        <w:tc>
          <w:tcPr>
            <w:tcW w:w="2055"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pPr>
              <w:adjustRightInd w:val="0"/>
              <w:snapToGrid w:val="0"/>
              <w:spacing w:line="560" w:lineRule="exact"/>
              <w:ind w:firstLine="480" w:firstLineChars="20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总股本</w:t>
            </w:r>
          </w:p>
        </w:tc>
        <w:tc>
          <w:tcPr>
            <w:tcW w:w="2055"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pPr>
              <w:adjustRightInd w:val="0"/>
              <w:snapToGrid w:val="0"/>
              <w:spacing w:line="560" w:lineRule="exact"/>
              <w:ind w:firstLine="480" w:firstLineChars="200"/>
              <w:jc w:val="center"/>
              <w:rPr>
                <w:rFonts w:ascii="仿宋_GB2312" w:hAnsi="仿宋" w:eastAsia="仿宋_GB2312"/>
                <w:kern w:val="0"/>
                <w:sz w:val="24"/>
                <w:szCs w:val="24"/>
              </w:rPr>
            </w:pPr>
          </w:p>
        </w:tc>
      </w:tr>
    </w:tbl>
    <w:p>
      <w:pPr>
        <w:widowControl/>
        <w:adjustRightInd w:val="0"/>
        <w:snapToGrid w:val="0"/>
        <w:spacing w:line="560" w:lineRule="exact"/>
        <w:ind w:firstLine="480" w:firstLineChars="200"/>
        <w:rPr>
          <w:rFonts w:ascii="楷体" w:hAnsi="楷体" w:eastAsia="楷体"/>
          <w:kern w:val="0"/>
          <w:sz w:val="24"/>
          <w:szCs w:val="24"/>
        </w:rPr>
      </w:pPr>
      <w:r>
        <w:rPr>
          <w:rFonts w:hint="eastAsia" w:ascii="楷体" w:hAnsi="楷体" w:eastAsia="楷体"/>
          <w:kern w:val="0"/>
          <w:sz w:val="24"/>
          <w:szCs w:val="24"/>
        </w:rPr>
        <w:t>（编制提醒：如披露期间存在其他情形导致的股本变动，公司可对列表做相应增加或者添加备注说明。）</w:t>
      </w:r>
    </w:p>
    <w:p>
      <w:pPr>
        <w:widowControl/>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jc w:val="left"/>
        <w:rPr>
          <w:rFonts w:hint="eastAsia" w:ascii="黑体" w:hAnsi="黑体" w:eastAsia="黑体" w:cs="宋体"/>
          <w:b/>
          <w:bCs/>
          <w:kern w:val="0"/>
          <w:sz w:val="30"/>
          <w:szCs w:val="30"/>
        </w:rPr>
      </w:pPr>
      <w:r>
        <w:rPr>
          <w:rFonts w:hint="eastAsia" w:ascii="黑体" w:hAnsi="黑体" w:eastAsia="黑体" w:cs="宋体"/>
          <w:b/>
          <w:bCs/>
          <w:kern w:val="0"/>
          <w:sz w:val="30"/>
          <w:szCs w:val="30"/>
        </w:rPr>
        <w:t>四、转股前后公司相关股东持股变化（如适用）</w:t>
      </w:r>
    </w:p>
    <w:p>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上市公司股本变动，可能导致公司</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w:t>
      </w:r>
      <w:r>
        <w:rPr>
          <w:rFonts w:hint="eastAsia" w:eastAsia="仿宋_GB2312" w:cs="Times New Roman"/>
          <w:color w:val="000000"/>
          <w:sz w:val="30"/>
          <w:szCs w:val="30"/>
        </w:rPr>
        <w:t>。存在前述情况的，公司应当</w:t>
      </w:r>
      <w:r>
        <w:rPr>
          <w:rFonts w:hint="eastAsia" w:ascii="仿宋" w:hAnsi="仿宋" w:eastAsia="仿宋_GB2312"/>
          <w:bCs/>
          <w:sz w:val="30"/>
          <w:szCs w:val="30"/>
        </w:rPr>
        <w:t>列示转股前后，上述股东及其一致行动人的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w:t>
            </w:r>
            <w:bookmarkStart w:id="4" w:name="OLE_LINK1"/>
            <w:r>
              <w:rPr>
                <w:rFonts w:hint="eastAsia" w:ascii="仿宋_GB2312" w:hAnsi="楷体" w:eastAsia="仿宋_GB2312" w:cs="楷体"/>
                <w:szCs w:val="21"/>
              </w:rPr>
              <w:t>合并计算</w:t>
            </w:r>
            <w:bookmarkEnd w:id="4"/>
            <w:r>
              <w:rPr>
                <w:rFonts w:hint="eastAsia" w:ascii="仿宋_GB2312" w:hAnsi="楷体" w:eastAsia="仿宋_GB2312" w:cs="楷体"/>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bl>
    <w:p>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p>
      <w:pPr>
        <w:widowControl/>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lang w:eastAsia="zh-CN"/>
        </w:rPr>
        <w:t>五</w:t>
      </w:r>
      <w:r>
        <w:rPr>
          <w:rFonts w:ascii="黑体" w:hAnsi="黑体" w:eastAsia="黑体" w:cs="宋体"/>
          <w:b/>
          <w:bCs/>
          <w:kern w:val="0"/>
          <w:sz w:val="30"/>
          <w:szCs w:val="30"/>
        </w:rPr>
        <w:t>、其他</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联系人、咨询电话等其他内容。</w:t>
      </w:r>
    </w:p>
    <w:p>
      <w:pPr>
        <w:widowControl/>
        <w:adjustRightInd w:val="0"/>
        <w:snapToGrid w:val="0"/>
        <w:spacing w:line="560" w:lineRule="exact"/>
        <w:ind w:firstLine="600" w:firstLineChars="200"/>
        <w:jc w:val="left"/>
        <w:rPr>
          <w:rFonts w:ascii="仿宋" w:hAnsi="仿宋" w:eastAsia="仿宋_GB2312" w:cs="宋体"/>
          <w:kern w:val="0"/>
          <w:sz w:val="30"/>
          <w:szCs w:val="30"/>
        </w:rPr>
      </w:pPr>
    </w:p>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beforeLines="50" w:afterLines="50" w:line="560" w:lineRule="exact"/>
        <w:ind w:firstLine="600" w:firstLineChars="200"/>
        <w:jc w:val="right"/>
        <w:rPr>
          <w:rFonts w:hint="eastAsia" w:ascii="仿宋" w:hAnsi="仿宋" w:eastAsia="仿宋_GB2312"/>
          <w:bCs/>
          <w:sz w:val="30"/>
          <w:szCs w:val="30"/>
          <w:lang w:eastAsia="zh-CN"/>
        </w:rPr>
      </w:pPr>
      <w:r>
        <w:rPr>
          <w:rFonts w:hint="eastAsia" w:ascii="仿宋" w:hAnsi="仿宋" w:eastAsia="仿宋_GB2312"/>
          <w:bCs/>
          <w:sz w:val="30"/>
          <w:szCs w:val="30"/>
        </w:rPr>
        <w:t>XXXX股份有限公司</w:t>
      </w:r>
      <w:r>
        <w:rPr>
          <w:rFonts w:hint="eastAsia" w:ascii="仿宋" w:hAnsi="仿宋" w:eastAsia="仿宋_GB2312"/>
          <w:bCs/>
          <w:sz w:val="30"/>
          <w:szCs w:val="30"/>
          <w:lang w:eastAsia="zh-CN"/>
        </w:rPr>
        <w:t>董事会</w:t>
      </w:r>
    </w:p>
    <w:p>
      <w:pPr>
        <w:adjustRightInd w:val="0"/>
        <w:snapToGrid w:val="0"/>
        <w:spacing w:beforeLines="50" w:afterLines="50" w:line="560" w:lineRule="exact"/>
        <w:ind w:firstLine="600" w:firstLineChars="200"/>
        <w:jc w:val="right"/>
        <w:rPr>
          <w:rFonts w:ascii="仿宋" w:hAnsi="仿宋" w:eastAsia="仿宋_GB2312"/>
          <w:bCs/>
          <w:sz w:val="30"/>
          <w:szCs w:val="30"/>
        </w:rPr>
      </w:pPr>
      <w:r>
        <w:rPr>
          <w:rFonts w:hint="eastAsia" w:ascii="仿宋" w:hAnsi="仿宋" w:eastAsia="仿宋_GB2312"/>
          <w:bCs/>
          <w:sz w:val="30"/>
          <w:szCs w:val="30"/>
        </w:rPr>
        <w:t>年  月  日</w:t>
      </w:r>
    </w:p>
    <w:p>
      <w:pPr>
        <w:numPr>
          <w:ilvl w:val="0"/>
          <w:numId w:val="2"/>
        </w:numPr>
        <w:adjustRightInd w:val="0"/>
        <w:snapToGrid w:val="0"/>
        <w:spacing w:line="560" w:lineRule="exact"/>
        <w:ind w:left="0" w:firstLine="602" w:firstLineChars="200"/>
        <w:rPr>
          <w:rFonts w:ascii="仿宋" w:hAnsi="仿宋" w:eastAsia="仿宋_GB2312"/>
          <w:b/>
          <w:sz w:val="30"/>
          <w:szCs w:val="30"/>
        </w:rPr>
      </w:pPr>
      <w:r>
        <w:rPr>
          <w:rFonts w:hint="eastAsia" w:ascii="仿宋" w:hAnsi="仿宋" w:eastAsia="仿宋_GB2312"/>
          <w:b/>
          <w:sz w:val="30"/>
          <w:szCs w:val="30"/>
        </w:rPr>
        <w:t>报备文件</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发行人证券登记查询证明</w:t>
      </w:r>
    </w:p>
    <w:p>
      <w:pPr>
        <w:adjustRightInd w:val="0"/>
        <w:snapToGrid w:val="0"/>
        <w:spacing w:line="560" w:lineRule="exact"/>
        <w:ind w:firstLine="600" w:firstLineChars="200"/>
        <w:rPr>
          <w:rFonts w:ascii="仿宋" w:hAnsi="仿宋" w:eastAsia="仿宋_GB2312"/>
          <w:sz w:val="30"/>
          <w:szCs w:val="30"/>
        </w:rPr>
      </w:pPr>
    </w:p>
    <w:p>
      <w:pPr>
        <w:numPr>
          <w:ilvl w:val="0"/>
          <w:numId w:val="2"/>
        </w:numPr>
        <w:adjustRightInd w:val="0"/>
        <w:snapToGrid w:val="0"/>
        <w:spacing w:line="600" w:lineRule="exact"/>
        <w:ind w:left="0" w:firstLine="602" w:firstLineChars="200"/>
        <w:rPr>
          <w:rFonts w:ascii="仿宋_GB2312" w:hAnsi="宋体" w:eastAsia="仿宋_GB2312" w:cs="Times New Roman"/>
          <w:b/>
          <w:sz w:val="30"/>
          <w:szCs w:val="30"/>
        </w:rPr>
      </w:pPr>
      <w:r>
        <w:rPr>
          <w:rFonts w:hint="eastAsia" w:ascii="仿宋_GB2312" w:hAnsi="宋体" w:eastAsia="仿宋_GB2312" w:cs="Times New Roman"/>
          <w:b/>
          <w:sz w:val="30"/>
          <w:szCs w:val="30"/>
        </w:rPr>
        <w:t>注意事项</w:t>
      </w:r>
    </w:p>
    <w:p>
      <w:pPr>
        <w:adjustRightInd w:val="0"/>
        <w:snapToGrid w:val="0"/>
        <w:spacing w:line="6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（一）可转债转股金额按可转债的面值计算。</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宋体" w:eastAsia="仿宋_GB2312" w:cs="Times New Roman"/>
          <w:sz w:val="30"/>
          <w:szCs w:val="30"/>
        </w:rPr>
        <w:t>（二）“因转股形成的股份数量”、“累计因转股形成的股份数量”以及“累计因转股形成的股份数量占公司可转债转股前公司已发行股份总额的比例”计算时，如期间曾实施送转股权益分派，应作相应调整。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03C9E"/>
    <w:multiLevelType w:val="multilevel"/>
    <w:tmpl w:val="4BC03C9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3D15925"/>
    <w:multiLevelType w:val="multilevel"/>
    <w:tmpl w:val="73D1592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39"/>
    <w:rsid w:val="00172E0C"/>
    <w:rsid w:val="00313B1F"/>
    <w:rsid w:val="004A4B4F"/>
    <w:rsid w:val="004B2739"/>
    <w:rsid w:val="00541E01"/>
    <w:rsid w:val="00581DDA"/>
    <w:rsid w:val="005C0F1C"/>
    <w:rsid w:val="0078575E"/>
    <w:rsid w:val="007A07C6"/>
    <w:rsid w:val="0084381C"/>
    <w:rsid w:val="00A636A1"/>
    <w:rsid w:val="00A6556F"/>
    <w:rsid w:val="00C12835"/>
    <w:rsid w:val="00CC6414"/>
    <w:rsid w:val="00D07469"/>
    <w:rsid w:val="00EA2656"/>
    <w:rsid w:val="055943D7"/>
    <w:rsid w:val="23CE152E"/>
    <w:rsid w:val="39FC5BB1"/>
    <w:rsid w:val="3A673404"/>
    <w:rsid w:val="3EB36AEF"/>
    <w:rsid w:val="3FFE5EB5"/>
    <w:rsid w:val="5E1F7999"/>
    <w:rsid w:val="7694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8"/>
    <w:unhideWhenUsed/>
    <w:qFormat/>
    <w:uiPriority w:val="9"/>
    <w:pPr>
      <w:keepNext/>
      <w:keepLines/>
      <w:spacing w:before="260" w:after="260" w:line="416" w:lineRule="auto"/>
      <w:jc w:val="center"/>
      <w:outlineLvl w:val="2"/>
    </w:pPr>
    <w:rPr>
      <w:rFonts w:ascii="黑体" w:hAnsi="黑体" w:eastAsia="黑体"/>
      <w:b/>
      <w:bCs/>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Char"/>
    <w:basedOn w:val="7"/>
    <w:link w:val="2"/>
    <w:qFormat/>
    <w:uiPriority w:val="9"/>
    <w:rPr>
      <w:rFonts w:ascii="黑体" w:hAnsi="黑体" w:eastAsia="黑体"/>
      <w:b/>
      <w:bCs/>
      <w:sz w:val="36"/>
      <w:szCs w:val="36"/>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202</Words>
  <Characters>1156</Characters>
  <Lines>9</Lines>
  <Paragraphs>2</Paragraphs>
  <TotalTime>0</TotalTime>
  <ScaleCrop>false</ScaleCrop>
  <LinksUpToDate>false</LinksUpToDate>
  <CharactersWithSpaces>1356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2022-07-20T09:25:00Z</dcterms:created>
  <dc:creator>ytzhai</dc:creator>
  <cp:lastModifiedBy>tanshiyu</cp:lastModifiedBy>
  <dcterms:modified xsi:type="dcterms:W3CDTF">2025-04-21T08:15:25Z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0EFCA2BCA234460F94E1A11E4E34B3D5</vt:lpwstr>
  </property>
</Properties>
</file>