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A57820">
      <w:pPr>
        <w:pStyle w:val="2"/>
        <w:adjustRightInd w:val="0"/>
        <w:snapToGrid w:val="0"/>
        <w:spacing w:before="0" w:after="0" w:line="600" w:lineRule="exact"/>
        <w:jc w:val="center"/>
        <w:rPr>
          <w:rFonts w:hint="eastAsia" w:ascii="黑体" w:hAnsi="黑体" w:eastAsia="黑体"/>
          <w:sz w:val="36"/>
          <w:szCs w:val="36"/>
        </w:rPr>
      </w:pPr>
      <w:bookmarkStart w:id="5" w:name="_GoBack"/>
      <w:bookmarkEnd w:id="5"/>
      <w:bookmarkStart w:id="0" w:name="_Toc340839634"/>
      <w:bookmarkStart w:id="1" w:name="_Toc330904149"/>
      <w:bookmarkStart w:id="2" w:name="_Toc329786096"/>
      <w:bookmarkStart w:id="3" w:name="_Toc329775046"/>
      <w:bookmarkStart w:id="4" w:name="_Toc329774866"/>
      <w:r>
        <w:rPr>
          <w:rFonts w:hint="eastAsia" w:ascii="黑体" w:hAnsi="黑体" w:eastAsia="黑体"/>
          <w:sz w:val="36"/>
          <w:szCs w:val="36"/>
        </w:rPr>
        <w:t>第十一号 科创板上市公司澄清公告</w:t>
      </w:r>
      <w:bookmarkEnd w:id="0"/>
      <w:bookmarkEnd w:id="1"/>
      <w:bookmarkEnd w:id="2"/>
      <w:bookmarkEnd w:id="3"/>
      <w:bookmarkEnd w:id="4"/>
    </w:p>
    <w:p w14:paraId="08B0C7A4">
      <w:pPr>
        <w:spacing w:line="600" w:lineRule="exact"/>
      </w:pPr>
    </w:p>
    <w:p w14:paraId="13734DC8">
      <w:pPr>
        <w:adjustRightInd w:val="0"/>
        <w:snapToGrid w:val="0"/>
        <w:spacing w:line="600" w:lineRule="exact"/>
        <w:rPr>
          <w:rFonts w:hint="eastAsia" w:ascii="仿宋_GB2312" w:hAnsi="宋体" w:eastAsia="仿宋_GB2312"/>
          <w:b/>
          <w:sz w:val="30"/>
          <w:szCs w:val="30"/>
        </w:rPr>
      </w:pPr>
      <w:r>
        <w:rPr>
          <w:rFonts w:hint="eastAsia" w:ascii="仿宋_GB2312" w:hAnsi="宋体" w:eastAsia="仿宋_GB2312"/>
          <w:b/>
          <w:sz w:val="30"/>
          <w:szCs w:val="30"/>
        </w:rPr>
        <w:t>适用情形：</w:t>
      </w:r>
    </w:p>
    <w:p w14:paraId="7FA05FE9">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科创板上市公司（以下简称上市公司）认为公共媒体关于公司的重大报道、市场传闻（以下简称传闻）可能对投资者决策或者公司股票交易产生较大影响的，及时核实相关传闻后，按照本公告格式指引进行澄清。</w:t>
      </w:r>
    </w:p>
    <w:p w14:paraId="62687B27">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2.本所认为相关传闻可能对上市公司股票交易价格产生较大影响的，要求上市公司予以核实、澄清的，上市公司应当在本所要求期限内核实并按照本公告格式指引进行澄清。</w:t>
      </w:r>
    </w:p>
    <w:p w14:paraId="77315D29">
      <w:pPr>
        <w:adjustRightInd w:val="0"/>
        <w:snapToGrid w:val="0"/>
        <w:spacing w:line="600" w:lineRule="exact"/>
        <w:ind w:firstLine="600" w:firstLineChars="200"/>
        <w:rPr>
          <w:rFonts w:hint="eastAsia" w:ascii="仿宋_GB2312" w:hAnsi="宋体" w:eastAsia="仿宋_GB2312"/>
          <w:sz w:val="30"/>
          <w:szCs w:val="30"/>
        </w:rPr>
      </w:pPr>
    </w:p>
    <w:p w14:paraId="49EC0BD5">
      <w:pPr>
        <w:adjustRightInd w:val="0"/>
        <w:snapToGrid w:val="0"/>
        <w:spacing w:line="600" w:lineRule="exact"/>
        <w:rPr>
          <w:rFonts w:hint="eastAsia" w:ascii="仿宋_GB2312" w:hAnsi="宋体" w:eastAsia="仿宋_GB2312"/>
          <w:sz w:val="30"/>
          <w:szCs w:val="30"/>
        </w:rPr>
      </w:pPr>
      <w:r>
        <w:rPr>
          <w:rFonts w:hint="eastAsia" w:ascii="仿宋_GB2312" w:hAnsi="宋体" w:eastAsia="仿宋_GB2312"/>
          <w:sz w:val="30"/>
          <w:szCs w:val="30"/>
        </w:rPr>
        <w:t>证券代码：             证券简称：            公告编号：</w:t>
      </w:r>
    </w:p>
    <w:p w14:paraId="4F16905E">
      <w:pPr>
        <w:adjustRightInd w:val="0"/>
        <w:snapToGrid w:val="0"/>
        <w:spacing w:line="600" w:lineRule="exact"/>
        <w:rPr>
          <w:rFonts w:hint="eastAsia" w:ascii="仿宋_GB2312" w:hAnsi="宋体" w:eastAsia="仿宋_GB2312"/>
          <w:sz w:val="30"/>
          <w:szCs w:val="30"/>
        </w:rPr>
      </w:pPr>
    </w:p>
    <w:p w14:paraId="70AFA5E4">
      <w:pPr>
        <w:autoSpaceDE w:val="0"/>
        <w:autoSpaceDN w:val="0"/>
        <w:adjustRightInd w:val="0"/>
        <w:snapToGrid w:val="0"/>
        <w:spacing w:line="600" w:lineRule="exact"/>
        <w:jc w:val="center"/>
        <w:rPr>
          <w:rFonts w:hint="eastAsia" w:ascii="仿宋_GB2312" w:hAnsi="宋体" w:eastAsia="仿宋_GB2312"/>
          <w:bCs/>
          <w:sz w:val="30"/>
          <w:szCs w:val="30"/>
        </w:rPr>
      </w:pPr>
      <w:r>
        <w:rPr>
          <w:rFonts w:hint="eastAsia" w:ascii="仿宋_GB2312" w:hAnsi="宋体" w:eastAsia="仿宋_GB2312"/>
          <w:sz w:val="30"/>
          <w:szCs w:val="30"/>
        </w:rPr>
        <w:t xml:space="preserve"> </w:t>
      </w:r>
      <w:r>
        <w:rPr>
          <w:rFonts w:hint="eastAsia" w:ascii="仿宋_GB2312" w:hAnsi="宋体" w:eastAsia="仿宋_GB2312"/>
          <w:bCs/>
          <w:sz w:val="30"/>
          <w:szCs w:val="30"/>
        </w:rPr>
        <w:t>XXXX股份有限公司澄清公告</w:t>
      </w:r>
    </w:p>
    <w:p w14:paraId="6CA91ED9">
      <w:pPr>
        <w:autoSpaceDE w:val="0"/>
        <w:autoSpaceDN w:val="0"/>
        <w:adjustRightInd w:val="0"/>
        <w:snapToGrid w:val="0"/>
        <w:spacing w:line="600" w:lineRule="exact"/>
        <w:jc w:val="center"/>
        <w:rPr>
          <w:rFonts w:hint="eastAsia" w:ascii="仿宋_GB2312" w:hAnsi="宋体" w:eastAsia="仿宋_GB2312"/>
          <w:bCs/>
          <w:sz w:val="30"/>
          <w:szCs w:val="30"/>
        </w:rPr>
      </w:pPr>
    </w:p>
    <w:p w14:paraId="4A088FA6">
      <w:pPr>
        <w:pBdr>
          <w:top w:val="single" w:color="auto" w:sz="4" w:space="1"/>
          <w:left w:val="single" w:color="auto" w:sz="4" w:space="4"/>
          <w:bottom w:val="single" w:color="auto" w:sz="4" w:space="1"/>
          <w:right w:val="single" w:color="auto" w:sz="4" w:space="4"/>
        </w:pBdr>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本公司董事会及全体董事保证本公告内容不存在任何虚假记载、误导性陈述或者重大遗漏，并对其内容的真实性、准确性和完整性依法承担法律责任。</w:t>
      </w:r>
    </w:p>
    <w:p w14:paraId="7C690485">
      <w:pPr>
        <w:pBdr>
          <w:top w:val="single" w:color="auto" w:sz="4" w:space="1"/>
          <w:left w:val="single" w:color="auto" w:sz="4" w:space="4"/>
          <w:bottom w:val="single" w:color="auto" w:sz="4" w:space="1"/>
          <w:right w:val="single" w:color="auto" w:sz="4" w:space="4"/>
        </w:pBdr>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550D86D1">
      <w:pPr>
        <w:adjustRightInd w:val="0"/>
        <w:snapToGrid w:val="0"/>
        <w:spacing w:line="600" w:lineRule="exact"/>
        <w:ind w:firstLine="600" w:firstLineChars="200"/>
        <w:rPr>
          <w:rFonts w:hint="eastAsia" w:ascii="仿宋_GB2312" w:hAnsi="宋体" w:eastAsia="仿宋_GB2312"/>
          <w:bCs/>
          <w:sz w:val="30"/>
          <w:szCs w:val="30"/>
        </w:rPr>
      </w:pPr>
    </w:p>
    <w:p w14:paraId="44AC3574">
      <w:pPr>
        <w:adjustRightInd w:val="0"/>
        <w:snapToGrid w:val="0"/>
        <w:spacing w:line="600" w:lineRule="exact"/>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重要内容提示:</w:t>
      </w:r>
    </w:p>
    <w:p w14:paraId="29D87C26">
      <w:pPr>
        <w:numPr>
          <w:ilvl w:val="0"/>
          <w:numId w:val="1"/>
        </w:numPr>
        <w:adjustRightInd w:val="0"/>
        <w:snapToGrid w:val="0"/>
        <w:spacing w:line="600" w:lineRule="exact"/>
        <w:ind w:left="0" w:firstLine="546" w:firstLineChars="182"/>
        <w:rPr>
          <w:rFonts w:hint="eastAsia" w:ascii="仿宋_GB2312" w:hAnsi="宋体" w:eastAsia="仿宋_GB2312"/>
          <w:sz w:val="30"/>
          <w:szCs w:val="30"/>
        </w:rPr>
      </w:pPr>
      <w:r>
        <w:rPr>
          <w:rFonts w:hint="eastAsia" w:ascii="仿宋_GB2312" w:hAnsi="宋体" w:eastAsia="仿宋_GB2312"/>
          <w:sz w:val="30"/>
          <w:szCs w:val="30"/>
        </w:rPr>
        <w:t>说明传闻的来源及主要内容</w:t>
      </w:r>
    </w:p>
    <w:p w14:paraId="3DFB8FBE">
      <w:pPr>
        <w:numPr>
          <w:ilvl w:val="0"/>
          <w:numId w:val="1"/>
        </w:numPr>
        <w:adjustRightInd w:val="0"/>
        <w:snapToGrid w:val="0"/>
        <w:spacing w:line="600" w:lineRule="exact"/>
        <w:ind w:left="0" w:firstLine="474" w:firstLineChars="158"/>
        <w:rPr>
          <w:rFonts w:hint="eastAsia" w:ascii="仿宋_GB2312" w:hAnsi="宋体" w:eastAsia="仿宋_GB2312"/>
          <w:sz w:val="30"/>
          <w:szCs w:val="30"/>
        </w:rPr>
      </w:pPr>
      <w:r>
        <w:rPr>
          <w:rFonts w:hint="eastAsia" w:ascii="仿宋_GB2312" w:hAnsi="宋体" w:eastAsia="仿宋_GB2312"/>
          <w:sz w:val="30"/>
          <w:szCs w:val="30"/>
        </w:rPr>
        <w:t>是否存在传闻所述事项的明确声明,如无法做出判断的，应简要说明原因，并提示相关风险。</w:t>
      </w:r>
    </w:p>
    <w:p w14:paraId="76CE94E3">
      <w:pPr>
        <w:adjustRightInd w:val="0"/>
        <w:snapToGrid w:val="0"/>
        <w:spacing w:line="600" w:lineRule="exact"/>
        <w:ind w:firstLine="600" w:firstLineChars="200"/>
        <w:rPr>
          <w:rFonts w:hint="eastAsia" w:ascii="仿宋_GB2312" w:hAnsi="宋体" w:eastAsia="仿宋_GB2312"/>
          <w:bCs/>
          <w:sz w:val="30"/>
          <w:szCs w:val="30"/>
        </w:rPr>
      </w:pPr>
    </w:p>
    <w:p w14:paraId="0456B88C">
      <w:pPr>
        <w:adjustRightInd w:val="0"/>
        <w:snapToGrid w:val="0"/>
        <w:spacing w:line="600" w:lineRule="exact"/>
        <w:ind w:firstLine="643" w:firstLineChars="200"/>
        <w:rPr>
          <w:rFonts w:hint="eastAsia" w:ascii="黑体" w:hAnsi="黑体" w:eastAsia="黑体"/>
          <w:b/>
          <w:bCs/>
          <w:sz w:val="32"/>
          <w:szCs w:val="32"/>
        </w:rPr>
      </w:pPr>
      <w:r>
        <w:rPr>
          <w:rFonts w:hint="eastAsia" w:ascii="黑体" w:hAnsi="黑体" w:eastAsia="黑体"/>
          <w:b/>
          <w:bCs/>
          <w:sz w:val="32"/>
          <w:szCs w:val="32"/>
        </w:rPr>
        <w:t>一、传闻简述</w:t>
      </w:r>
    </w:p>
    <w:p w14:paraId="1D397693">
      <w:pPr>
        <w:adjustRightInd w:val="0"/>
        <w:snapToGrid w:val="0"/>
        <w:spacing w:line="600" w:lineRule="exact"/>
        <w:ind w:firstLine="600" w:firstLineChars="200"/>
        <w:rPr>
          <w:rFonts w:hint="eastAsia" w:ascii="仿宋_GB2312" w:hAnsi="宋体" w:eastAsia="仿宋_GB2312"/>
          <w:bCs/>
          <w:sz w:val="30"/>
          <w:szCs w:val="30"/>
        </w:rPr>
      </w:pPr>
      <w:r>
        <w:rPr>
          <w:rFonts w:hint="eastAsia" w:ascii="仿宋_GB2312" w:hAnsi="宋体" w:eastAsia="仿宋_GB2312"/>
          <w:sz w:val="30"/>
          <w:szCs w:val="30"/>
        </w:rPr>
        <w:t>（一）传闻基本情况，</w:t>
      </w:r>
      <w:r>
        <w:rPr>
          <w:rFonts w:hint="eastAsia" w:ascii="仿宋_GB2312" w:hAnsi="宋体" w:eastAsia="仿宋_GB2312"/>
          <w:bCs/>
          <w:sz w:val="30"/>
          <w:szCs w:val="30"/>
        </w:rPr>
        <w:t>包括但不限于传闻的来源、传播方式与时间、传闻内容，</w:t>
      </w:r>
      <w:r>
        <w:rPr>
          <w:rFonts w:hint="eastAsia" w:ascii="仿宋_GB2312" w:hAnsi="宋体" w:eastAsia="仿宋_GB2312"/>
          <w:sz w:val="30"/>
          <w:szCs w:val="30"/>
        </w:rPr>
        <w:t>传闻内容对公司的影响及相关风险提示（如适用）。</w:t>
      </w:r>
    </w:p>
    <w:p w14:paraId="2D759B73">
      <w:pPr>
        <w:adjustRightInd w:val="0"/>
        <w:snapToGrid w:val="0"/>
        <w:spacing w:line="600" w:lineRule="exact"/>
        <w:ind w:firstLine="600" w:firstLineChars="200"/>
        <w:rPr>
          <w:rFonts w:hint="eastAsia" w:ascii="仿宋_GB2312" w:hAnsi="宋体" w:eastAsia="仿宋_GB2312"/>
          <w:bCs/>
          <w:sz w:val="30"/>
          <w:szCs w:val="30"/>
        </w:rPr>
      </w:pPr>
      <w:r>
        <w:rPr>
          <w:rFonts w:hint="eastAsia" w:ascii="仿宋_GB2312" w:hAnsi="宋体" w:eastAsia="仿宋_GB2312"/>
          <w:sz w:val="30"/>
          <w:szCs w:val="30"/>
        </w:rPr>
        <w:t>（二）</w:t>
      </w:r>
      <w:r>
        <w:rPr>
          <w:rFonts w:hint="eastAsia" w:ascii="仿宋_GB2312" w:hAnsi="宋体" w:eastAsia="仿宋_GB2312"/>
          <w:bCs/>
          <w:sz w:val="30"/>
          <w:szCs w:val="30"/>
        </w:rPr>
        <w:t>简要说明公司及相关信息披露义务人针对传闻的起因、传闻内容是否属实、结论是否成立、传闻的影响、相关责任人等进行调查、核实的情况。</w:t>
      </w:r>
    </w:p>
    <w:p w14:paraId="36AED37F">
      <w:pPr>
        <w:adjustRightInd w:val="0"/>
        <w:snapToGrid w:val="0"/>
        <w:spacing w:line="600" w:lineRule="exact"/>
        <w:ind w:firstLine="600" w:firstLineChars="200"/>
        <w:rPr>
          <w:rFonts w:hint="eastAsia" w:ascii="仿宋_GB2312" w:hAnsi="宋体" w:eastAsia="仿宋_GB2312"/>
          <w:bCs/>
          <w:sz w:val="30"/>
          <w:szCs w:val="30"/>
        </w:rPr>
      </w:pPr>
      <w:r>
        <w:rPr>
          <w:rFonts w:hint="eastAsia" w:ascii="仿宋_GB2312" w:hAnsi="宋体" w:eastAsia="仿宋_GB2312"/>
          <w:sz w:val="30"/>
          <w:szCs w:val="30"/>
        </w:rPr>
        <w:t>（三）</w:t>
      </w:r>
      <w:r>
        <w:rPr>
          <w:rFonts w:hint="eastAsia" w:ascii="仿宋_GB2312" w:hAnsi="宋体" w:eastAsia="仿宋_GB2312"/>
          <w:bCs/>
          <w:sz w:val="30"/>
          <w:szCs w:val="30"/>
        </w:rPr>
        <w:t>因涉嫌违法犯罪，司法机关、行政部门或其他有权机构正在调查，公司不便发表判断的，应说明具体受理案件的主体、受理的时间。</w:t>
      </w:r>
    </w:p>
    <w:p w14:paraId="2890926E">
      <w:pPr>
        <w:adjustRightInd w:val="0"/>
        <w:snapToGrid w:val="0"/>
        <w:spacing w:line="600" w:lineRule="exact"/>
        <w:ind w:firstLine="600" w:firstLineChars="200"/>
        <w:rPr>
          <w:rFonts w:hint="eastAsia" w:ascii="仿宋_GB2312" w:hAnsi="宋体" w:eastAsia="仿宋_GB2312"/>
          <w:bCs/>
          <w:sz w:val="30"/>
          <w:szCs w:val="30"/>
        </w:rPr>
      </w:pPr>
      <w:r>
        <w:rPr>
          <w:rFonts w:hint="eastAsia" w:ascii="仿宋_GB2312" w:hAnsi="宋体" w:eastAsia="仿宋_GB2312"/>
          <w:sz w:val="30"/>
          <w:szCs w:val="30"/>
        </w:rPr>
        <w:t>（四）</w:t>
      </w:r>
      <w:r>
        <w:rPr>
          <w:rFonts w:hint="eastAsia" w:ascii="仿宋_GB2312" w:hAnsi="宋体" w:eastAsia="仿宋_GB2312"/>
          <w:bCs/>
          <w:sz w:val="30"/>
          <w:szCs w:val="30"/>
        </w:rPr>
        <w:t>无法判断传闻真实性的，公司还应当说明无法判断的理由、进一步核实的具体计划。</w:t>
      </w:r>
    </w:p>
    <w:p w14:paraId="093D2DD0">
      <w:pPr>
        <w:adjustRightInd w:val="0"/>
        <w:snapToGrid w:val="0"/>
        <w:spacing w:line="600" w:lineRule="exact"/>
        <w:ind w:firstLine="600" w:firstLineChars="200"/>
        <w:rPr>
          <w:rFonts w:hint="eastAsia" w:ascii="仿宋_GB2312" w:hAnsi="宋体" w:eastAsia="仿宋_GB2312"/>
          <w:bCs/>
          <w:sz w:val="30"/>
          <w:szCs w:val="30"/>
        </w:rPr>
      </w:pPr>
    </w:p>
    <w:p w14:paraId="1486A15F">
      <w:pPr>
        <w:adjustRightInd w:val="0"/>
        <w:snapToGrid w:val="0"/>
        <w:spacing w:line="600" w:lineRule="exact"/>
        <w:ind w:firstLine="643" w:firstLineChars="200"/>
        <w:rPr>
          <w:rFonts w:hint="eastAsia" w:ascii="黑体" w:hAnsi="黑体" w:eastAsia="黑体"/>
          <w:b/>
          <w:bCs/>
          <w:sz w:val="32"/>
          <w:szCs w:val="32"/>
        </w:rPr>
      </w:pPr>
      <w:r>
        <w:rPr>
          <w:rFonts w:hint="eastAsia" w:ascii="黑体" w:hAnsi="黑体" w:eastAsia="黑体"/>
          <w:b/>
          <w:bCs/>
          <w:sz w:val="32"/>
          <w:szCs w:val="32"/>
        </w:rPr>
        <w:t>二、澄清声明</w:t>
      </w:r>
    </w:p>
    <w:p w14:paraId="27BF9CBE">
      <w:pPr>
        <w:adjustRightInd w:val="0"/>
        <w:snapToGrid w:val="0"/>
        <w:spacing w:line="600" w:lineRule="exact"/>
        <w:ind w:firstLine="600" w:firstLineChars="200"/>
        <w:rPr>
          <w:rFonts w:hint="eastAsia" w:ascii="仿宋_GB2312" w:hAnsi="宋体" w:eastAsia="仿宋_GB2312"/>
          <w:bCs/>
          <w:sz w:val="30"/>
          <w:szCs w:val="30"/>
        </w:rPr>
      </w:pPr>
      <w:r>
        <w:rPr>
          <w:rFonts w:hint="eastAsia" w:ascii="仿宋_GB2312" w:hAnsi="宋体" w:eastAsia="仿宋_GB2312"/>
          <w:sz w:val="30"/>
          <w:szCs w:val="30"/>
        </w:rPr>
        <w:t>（一）</w:t>
      </w:r>
      <w:r>
        <w:rPr>
          <w:rFonts w:hint="eastAsia" w:ascii="仿宋_GB2312" w:hAnsi="宋体" w:eastAsia="仿宋_GB2312"/>
          <w:bCs/>
          <w:sz w:val="30"/>
          <w:szCs w:val="30"/>
        </w:rPr>
        <w:t>针对传闻中与上市公司实际情况不完全相符或无中生有、捏造事实的情况，公司应说明真实情况。</w:t>
      </w:r>
    </w:p>
    <w:p w14:paraId="21BC1B8B">
      <w:pPr>
        <w:adjustRightInd w:val="0"/>
        <w:snapToGrid w:val="0"/>
        <w:spacing w:line="600" w:lineRule="exact"/>
        <w:ind w:firstLine="600" w:firstLineChars="200"/>
        <w:rPr>
          <w:rFonts w:hint="eastAsia" w:ascii="仿宋_GB2312" w:hAnsi="宋体" w:eastAsia="仿宋_GB2312"/>
          <w:bCs/>
          <w:sz w:val="30"/>
          <w:szCs w:val="30"/>
        </w:rPr>
      </w:pPr>
      <w:r>
        <w:rPr>
          <w:rFonts w:hint="eastAsia" w:ascii="仿宋_GB2312" w:hAnsi="宋体" w:eastAsia="仿宋_GB2312"/>
          <w:sz w:val="30"/>
          <w:szCs w:val="30"/>
        </w:rPr>
        <w:t>（二）</w:t>
      </w:r>
      <w:r>
        <w:rPr>
          <w:rFonts w:hint="eastAsia" w:ascii="仿宋_GB2312" w:hAnsi="宋体" w:eastAsia="仿宋_GB2312"/>
          <w:bCs/>
          <w:sz w:val="30"/>
          <w:szCs w:val="30"/>
        </w:rPr>
        <w:t>针对传闻涉及控制权变更或重大资产重组等事项，公司应在书面征询控股股东或其他相关关联方之后，根据控股股东或其他相关关联方回函情况作出声明。声明中应明确表述：“经公司书面函证控股股东或其他相关关联方，控股股东或其他相关关联方回函明确表示，……”</w:t>
      </w:r>
    </w:p>
    <w:p w14:paraId="35802199">
      <w:pPr>
        <w:adjustRightInd w:val="0"/>
        <w:snapToGrid w:val="0"/>
        <w:spacing w:line="600" w:lineRule="exact"/>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（三）如果传闻的产生与上市公司或其他信息披露义务人违反信息披露原则有关，应说明违反信息披露原则的情形及责任追究情况。</w:t>
      </w:r>
    </w:p>
    <w:p w14:paraId="6BF44365">
      <w:pPr>
        <w:adjustRightInd w:val="0"/>
        <w:snapToGrid w:val="0"/>
        <w:spacing w:line="600" w:lineRule="exact"/>
        <w:ind w:firstLine="600" w:firstLineChars="200"/>
        <w:rPr>
          <w:rFonts w:hint="eastAsia" w:ascii="仿宋_GB2312" w:hAnsi="宋体" w:eastAsia="仿宋_GB2312"/>
          <w:bCs/>
          <w:sz w:val="30"/>
          <w:szCs w:val="30"/>
        </w:rPr>
      </w:pPr>
      <w:r>
        <w:rPr>
          <w:rFonts w:hint="eastAsia" w:ascii="仿宋_GB2312" w:hAnsi="宋体" w:eastAsia="仿宋_GB2312"/>
          <w:sz w:val="30"/>
          <w:szCs w:val="30"/>
        </w:rPr>
        <w:t>（四）</w:t>
      </w:r>
      <w:r>
        <w:rPr>
          <w:rFonts w:hint="eastAsia" w:ascii="仿宋_GB2312" w:hAnsi="宋体" w:eastAsia="仿宋_GB2312"/>
          <w:bCs/>
          <w:sz w:val="30"/>
          <w:szCs w:val="30"/>
        </w:rPr>
        <w:t>在公告中郑重提醒广大投资者：“本公司发布的信息以公告为准，请广大投资者理性投资，注意风险。”</w:t>
      </w:r>
    </w:p>
    <w:p w14:paraId="5C2F2805">
      <w:pPr>
        <w:adjustRightInd w:val="0"/>
        <w:snapToGrid w:val="0"/>
        <w:spacing w:line="600" w:lineRule="exact"/>
        <w:ind w:firstLine="600" w:firstLineChars="200"/>
        <w:rPr>
          <w:rFonts w:hint="eastAsia" w:ascii="仿宋_GB2312" w:hAnsi="宋体" w:eastAsia="仿宋_GB2312"/>
          <w:bCs/>
          <w:sz w:val="30"/>
          <w:szCs w:val="30"/>
        </w:rPr>
      </w:pPr>
    </w:p>
    <w:p w14:paraId="40E45ABB">
      <w:pPr>
        <w:adjustRightInd w:val="0"/>
        <w:snapToGrid w:val="0"/>
        <w:spacing w:line="600" w:lineRule="exact"/>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特此公告。</w:t>
      </w:r>
    </w:p>
    <w:p w14:paraId="1C902C00">
      <w:pPr>
        <w:adjustRightInd w:val="0"/>
        <w:snapToGrid w:val="0"/>
        <w:spacing w:line="600" w:lineRule="exact"/>
        <w:ind w:firstLine="600" w:firstLineChars="200"/>
        <w:rPr>
          <w:rFonts w:hint="eastAsia" w:ascii="仿宋_GB2312" w:hAnsi="宋体" w:eastAsia="仿宋_GB2312"/>
          <w:bCs/>
          <w:sz w:val="30"/>
          <w:szCs w:val="30"/>
        </w:rPr>
      </w:pPr>
    </w:p>
    <w:p w14:paraId="45FF47C4">
      <w:pPr>
        <w:adjustRightInd w:val="0"/>
        <w:snapToGrid w:val="0"/>
        <w:spacing w:line="600" w:lineRule="exact"/>
        <w:ind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XXXX股份有限公司董事会</w:t>
      </w:r>
    </w:p>
    <w:p w14:paraId="3928ECC6">
      <w:pPr>
        <w:adjustRightInd w:val="0"/>
        <w:snapToGrid w:val="0"/>
        <w:spacing w:line="600" w:lineRule="exact"/>
        <w:ind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 xml:space="preserve">  年  月  日</w:t>
      </w:r>
    </w:p>
    <w:p w14:paraId="5C83F81F">
      <w:pPr>
        <w:adjustRightInd w:val="0"/>
        <w:snapToGrid w:val="0"/>
        <w:spacing w:line="600" w:lineRule="exact"/>
        <w:rPr>
          <w:rFonts w:hint="eastAsia" w:ascii="仿宋_GB2312" w:hAnsi="宋体" w:eastAsia="仿宋_GB2312"/>
          <w:sz w:val="30"/>
          <w:szCs w:val="30"/>
        </w:rPr>
      </w:pPr>
    </w:p>
    <w:p w14:paraId="6909B03A">
      <w:pPr>
        <w:adjustRightInd w:val="0"/>
        <w:snapToGrid w:val="0"/>
        <w:spacing w:line="600" w:lineRule="exact"/>
        <w:ind w:firstLine="600" w:firstLineChars="200"/>
        <w:rPr>
          <w:rFonts w:hint="eastAsia" w:ascii="仿宋_GB2312" w:hAnsi="宋体" w:eastAsia="仿宋_GB2312"/>
          <w:sz w:val="30"/>
          <w:szCs w:val="30"/>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26F56">
    <w:pPr>
      <w:pStyle w:val="6"/>
      <w:framePr w:wrap="around" w:vAnchor="text" w:hAnchor="margin" w:xAlign="center" w:y="1"/>
      <w:rPr>
        <w:rStyle w:val="11"/>
        <w:sz w:val="21"/>
        <w:szCs w:val="21"/>
      </w:rPr>
    </w:pPr>
    <w:r>
      <w:rPr>
        <w:rStyle w:val="11"/>
        <w:sz w:val="21"/>
        <w:szCs w:val="21"/>
      </w:rPr>
      <w:fldChar w:fldCharType="begin"/>
    </w:r>
    <w:r>
      <w:rPr>
        <w:rStyle w:val="11"/>
        <w:sz w:val="21"/>
        <w:szCs w:val="21"/>
      </w:rPr>
      <w:instrText xml:space="preserve">PAGE  </w:instrText>
    </w:r>
    <w:r>
      <w:rPr>
        <w:rStyle w:val="11"/>
        <w:sz w:val="21"/>
        <w:szCs w:val="21"/>
      </w:rPr>
      <w:fldChar w:fldCharType="separate"/>
    </w:r>
    <w:r>
      <w:rPr>
        <w:rStyle w:val="11"/>
        <w:sz w:val="21"/>
        <w:szCs w:val="21"/>
        <w:lang/>
      </w:rPr>
      <w:t>2</w:t>
    </w:r>
    <w:r>
      <w:rPr>
        <w:rStyle w:val="11"/>
        <w:sz w:val="21"/>
        <w:szCs w:val="21"/>
      </w:rPr>
      <w:fldChar w:fldCharType="end"/>
    </w:r>
  </w:p>
  <w:p w14:paraId="3E25CFC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C0ADF">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55BC22B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E27D2"/>
    <w:multiLevelType w:val="multilevel"/>
    <w:tmpl w:val="11DE27D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FB"/>
    <w:rsid w:val="00015AB8"/>
    <w:rsid w:val="000354D3"/>
    <w:rsid w:val="000879B5"/>
    <w:rsid w:val="000A682D"/>
    <w:rsid w:val="000D30DC"/>
    <w:rsid w:val="000F5B8D"/>
    <w:rsid w:val="00144792"/>
    <w:rsid w:val="00181738"/>
    <w:rsid w:val="0019778A"/>
    <w:rsid w:val="001B0115"/>
    <w:rsid w:val="001C701A"/>
    <w:rsid w:val="001D0D6B"/>
    <w:rsid w:val="001D5618"/>
    <w:rsid w:val="00250E8E"/>
    <w:rsid w:val="00276F3A"/>
    <w:rsid w:val="00337A95"/>
    <w:rsid w:val="00425412"/>
    <w:rsid w:val="00456900"/>
    <w:rsid w:val="0046554F"/>
    <w:rsid w:val="004662D5"/>
    <w:rsid w:val="00480136"/>
    <w:rsid w:val="00485B2F"/>
    <w:rsid w:val="004970F9"/>
    <w:rsid w:val="004B048A"/>
    <w:rsid w:val="004B28A6"/>
    <w:rsid w:val="004B7EBF"/>
    <w:rsid w:val="004F334D"/>
    <w:rsid w:val="00525231"/>
    <w:rsid w:val="005279DD"/>
    <w:rsid w:val="005611A9"/>
    <w:rsid w:val="0056436F"/>
    <w:rsid w:val="005758B2"/>
    <w:rsid w:val="005A0CAD"/>
    <w:rsid w:val="005A2DD5"/>
    <w:rsid w:val="005A7C15"/>
    <w:rsid w:val="005F18DB"/>
    <w:rsid w:val="005F207C"/>
    <w:rsid w:val="005F7172"/>
    <w:rsid w:val="00654771"/>
    <w:rsid w:val="00690229"/>
    <w:rsid w:val="006D46EA"/>
    <w:rsid w:val="006D6633"/>
    <w:rsid w:val="00742E5B"/>
    <w:rsid w:val="00751313"/>
    <w:rsid w:val="007A5C37"/>
    <w:rsid w:val="007B6CF0"/>
    <w:rsid w:val="007C7DD6"/>
    <w:rsid w:val="007F1CFD"/>
    <w:rsid w:val="008358D8"/>
    <w:rsid w:val="00841CF5"/>
    <w:rsid w:val="00843E20"/>
    <w:rsid w:val="00850C8A"/>
    <w:rsid w:val="00886F8B"/>
    <w:rsid w:val="008C412E"/>
    <w:rsid w:val="008D591B"/>
    <w:rsid w:val="00904163"/>
    <w:rsid w:val="00932E50"/>
    <w:rsid w:val="009A0D8B"/>
    <w:rsid w:val="009E4E3E"/>
    <w:rsid w:val="00A15CE5"/>
    <w:rsid w:val="00A25141"/>
    <w:rsid w:val="00AE4DB2"/>
    <w:rsid w:val="00B635DA"/>
    <w:rsid w:val="00B711C7"/>
    <w:rsid w:val="00B74C0D"/>
    <w:rsid w:val="00BA41FD"/>
    <w:rsid w:val="00BF6DA8"/>
    <w:rsid w:val="00C401C4"/>
    <w:rsid w:val="00C408A9"/>
    <w:rsid w:val="00C52792"/>
    <w:rsid w:val="00C85E57"/>
    <w:rsid w:val="00C86EFF"/>
    <w:rsid w:val="00CE2A82"/>
    <w:rsid w:val="00CF77F2"/>
    <w:rsid w:val="00D67118"/>
    <w:rsid w:val="00D75D5F"/>
    <w:rsid w:val="00D76257"/>
    <w:rsid w:val="00DA2E2D"/>
    <w:rsid w:val="00DB4C04"/>
    <w:rsid w:val="00DF0BAA"/>
    <w:rsid w:val="00DF462E"/>
    <w:rsid w:val="00E022C4"/>
    <w:rsid w:val="00E10D9F"/>
    <w:rsid w:val="00E42F3C"/>
    <w:rsid w:val="00E47964"/>
    <w:rsid w:val="00E53571"/>
    <w:rsid w:val="00E727C5"/>
    <w:rsid w:val="00E92099"/>
    <w:rsid w:val="00E97415"/>
    <w:rsid w:val="00EB3234"/>
    <w:rsid w:val="00EF6A16"/>
    <w:rsid w:val="00F06C8A"/>
    <w:rsid w:val="00F13C89"/>
    <w:rsid w:val="00F37BC2"/>
    <w:rsid w:val="00F53B89"/>
    <w:rsid w:val="00F60799"/>
    <w:rsid w:val="00F94091"/>
    <w:rsid w:val="15690006"/>
    <w:rsid w:val="745E3E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0">
    <w:name w:val="Default Paragraph Font"/>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3">
    <w:name w:val="Document Map"/>
    <w:basedOn w:val="1"/>
    <w:link w:val="14"/>
    <w:uiPriority w:val="0"/>
    <w:rPr>
      <w:rFonts w:ascii="宋体"/>
      <w:sz w:val="18"/>
      <w:szCs w:val="18"/>
    </w:rPr>
  </w:style>
  <w:style w:type="paragraph" w:styleId="4">
    <w:name w:val="annotation text"/>
    <w:basedOn w:val="1"/>
    <w:link w:val="15"/>
    <w:uiPriority w:val="0"/>
    <w:pPr>
      <w:jc w:val="left"/>
    </w:pPr>
  </w:style>
  <w:style w:type="paragraph" w:styleId="5">
    <w:name w:val="Balloon Text"/>
    <w:basedOn w:val="1"/>
    <w:link w:val="16"/>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annotation subject"/>
    <w:basedOn w:val="4"/>
    <w:next w:val="4"/>
    <w:link w:val="17"/>
    <w:uiPriority w:val="0"/>
    <w:rPr>
      <w:b/>
      <w:bCs/>
    </w:rPr>
  </w:style>
  <w:style w:type="character" w:styleId="11">
    <w:name w:val="page number"/>
    <w:basedOn w:val="10"/>
    <w:uiPriority w:val="0"/>
  </w:style>
  <w:style w:type="character" w:styleId="12">
    <w:name w:val="annotation reference"/>
    <w:uiPriority w:val="0"/>
    <w:rPr>
      <w:sz w:val="21"/>
      <w:szCs w:val="21"/>
    </w:rPr>
  </w:style>
  <w:style w:type="character" w:customStyle="1" w:styleId="13">
    <w:name w:val="标题 1 Char"/>
    <w:link w:val="2"/>
    <w:uiPriority w:val="0"/>
    <w:rPr>
      <w:rFonts w:eastAsia="宋体"/>
      <w:b/>
      <w:bCs/>
      <w:kern w:val="44"/>
      <w:sz w:val="44"/>
      <w:szCs w:val="44"/>
      <w:lang w:val="en-US" w:eastAsia="zh-CN" w:bidi="ar-SA"/>
    </w:rPr>
  </w:style>
  <w:style w:type="character" w:customStyle="1" w:styleId="14">
    <w:name w:val="文档结构图 Char"/>
    <w:link w:val="3"/>
    <w:uiPriority w:val="0"/>
    <w:rPr>
      <w:rFonts w:ascii="宋体"/>
      <w:kern w:val="2"/>
      <w:sz w:val="18"/>
      <w:szCs w:val="18"/>
    </w:rPr>
  </w:style>
  <w:style w:type="character" w:customStyle="1" w:styleId="15">
    <w:name w:val="批注文字 Char"/>
    <w:link w:val="4"/>
    <w:uiPriority w:val="0"/>
    <w:rPr>
      <w:kern w:val="2"/>
      <w:sz w:val="21"/>
    </w:rPr>
  </w:style>
  <w:style w:type="character" w:customStyle="1" w:styleId="16">
    <w:name w:val="批注框文本 Char"/>
    <w:link w:val="5"/>
    <w:uiPriority w:val="0"/>
    <w:rPr>
      <w:kern w:val="2"/>
      <w:sz w:val="18"/>
      <w:szCs w:val="18"/>
    </w:rPr>
  </w:style>
  <w:style w:type="character" w:customStyle="1" w:styleId="17">
    <w:name w:val="批注主题 Char"/>
    <w:link w:val="8"/>
    <w:uiPriority w:val="0"/>
    <w:rPr>
      <w:b/>
      <w:bCs/>
      <w:kern w:val="2"/>
      <w:sz w:val="21"/>
    </w:rPr>
  </w:style>
  <w:style w:type="paragraph" w:styleId="18">
    <w:name w:val=""/>
    <w:semiHidden/>
    <w:uiPriority w:val="99"/>
    <w:rPr>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ingsoft\WPS%20Office\12.8.2.19309\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3</Pages>
  <Words>169</Words>
  <Characters>965</Characters>
  <Lines>8</Lines>
  <Paragraphs>2</Paragraphs>
  <TotalTime>0</TotalTime>
  <ScaleCrop>false</ScaleCrop>
  <LinksUpToDate>false</LinksUpToDate>
  <CharactersWithSpaces>1132</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2019-04-04T09:52:00Z</dcterms:created>
  <dc:creator>user</dc:creator>
  <cp:lastModifiedBy>黄文怡</cp:lastModifiedBy>
  <cp:lastPrinted>2019-03-30T01:31:00Z</cp:lastPrinted>
  <dcterms:modified xsi:type="dcterms:W3CDTF">2025-04-25T09:41:36Z</dcterms:modified>
  <dc:title>第十八号 上市公司澄清公告</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52E07E8A17E24B62BE3027815BE3CEBE_13</vt:lpwstr>
  </property>
</Properties>
</file>