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24E29">
      <w:pPr>
        <w:spacing w:line="600" w:lineRule="exact"/>
        <w:rPr>
          <w:rFonts w:ascii="黑体" w:hAnsi="黑体" w:eastAsia="黑体" w:cs="黑体"/>
          <w:sz w:val="32"/>
          <w:szCs w:val="32"/>
        </w:rPr>
      </w:pPr>
      <w:bookmarkStart w:id="5" w:name="_GoBack"/>
      <w:bookmarkEnd w:id="5"/>
      <w:bookmarkStart w:id="0" w:name="_Toc408933484"/>
    </w:p>
    <w:p w14:paraId="2C646506">
      <w:pPr>
        <w:spacing w:line="600" w:lineRule="exact"/>
        <w:rPr>
          <w:rFonts w:ascii="仿宋_GB2312" w:hAnsi="仿宋_GB2312" w:eastAsia="仿宋_GB2312" w:cs="仿宋_GB2312"/>
          <w:sz w:val="30"/>
          <w:szCs w:val="30"/>
        </w:rPr>
      </w:pPr>
    </w:p>
    <w:p w14:paraId="6AA62B9D">
      <w:pPr>
        <w:spacing w:line="560" w:lineRule="exact"/>
        <w:jc w:val="center"/>
        <w:rPr>
          <w:rFonts w:ascii="黑体" w:hAnsi="黑体" w:eastAsia="黑体"/>
          <w:sz w:val="36"/>
          <w:szCs w:val="36"/>
        </w:rPr>
      </w:pPr>
      <w:r>
        <w:rPr>
          <w:rFonts w:hint="eastAsia" w:ascii="黑体" w:hAnsi="黑体" w:eastAsia="黑体"/>
          <w:sz w:val="36"/>
          <w:szCs w:val="36"/>
        </w:rPr>
        <w:t>第二十八号 上市公司业绩预告（快报）及更正公告</w:t>
      </w:r>
      <w:bookmarkEnd w:id="0"/>
    </w:p>
    <w:p w14:paraId="63A6E4F1">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61297BD7">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20F1F981">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3F363459">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2CC38A7D">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334CEE10">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1329CAE7">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sdt>
      <w:sdtPr>
        <w:rPr>
          <w:rFonts w:ascii="Times New Roman" w:hAnsi="Times New Roman" w:eastAsia="宋体" w:cs="Times New Roman"/>
          <w:color w:val="auto"/>
          <w:kern w:val="2"/>
          <w:sz w:val="21"/>
          <w:szCs w:val="22"/>
          <w:lang w:val="zh-CN"/>
        </w:rPr>
        <w:id w:val="657573012"/>
        <w:docPartObj>
          <w:docPartGallery w:val="Table of Contents"/>
          <w:docPartUnique/>
        </w:docPartObj>
      </w:sdtPr>
      <w:sdtEndPr>
        <w:rPr>
          <w:rFonts w:ascii="Times New Roman" w:hAnsi="Times New Roman" w:eastAsia="宋体" w:cs="Times New Roman"/>
          <w:b/>
          <w:bCs/>
          <w:color w:val="auto"/>
          <w:kern w:val="2"/>
          <w:sz w:val="21"/>
          <w:szCs w:val="22"/>
          <w:lang w:val="zh-CN"/>
        </w:rPr>
      </w:sdtEndPr>
      <w:sdtContent>
        <w:p w14:paraId="00D7A63D">
          <w:pPr>
            <w:pStyle w:val="33"/>
            <w:rPr>
              <w:rFonts w:ascii="Times New Roman" w:hAnsi="Times New Roman" w:cs="Times New Roman"/>
            </w:rPr>
          </w:pPr>
        </w:p>
        <w:p w14:paraId="04E39F66">
          <w:pPr>
            <w:pStyle w:val="10"/>
            <w:tabs>
              <w:tab w:val="right" w:leader="dot" w:pos="8296"/>
            </w:tabs>
            <w:rPr>
              <w:rFonts w:ascii="Times New Roman" w:hAnsi="Times New Roman" w:eastAsia="仿宋_GB2312"/>
              <w:sz w:val="30"/>
              <w:szCs w:val="30"/>
            </w:rPr>
          </w:pPr>
          <w:r>
            <w:rPr>
              <w:rFonts w:ascii="Times New Roman" w:hAnsi="Times New Roman" w:eastAsia="仿宋_GB2312"/>
              <w:color w:val="000000"/>
              <w:kern w:val="0"/>
              <w:sz w:val="30"/>
              <w:szCs w:val="30"/>
            </w:rPr>
            <w:fldChar w:fldCharType="begin"/>
          </w:r>
          <w:r>
            <w:rPr>
              <w:rFonts w:ascii="Times New Roman" w:hAnsi="Times New Roman" w:eastAsia="仿宋_GB2312"/>
              <w:color w:val="000000"/>
              <w:kern w:val="0"/>
              <w:sz w:val="30"/>
              <w:szCs w:val="30"/>
            </w:rPr>
            <w:instrText xml:space="preserve"> TOC \o "1-3" \h \z \u </w:instrText>
          </w:r>
          <w:r>
            <w:rPr>
              <w:rFonts w:ascii="Times New Roman" w:hAnsi="Times New Roman" w:eastAsia="仿宋_GB2312"/>
              <w:color w:val="000000"/>
              <w:kern w:val="0"/>
              <w:sz w:val="30"/>
              <w:szCs w:val="30"/>
            </w:rPr>
            <w:fldChar w:fldCharType="separate"/>
          </w:r>
          <w:r>
            <w:fldChar w:fldCharType="begin"/>
          </w:r>
          <w:r>
            <w:instrText xml:space="preserve"> HYPERLINK \l "_Toc101510143" </w:instrText>
          </w:r>
          <w:r>
            <w:fldChar w:fldCharType="separate"/>
          </w:r>
          <w:r>
            <w:rPr>
              <w:rStyle w:val="15"/>
              <w:rFonts w:ascii="Times New Roman" w:hAnsi="Times New Roman" w:eastAsia="仿宋_GB2312"/>
              <w:sz w:val="30"/>
              <w:szCs w:val="30"/>
            </w:rPr>
            <w:t>1.上市公司业绩预告及更正公告</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_Toc101510143 \h </w:instrText>
          </w:r>
          <w:r>
            <w:rPr>
              <w:rFonts w:ascii="Times New Roman" w:hAnsi="Times New Roman" w:eastAsia="仿宋_GB2312"/>
              <w:sz w:val="30"/>
              <w:szCs w:val="30"/>
            </w:rPr>
            <w:fldChar w:fldCharType="separate"/>
          </w:r>
          <w:r>
            <w:rPr>
              <w:rFonts w:ascii="Times New Roman" w:hAnsi="Times New Roman" w:eastAsia="仿宋_GB2312"/>
              <w:sz w:val="30"/>
              <w:szCs w:val="30"/>
            </w:rPr>
            <w:t>2</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0C821C78">
          <w:pPr>
            <w:pStyle w:val="10"/>
            <w:tabs>
              <w:tab w:val="right" w:leader="dot" w:pos="8296"/>
            </w:tabs>
            <w:rPr>
              <w:rFonts w:ascii="Times New Roman" w:hAnsi="Times New Roman" w:eastAsia="仿宋_GB2312"/>
              <w:sz w:val="30"/>
              <w:szCs w:val="30"/>
            </w:rPr>
          </w:pPr>
          <w:r>
            <w:fldChar w:fldCharType="begin"/>
          </w:r>
          <w:r>
            <w:instrText xml:space="preserve"> HYPERLINK \l "_Toc101510144" </w:instrText>
          </w:r>
          <w:r>
            <w:fldChar w:fldCharType="separate"/>
          </w:r>
          <w:r>
            <w:rPr>
              <w:rStyle w:val="15"/>
              <w:rFonts w:ascii="Times New Roman" w:hAnsi="Times New Roman" w:eastAsia="仿宋_GB2312"/>
              <w:sz w:val="30"/>
              <w:szCs w:val="30"/>
            </w:rPr>
            <w:t>2.上市公司业绩快报及更正公告</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_Toc101510144 \h </w:instrText>
          </w:r>
          <w:r>
            <w:rPr>
              <w:rFonts w:ascii="Times New Roman" w:hAnsi="Times New Roman" w:eastAsia="仿宋_GB2312"/>
              <w:sz w:val="30"/>
              <w:szCs w:val="30"/>
            </w:rPr>
            <w:fldChar w:fldCharType="separate"/>
          </w:r>
          <w:r>
            <w:rPr>
              <w:rFonts w:ascii="Times New Roman" w:hAnsi="Times New Roman" w:eastAsia="仿宋_GB2312"/>
              <w:sz w:val="30"/>
              <w:szCs w:val="30"/>
            </w:rPr>
            <w:t>11</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50B0E870">
          <w:pPr>
            <w:rPr>
              <w:rFonts w:ascii="Times New Roman" w:hAnsi="Times New Roman"/>
            </w:rPr>
          </w:pPr>
          <w:r>
            <w:rPr>
              <w:rFonts w:ascii="Times New Roman" w:hAnsi="Times New Roman" w:eastAsia="仿宋_GB2312"/>
              <w:color w:val="000000"/>
              <w:kern w:val="0"/>
              <w:sz w:val="30"/>
              <w:szCs w:val="30"/>
            </w:rPr>
            <w:fldChar w:fldCharType="end"/>
          </w:r>
        </w:p>
      </w:sdtContent>
    </w:sdt>
    <w:p w14:paraId="38F76E55">
      <w:pPr>
        <w:widowControl/>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br w:type="page"/>
      </w:r>
    </w:p>
    <w:p w14:paraId="722484E4">
      <w:pPr>
        <w:pStyle w:val="3"/>
        <w:rPr>
          <w:rFonts w:cs="Times New Roman"/>
          <w:sz w:val="32"/>
          <w:szCs w:val="32"/>
        </w:rPr>
      </w:pPr>
      <w:bookmarkStart w:id="1" w:name="_Toc101510143"/>
      <w:r>
        <w:rPr>
          <w:rFonts w:cs="Times New Roman"/>
          <w:sz w:val="32"/>
          <w:szCs w:val="32"/>
        </w:rPr>
        <w:t>1.上市公司业绩预告及更正公告</w:t>
      </w:r>
      <w:bookmarkEnd w:id="1"/>
    </w:p>
    <w:p w14:paraId="7410E492">
      <w:pPr>
        <w:widowControl/>
        <w:adjustRightInd w:val="0"/>
        <w:snapToGrid w:val="0"/>
        <w:spacing w:line="560" w:lineRule="exact"/>
        <w:ind w:firstLine="602" w:firstLineChars="200"/>
        <w:jc w:val="left"/>
        <w:rPr>
          <w:rFonts w:ascii="Times New Roman" w:hAnsi="Times New Roman" w:eastAsia="仿宋_GB2312"/>
          <w:b/>
          <w:color w:val="000000"/>
          <w:kern w:val="0"/>
          <w:sz w:val="30"/>
          <w:szCs w:val="30"/>
        </w:rPr>
      </w:pPr>
    </w:p>
    <w:p w14:paraId="024E26FA">
      <w:pPr>
        <w:widowControl/>
        <w:adjustRightInd w:val="0"/>
        <w:snapToGrid w:val="0"/>
        <w:spacing w:line="560" w:lineRule="exact"/>
        <w:jc w:val="left"/>
        <w:rPr>
          <w:rFonts w:ascii="Times New Roman" w:hAnsi="Times New Roman" w:eastAsia="仿宋_GB2312"/>
          <w:b/>
          <w:color w:val="000000"/>
          <w:kern w:val="0"/>
          <w:sz w:val="30"/>
          <w:szCs w:val="30"/>
        </w:rPr>
      </w:pPr>
      <w:r>
        <w:rPr>
          <w:rFonts w:ascii="Times New Roman" w:hAnsi="Times New Roman" w:eastAsia="仿宋_GB2312"/>
          <w:b/>
          <w:color w:val="000000"/>
          <w:kern w:val="0"/>
          <w:sz w:val="30"/>
          <w:szCs w:val="30"/>
        </w:rPr>
        <w:t>适用情形：</w:t>
      </w:r>
    </w:p>
    <w:p w14:paraId="0FCC51CA">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1.年度经营业绩及财务状况出现以下情形的，应当适用本公告格式披露业绩预告：（一）净利润为负值；（二）净利润实现扭亏为盈；（三）实现盈利，且净利润与上年同期相比上升50%以上；（四）实现盈利，且净利润与上年同期相比下降50%以上；（五）</w:t>
      </w:r>
      <w:r>
        <w:rPr>
          <w:rFonts w:hint="eastAsia" w:ascii="仿宋_GB2312" w:hAnsi="宋体" w:eastAsia="仿宋_GB2312"/>
          <w:sz w:val="30"/>
          <w:szCs w:val="30"/>
        </w:rPr>
        <w:t>利润总额、净利润或者扣除非经常性损益后的净利润孰低者为负值</w:t>
      </w:r>
      <w:r>
        <w:rPr>
          <w:rFonts w:ascii="Times New Roman" w:hAnsi="Times New Roman" w:eastAsia="仿宋_GB2312"/>
          <w:color w:val="000000"/>
          <w:kern w:val="0"/>
          <w:sz w:val="30"/>
          <w:szCs w:val="30"/>
        </w:rPr>
        <w:t>，且扣除与主营业务无关的业务收入和不具备商业实质的收入后的营业收入低于</w:t>
      </w:r>
      <w:r>
        <w:rPr>
          <w:rFonts w:hint="eastAsia" w:ascii="Times New Roman" w:hAnsi="Times New Roman" w:eastAsia="仿宋_GB2312"/>
          <w:color w:val="000000"/>
          <w:kern w:val="0"/>
          <w:sz w:val="30"/>
          <w:szCs w:val="30"/>
        </w:rPr>
        <w:t>3</w:t>
      </w:r>
      <w:r>
        <w:rPr>
          <w:rFonts w:ascii="Times New Roman" w:hAnsi="Times New Roman" w:eastAsia="仿宋_GB2312"/>
          <w:color w:val="000000"/>
          <w:kern w:val="0"/>
          <w:sz w:val="30"/>
          <w:szCs w:val="30"/>
        </w:rPr>
        <w:t>亿元；（六）期末净资产为负值；（七）公司因《股票上市规则》第9.3.2条规定的情形，其股票已被实施退市风险警示；（八）其他情形。</w:t>
      </w:r>
    </w:p>
    <w:p w14:paraId="549DA31F">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半年度经营业绩及财务状况出现以上第（一）（二）（三）（四）项情形的，应当适用本公告格式披露业绩预告。</w:t>
      </w:r>
    </w:p>
    <w:p w14:paraId="1F2DA9F0">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sz w:val="30"/>
          <w:szCs w:val="30"/>
        </w:rPr>
        <w:t>公司触及多种情形的，预告内容应当同时符合各情形的披露要求。</w:t>
      </w:r>
    </w:p>
    <w:p w14:paraId="57D6360C">
      <w:pPr>
        <w:widowControl/>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2.公司披露业绩预告后，又预计本期经营业绩或者财务状况与已披露的业绩预告存在重大差异情形的，应当及时披露业绩预告更正公告，说明具体差异及造成差异的原因。“重大差异”包括但不限于以下情况：</w:t>
      </w:r>
    </w:p>
    <w:p w14:paraId="3865BD89">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（1）预告盈亏性质、方向错误</w:t>
      </w:r>
    </w:p>
    <w:p w14:paraId="5D7EE3CC">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具体表现为：先预盈，实际亏损；先预亏,实际盈利；先预减，实际增长或亏损；先预增，实际下降或亏损。</w:t>
      </w:r>
    </w:p>
    <w:p w14:paraId="6181287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（2）预告金额或幅度差异较大</w:t>
      </w:r>
    </w:p>
    <w:p w14:paraId="70816308">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实际业绩与预告业绩的差异超过预告业绩50%的，为差异较大；披露“以上”的，默认为上浮金额不超过50%，实际业绩如超出此限，或向下浮动，为差异较大；但如披露区间的，区间金额（上限金额不应超过下限的50%）上下浮动20%，实际业绩超出此区间，为差异较大；披露“左右”的，亦上下浮动20%，实际业绩超出此区间，为差异较大。</w:t>
      </w:r>
    </w:p>
    <w:p w14:paraId="240175D9">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（3）因适用第（五）（六）项情形披露业绩预告的，最新预计不触及第（五）（六）项的情形；</w:t>
      </w:r>
    </w:p>
    <w:p w14:paraId="083A9834">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（4）因适用第（七）项情形披露业绩预告的，</w:t>
      </w:r>
      <w:r>
        <w:rPr>
          <w:rFonts w:ascii="Times New Roman" w:hAnsi="Times New Roman" w:eastAsia="仿宋_GB2312"/>
          <w:color w:val="000000"/>
          <w:sz w:val="30"/>
          <w:szCs w:val="30"/>
        </w:rPr>
        <w:t>发现</w:t>
      </w:r>
      <w:r>
        <w:rPr>
          <w:rFonts w:ascii="Times New Roman" w:hAnsi="Times New Roman" w:eastAsia="仿宋_GB2312"/>
          <w:sz w:val="30"/>
          <w:szCs w:val="30"/>
        </w:rPr>
        <w:t>最新预计的</w:t>
      </w:r>
      <w:r>
        <w:rPr>
          <w:rFonts w:ascii="Times New Roman" w:hAnsi="Times New Roman" w:eastAsia="仿宋_GB2312"/>
          <w:color w:val="000000"/>
          <w:sz w:val="30"/>
          <w:szCs w:val="30"/>
        </w:rPr>
        <w:t>任一</w:t>
      </w:r>
      <w:r>
        <w:rPr>
          <w:rFonts w:ascii="Times New Roman" w:hAnsi="Times New Roman" w:eastAsia="仿宋_GB2312"/>
          <w:sz w:val="30"/>
          <w:szCs w:val="30"/>
        </w:rPr>
        <w:t>相关财务指标与已披露的业绩预告发生方向性变化的，或者较原预计金额或者范围差异较大。</w:t>
      </w:r>
    </w:p>
    <w:p w14:paraId="64BD9C90">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3.公司自愿披露业绩预告,以及披露相关业绩预告更正公告的，参照适用本公告格式。</w:t>
      </w:r>
    </w:p>
    <w:p w14:paraId="3800FE39">
      <w:pPr>
        <w:adjustRightInd w:val="0"/>
        <w:snapToGrid w:val="0"/>
        <w:spacing w:line="560" w:lineRule="exact"/>
        <w:rPr>
          <w:rFonts w:ascii="Times New Roman" w:hAnsi="Times New Roman" w:eastAsia="仿宋_GB2312"/>
          <w:color w:val="000000"/>
          <w:kern w:val="0"/>
          <w:sz w:val="30"/>
          <w:szCs w:val="30"/>
        </w:rPr>
      </w:pPr>
    </w:p>
    <w:p w14:paraId="4C3A4F83">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14:paraId="397A5086">
      <w:pPr>
        <w:widowControl/>
        <w:adjustRightInd w:val="0"/>
        <w:snapToGrid w:val="0"/>
        <w:spacing w:line="560" w:lineRule="exact"/>
        <w:ind w:firstLine="600" w:firstLineChars="200"/>
        <w:jc w:val="center"/>
        <w:rPr>
          <w:rFonts w:ascii="Times New Roman" w:hAnsi="Times New Roman" w:eastAsia="仿宋_GB2312"/>
          <w:color w:val="000000"/>
          <w:kern w:val="0"/>
          <w:sz w:val="30"/>
          <w:szCs w:val="30"/>
        </w:rPr>
      </w:pPr>
    </w:p>
    <w:p w14:paraId="1443B527">
      <w:pPr>
        <w:widowControl/>
        <w:adjustRightInd w:val="0"/>
        <w:snapToGrid w:val="0"/>
        <w:spacing w:line="560" w:lineRule="exact"/>
        <w:jc w:val="center"/>
        <w:rPr>
          <w:rFonts w:ascii="仿宋_GB2312" w:hAnsi="Times New Roman" w:eastAsia="仿宋_GB2312"/>
          <w:color w:val="000000"/>
          <w:sz w:val="30"/>
          <w:szCs w:val="30"/>
        </w:rPr>
      </w:pPr>
      <w:r>
        <w:rPr>
          <w:rFonts w:hint="eastAsia" w:ascii="仿宋_GB2312" w:hAnsi="Times New Roman" w:eastAsia="仿宋_GB2312"/>
          <w:color w:val="000000"/>
          <w:sz w:val="30"/>
          <w:szCs w:val="30"/>
        </w:rPr>
        <w:t>XXXX股份有限公司XXXX年（半）年度业绩预盈/预亏/预增/预减公告、业绩预告、业绩预告更正公告</w:t>
      </w:r>
    </w:p>
    <w:p w14:paraId="66523635">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本公司董事会及全体董事保证本公告内容不存在任何虚假记载、误导性陈述或者重大遗漏，并对其内容的真实性、准确性和完整性承担法律责任。</w:t>
      </w:r>
    </w:p>
    <w:p w14:paraId="35264ADA">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如有董事对临时公告内容的真实性、准确性和完整性无法保证或存在异议的，公司应当在公告中作特别提示。</w:t>
      </w:r>
    </w:p>
    <w:p w14:paraId="00DDD0ED">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3A711B45">
      <w:pPr>
        <w:widowControl/>
        <w:adjustRightInd w:val="0"/>
        <w:snapToGrid w:val="0"/>
        <w:spacing w:line="560" w:lineRule="exact"/>
        <w:ind w:firstLine="602" w:firstLineChars="200"/>
        <w:jc w:val="left"/>
        <w:rPr>
          <w:rFonts w:ascii="Times New Roman" w:hAnsi="Times New Roman" w:eastAsia="仿宋_GB2312"/>
          <w:b/>
          <w:color w:val="000000"/>
          <w:kern w:val="0"/>
          <w:sz w:val="30"/>
          <w:szCs w:val="30"/>
        </w:rPr>
      </w:pPr>
      <w:r>
        <w:rPr>
          <w:rFonts w:ascii="Times New Roman" w:hAnsi="Times New Roman" w:eastAsia="仿宋_GB2312"/>
          <w:b/>
          <w:color w:val="000000"/>
          <w:kern w:val="0"/>
          <w:sz w:val="30"/>
          <w:szCs w:val="30"/>
        </w:rPr>
        <w:t>重要内容提示：</w:t>
      </w:r>
    </w:p>
    <w:p w14:paraId="181AD056">
      <w:pPr>
        <w:pStyle w:val="23"/>
        <w:widowControl/>
        <w:numPr>
          <w:ilvl w:val="0"/>
          <w:numId w:val="1"/>
        </w:numPr>
        <w:adjustRightInd w:val="0"/>
        <w:snapToGrid w:val="0"/>
        <w:spacing w:line="560" w:lineRule="exact"/>
        <w:ind w:firstLineChars="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业绩预告的具体适用情形（适用情形第（一）至（八）项）。</w:t>
      </w:r>
    </w:p>
    <w:p w14:paraId="2D40E797">
      <w:pPr>
        <w:pStyle w:val="23"/>
        <w:widowControl/>
        <w:numPr>
          <w:ilvl w:val="0"/>
          <w:numId w:val="1"/>
        </w:numPr>
        <w:adjustRightInd w:val="0"/>
        <w:snapToGrid w:val="0"/>
        <w:spacing w:line="560" w:lineRule="exact"/>
        <w:ind w:firstLineChars="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业绩预告相关的主要财务数据情况。</w:t>
      </w:r>
    </w:p>
    <w:p w14:paraId="647D200D">
      <w:pPr>
        <w:pStyle w:val="23"/>
        <w:widowControl/>
        <w:numPr>
          <w:ilvl w:val="0"/>
          <w:numId w:val="1"/>
        </w:numPr>
        <w:adjustRightInd w:val="0"/>
        <w:snapToGrid w:val="0"/>
        <w:spacing w:line="560" w:lineRule="exact"/>
        <w:ind w:firstLineChars="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董事或高级管理人员明确提出对本公告有关内容持反对或保留意见的情况（如适用）</w:t>
      </w:r>
    </w:p>
    <w:p w14:paraId="40EFF9D1">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293E3BE1">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一、本期业绩预告情况</w:t>
      </w:r>
    </w:p>
    <w:p w14:paraId="1001053B">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（一）业绩预告期间</w:t>
      </w:r>
    </w:p>
    <w:p w14:paraId="1ECC2BE9">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（二）业绩预告情况</w:t>
      </w:r>
    </w:p>
    <w:p w14:paraId="7E2BC786">
      <w:pPr>
        <w:widowControl/>
        <w:adjustRightInd w:val="0"/>
        <w:snapToGrid w:val="0"/>
        <w:spacing w:line="560" w:lineRule="exact"/>
        <w:ind w:firstLine="602" w:firstLineChars="200"/>
        <w:jc w:val="left"/>
        <w:rPr>
          <w:rFonts w:ascii="仿宋_GB2312" w:hAnsi="Times New Roman" w:eastAsia="仿宋_GB2312"/>
          <w:b/>
          <w:color w:val="000000"/>
          <w:kern w:val="0"/>
          <w:sz w:val="30"/>
          <w:szCs w:val="30"/>
        </w:rPr>
      </w:pPr>
      <w:r>
        <w:rPr>
          <w:rFonts w:hint="eastAsia" w:ascii="仿宋_GB2312" w:hAnsi="Times New Roman" w:eastAsia="仿宋_GB2312"/>
          <w:b/>
          <w:color w:val="000000"/>
          <w:kern w:val="0"/>
          <w:sz w:val="30"/>
          <w:szCs w:val="30"/>
        </w:rPr>
        <w:t>1.因适用情形第（一）（二）项披露业绩预告的：</w:t>
      </w:r>
    </w:p>
    <w:p w14:paraId="3F813D64">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经财务部门初步测算，预计XXXX年（半）年度实现归属于母公司所有者的净利润XXXX万元（或XXXX万元到XXXX万元），与上年同期（法定披露数据）相比，将实现扭亏为盈（或将出现亏损）。</w:t>
      </w:r>
    </w:p>
    <w:p w14:paraId="10BB9DB1">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hint="eastAsia" w:ascii="仿宋_GB2312" w:hAnsi="Times New Roman" w:eastAsia="仿宋_GB2312"/>
          <w:color w:val="000000"/>
          <w:kern w:val="0"/>
          <w:sz w:val="30"/>
          <w:szCs w:val="30"/>
        </w:rPr>
        <w:t>预计XXXX年（半）年度实现归属于母公司所有者的扣除非经常性损益后的净利润XXXX万元（或XXXX万元到XXXX</w:t>
      </w:r>
      <w:r>
        <w:rPr>
          <w:rFonts w:ascii="Times New Roman" w:hAnsi="Times New Roman" w:eastAsia="仿宋_GB2312"/>
          <w:color w:val="000000"/>
          <w:kern w:val="0"/>
          <w:sz w:val="30"/>
          <w:szCs w:val="30"/>
        </w:rPr>
        <w:t>万元）。</w:t>
      </w:r>
    </w:p>
    <w:p w14:paraId="12CC8F15">
      <w:pPr>
        <w:widowControl/>
        <w:adjustRightInd w:val="0"/>
        <w:snapToGrid w:val="0"/>
        <w:spacing w:line="560" w:lineRule="exact"/>
        <w:ind w:firstLine="480" w:firstLineChars="200"/>
        <w:jc w:val="left"/>
        <w:rPr>
          <w:rFonts w:ascii="Times New Roman" w:hAnsi="Times New Roman" w:eastAsia="仿宋_GB2312"/>
          <w:color w:val="000000"/>
          <w:kern w:val="0"/>
          <w:sz w:val="30"/>
          <w:szCs w:val="30"/>
        </w:rPr>
      </w:pPr>
      <w:r>
        <w:rPr>
          <w:rFonts w:ascii="Times New Roman" w:hAnsi="Times New Roman" w:eastAsia="楷体"/>
          <w:color w:val="000000"/>
          <w:kern w:val="0"/>
          <w:sz w:val="24"/>
          <w:szCs w:val="24"/>
        </w:rPr>
        <w:t>（编制提醒：如果采用数值和比例区间进行业绩预告的，相关指标预测的区间不宜过大，以数值为标准计算，较高数值一般不得超过较低数值的20%为宜，且最大不得超过50%。</w:t>
      </w:r>
      <w:r>
        <w:rPr>
          <w:rFonts w:ascii="Times New Roman" w:hAnsi="Times New Roman" w:eastAsia="楷体"/>
          <w:kern w:val="0"/>
          <w:sz w:val="24"/>
          <w:szCs w:val="24"/>
        </w:rPr>
        <w:t>）</w:t>
      </w:r>
    </w:p>
    <w:p w14:paraId="743A4987">
      <w:pPr>
        <w:widowControl/>
        <w:adjustRightInd w:val="0"/>
        <w:snapToGrid w:val="0"/>
        <w:spacing w:line="560" w:lineRule="exact"/>
        <w:ind w:firstLine="602" w:firstLineChars="200"/>
        <w:jc w:val="left"/>
        <w:rPr>
          <w:rFonts w:ascii="仿宋_GB2312" w:hAnsi="Times New Roman" w:eastAsia="仿宋_GB2312"/>
          <w:color w:val="000000"/>
          <w:kern w:val="0"/>
          <w:sz w:val="30"/>
          <w:szCs w:val="30"/>
        </w:rPr>
      </w:pPr>
      <w:r>
        <w:rPr>
          <w:rFonts w:hint="eastAsia" w:ascii="仿宋_GB2312" w:hAnsi="Times New Roman" w:eastAsia="仿宋_GB2312"/>
          <w:b/>
          <w:color w:val="000000"/>
          <w:kern w:val="0"/>
          <w:sz w:val="30"/>
          <w:szCs w:val="30"/>
        </w:rPr>
        <w:t>2.因适用情形第（三）（四）项披露业绩预告的：</w:t>
      </w:r>
    </w:p>
    <w:p w14:paraId="683ADFF8">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经财务部门初步测算，预计XXXX年（半）年度实现归属于母公司所有者的净利润XXXX万元（或XXXX万元到XXXX万元），与上年同期（法定披露数据）相比，将增加（或减少）XXXX万元（或XXXX万元到XXXX万元），同比增加（或减少）XX%左右（或XX%到XX%）。</w:t>
      </w:r>
    </w:p>
    <w:p w14:paraId="60645F45">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预计XXXX年（半）年度实现归属于母公司所有者的扣除非经常性损益的净利润XXXX万元（或XXXX万元到XXXX万元），与上年同期（法定披露数据）相比，将增加（或减少）XXXX万元（或XXXX万元到XXXX万元），同比增加（或减少）XX%左右（或XX%到XX%）。</w:t>
      </w:r>
    </w:p>
    <w:p w14:paraId="4FF7E66A">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如果上年同期财务报表经过重述，应同时披露与重述后的财务数据的增减幅度。</w:t>
      </w:r>
    </w:p>
    <w:p w14:paraId="448005DB">
      <w:pPr>
        <w:widowControl/>
        <w:adjustRightInd w:val="0"/>
        <w:snapToGrid w:val="0"/>
        <w:spacing w:line="560" w:lineRule="exact"/>
        <w:ind w:firstLine="480" w:firstLineChars="200"/>
        <w:jc w:val="left"/>
        <w:rPr>
          <w:rFonts w:ascii="楷体" w:hAnsi="楷体" w:eastAsia="楷体"/>
          <w:kern w:val="0"/>
          <w:sz w:val="24"/>
          <w:szCs w:val="24"/>
        </w:rPr>
      </w:pPr>
      <w:r>
        <w:rPr>
          <w:rFonts w:ascii="楷体" w:hAnsi="楷体" w:eastAsia="楷体"/>
          <w:color w:val="000000"/>
          <w:kern w:val="0"/>
          <w:sz w:val="24"/>
          <w:szCs w:val="24"/>
        </w:rPr>
        <w:t>（编制提醒：</w:t>
      </w:r>
      <w:r>
        <w:rPr>
          <w:rFonts w:ascii="楷体" w:hAnsi="楷体" w:eastAsia="楷体"/>
          <w:kern w:val="0"/>
          <w:sz w:val="24"/>
          <w:szCs w:val="24"/>
        </w:rPr>
        <w:t>预增/预减的，应准确披露预增或预减金额和比例。如确有原因无法预告准确比例的，可披露预增或预减的金额和比例区间（XXXX万元到XXXX万元、XX%到XX%）。</w:t>
      </w:r>
      <w:r>
        <w:rPr>
          <w:rFonts w:ascii="楷体" w:hAnsi="楷体" w:eastAsia="楷体"/>
          <w:color w:val="000000"/>
          <w:kern w:val="0"/>
          <w:sz w:val="24"/>
          <w:szCs w:val="24"/>
        </w:rPr>
        <w:t>如果采用数值和比例区间进行业绩预告的，相关指标预测的区间不宜过大，以数值为标准计算，较高数值一般不得超过较低数值的20%为宜，且最大不得超过50%。</w:t>
      </w:r>
      <w:r>
        <w:rPr>
          <w:rFonts w:ascii="楷体" w:hAnsi="楷体" w:eastAsia="楷体"/>
          <w:kern w:val="0"/>
          <w:sz w:val="24"/>
          <w:szCs w:val="24"/>
        </w:rPr>
        <w:t>）</w:t>
      </w:r>
    </w:p>
    <w:p w14:paraId="16A64F69">
      <w:pPr>
        <w:widowControl/>
        <w:adjustRightInd w:val="0"/>
        <w:snapToGrid w:val="0"/>
        <w:spacing w:line="560" w:lineRule="exact"/>
        <w:ind w:firstLine="602" w:firstLineChars="200"/>
        <w:jc w:val="left"/>
        <w:rPr>
          <w:rFonts w:ascii="仿宋_GB2312" w:hAnsi="Times New Roman" w:eastAsia="仿宋_GB2312"/>
          <w:color w:val="000000"/>
          <w:kern w:val="0"/>
          <w:sz w:val="30"/>
          <w:szCs w:val="30"/>
        </w:rPr>
      </w:pPr>
      <w:r>
        <w:rPr>
          <w:rFonts w:hint="eastAsia" w:ascii="仿宋_GB2312" w:hAnsi="Times New Roman" w:eastAsia="仿宋_GB2312"/>
          <w:b/>
          <w:color w:val="000000"/>
          <w:kern w:val="0"/>
          <w:sz w:val="30"/>
          <w:szCs w:val="30"/>
        </w:rPr>
        <w:t>3.因适用情形第（五）项披露业绩预告的：</w:t>
      </w:r>
    </w:p>
    <w:p w14:paraId="77DCFCBD">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经财务部门初步测算，预计XXXX年年度实现利润总额XXXX万元（或XXXX万元到XXXX万元），预计XXXX年年度实现归属于母公司所有者的净利润XXXX万元（或XXXX万元到XXXX万元），归属于母公司所有者的扣除非经常性损益后的净利润为XXXX万元（或XXXX万元到XXXX万元）。</w:t>
      </w:r>
    </w:p>
    <w:p w14:paraId="6066EF94">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预计XXXX年年度实现营业收入XXXX万元（或XXXX万元到XXXX万元），扣除与主营业务无关的业务收入和不具备商业实质的收入后的营业收入为XXXX万元（或XXXX万元到XXXX万元），低于3亿元。</w:t>
      </w:r>
    </w:p>
    <w:p w14:paraId="1D1676DD">
      <w:pPr>
        <w:widowControl/>
        <w:adjustRightInd w:val="0"/>
        <w:snapToGrid w:val="0"/>
        <w:spacing w:line="560" w:lineRule="exact"/>
        <w:ind w:firstLine="480" w:firstLineChars="200"/>
        <w:jc w:val="left"/>
        <w:rPr>
          <w:rFonts w:ascii="Times New Roman" w:hAnsi="Times New Roman" w:eastAsia="楷体"/>
          <w:sz w:val="24"/>
          <w:szCs w:val="24"/>
        </w:rPr>
      </w:pPr>
      <w:r>
        <w:rPr>
          <w:rFonts w:ascii="Times New Roman" w:hAnsi="Times New Roman" w:eastAsia="楷体"/>
          <w:sz w:val="24"/>
          <w:szCs w:val="24"/>
        </w:rPr>
        <w:t>（编制提醒：</w:t>
      </w:r>
      <w:r>
        <w:rPr>
          <w:rFonts w:ascii="Times New Roman" w:hAnsi="Times New Roman" w:eastAsia="楷体"/>
          <w:color w:val="000000"/>
          <w:sz w:val="24"/>
          <w:szCs w:val="24"/>
        </w:rPr>
        <w:t>以区间方式预计年度末净资产和</w:t>
      </w:r>
      <w:r>
        <w:rPr>
          <w:rFonts w:ascii="Times New Roman" w:hAnsi="Times New Roman" w:eastAsia="楷体"/>
          <w:color w:val="000000"/>
          <w:kern w:val="0"/>
          <w:sz w:val="24"/>
          <w:szCs w:val="24"/>
        </w:rPr>
        <w:t>归属于母公司所有者的扣除非经常性损益的净利润</w:t>
      </w:r>
      <w:r>
        <w:rPr>
          <w:rFonts w:ascii="Times New Roman" w:hAnsi="Times New Roman" w:eastAsia="楷体"/>
          <w:color w:val="000000"/>
          <w:sz w:val="24"/>
          <w:szCs w:val="24"/>
        </w:rPr>
        <w:t>的，相关区间内不得同时包含正值和负值。）</w:t>
      </w:r>
    </w:p>
    <w:p w14:paraId="4B1C039A">
      <w:pPr>
        <w:widowControl/>
        <w:adjustRightInd w:val="0"/>
        <w:snapToGrid w:val="0"/>
        <w:spacing w:line="560" w:lineRule="exact"/>
        <w:ind w:firstLine="602" w:firstLineChars="200"/>
        <w:jc w:val="left"/>
        <w:rPr>
          <w:rFonts w:ascii="仿宋_GB2312" w:hAnsi="Times New Roman" w:eastAsia="仿宋_GB2312"/>
          <w:color w:val="000000"/>
          <w:kern w:val="0"/>
          <w:sz w:val="30"/>
          <w:szCs w:val="30"/>
        </w:rPr>
      </w:pPr>
      <w:r>
        <w:rPr>
          <w:rFonts w:hint="eastAsia" w:ascii="仿宋_GB2312" w:hAnsi="Times New Roman" w:eastAsia="仿宋_GB2312"/>
          <w:b/>
          <w:color w:val="000000"/>
          <w:kern w:val="0"/>
          <w:sz w:val="30"/>
          <w:szCs w:val="30"/>
        </w:rPr>
        <w:t>4.因适用情形第（六）项披露业绩预告的：</w:t>
      </w:r>
    </w:p>
    <w:p w14:paraId="75FC89B9">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经财务部门初步测算，预计XXXX年末净资产为XXXX万元（或XXXX万元到XXXX万元）。</w:t>
      </w:r>
    </w:p>
    <w:p w14:paraId="3A1B5FFF">
      <w:pPr>
        <w:widowControl/>
        <w:adjustRightInd w:val="0"/>
        <w:snapToGrid w:val="0"/>
        <w:spacing w:line="560" w:lineRule="exact"/>
        <w:ind w:firstLine="480" w:firstLineChars="200"/>
        <w:jc w:val="left"/>
        <w:rPr>
          <w:rFonts w:ascii="Times New Roman" w:hAnsi="Times New Roman" w:eastAsia="楷体"/>
          <w:sz w:val="24"/>
          <w:szCs w:val="24"/>
        </w:rPr>
      </w:pPr>
      <w:r>
        <w:rPr>
          <w:rFonts w:ascii="Times New Roman" w:hAnsi="Times New Roman" w:eastAsia="楷体"/>
          <w:sz w:val="24"/>
          <w:szCs w:val="24"/>
        </w:rPr>
        <w:t>（编制提醒：</w:t>
      </w:r>
      <w:r>
        <w:rPr>
          <w:rFonts w:ascii="Times New Roman" w:hAnsi="Times New Roman" w:eastAsia="楷体"/>
          <w:color w:val="000000"/>
          <w:sz w:val="24"/>
          <w:szCs w:val="24"/>
        </w:rPr>
        <w:t>以区间方式预计年度末净资产和</w:t>
      </w:r>
      <w:r>
        <w:rPr>
          <w:rFonts w:ascii="Times New Roman" w:hAnsi="Times New Roman" w:eastAsia="楷体"/>
          <w:color w:val="000000"/>
          <w:kern w:val="0"/>
          <w:sz w:val="24"/>
          <w:szCs w:val="24"/>
        </w:rPr>
        <w:t>归属于母公司所有者的扣除非经常性损益的净利润</w:t>
      </w:r>
      <w:r>
        <w:rPr>
          <w:rFonts w:ascii="Times New Roman" w:hAnsi="Times New Roman" w:eastAsia="楷体"/>
          <w:color w:val="000000"/>
          <w:sz w:val="24"/>
          <w:szCs w:val="24"/>
        </w:rPr>
        <w:t>的，相关区间内不得同时包含正值和负值。）</w:t>
      </w:r>
    </w:p>
    <w:p w14:paraId="155D3C4B">
      <w:pPr>
        <w:widowControl/>
        <w:adjustRightInd w:val="0"/>
        <w:snapToGrid w:val="0"/>
        <w:spacing w:line="560" w:lineRule="exact"/>
        <w:ind w:firstLine="602" w:firstLineChars="200"/>
        <w:jc w:val="left"/>
        <w:rPr>
          <w:rFonts w:ascii="仿宋_GB2312" w:hAnsi="Times New Roman" w:eastAsia="仿宋_GB2312"/>
          <w:color w:val="000000"/>
          <w:kern w:val="0"/>
          <w:sz w:val="30"/>
          <w:szCs w:val="30"/>
        </w:rPr>
      </w:pPr>
      <w:r>
        <w:rPr>
          <w:rFonts w:hint="eastAsia" w:ascii="仿宋_GB2312" w:hAnsi="Times New Roman" w:eastAsia="仿宋_GB2312"/>
          <w:b/>
          <w:color w:val="000000"/>
          <w:kern w:val="0"/>
          <w:sz w:val="30"/>
          <w:szCs w:val="30"/>
        </w:rPr>
        <w:t>5.因适用情形第（七）项披露业绩预告的：</w:t>
      </w:r>
    </w:p>
    <w:p w14:paraId="470C1349">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经财务部门初步测算，预计XXXX年年度实现利润总额XXXX万元（或XXXX万元到XXXX万元），预计XXXX年年度归属于母公司所有者的净利润为XXXX万元（或XXXX万元到XXXX万元），扣除非经常性损益后的净利润为XXXX万元（或XXXX万元到XXXX万元）。</w:t>
      </w:r>
    </w:p>
    <w:p w14:paraId="0FE9C37F">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预计XXXX年年度营业收入为XXXX万元（或XXXX万元到XXXX万元），扣除与主营业务无关的业务收入和不具备商业实质的收入后的营业收入为XXXX万元（或XXXX万元到XXXX万元）。</w:t>
      </w:r>
    </w:p>
    <w:p w14:paraId="480FDAB2">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预计XXXX年末净资产为XXXX万元（或XXXX万元到XXXX万元）。</w:t>
      </w:r>
    </w:p>
    <w:p w14:paraId="2CCA4E79">
      <w:pPr>
        <w:widowControl/>
        <w:adjustRightInd w:val="0"/>
        <w:snapToGrid w:val="0"/>
        <w:spacing w:line="560" w:lineRule="exact"/>
        <w:ind w:firstLine="480" w:firstLineChars="200"/>
        <w:jc w:val="left"/>
        <w:rPr>
          <w:rFonts w:ascii="Times New Roman" w:hAnsi="Times New Roman" w:eastAsia="仿宋_GB2312"/>
          <w:color w:val="000000"/>
          <w:kern w:val="0"/>
          <w:sz w:val="30"/>
          <w:szCs w:val="30"/>
        </w:rPr>
      </w:pPr>
      <w:r>
        <w:rPr>
          <w:rFonts w:ascii="Times New Roman" w:hAnsi="Times New Roman" w:eastAsia="楷体"/>
          <w:sz w:val="24"/>
          <w:szCs w:val="24"/>
        </w:rPr>
        <w:t>（编制提醒：</w:t>
      </w:r>
      <w:r>
        <w:rPr>
          <w:rFonts w:ascii="Times New Roman" w:hAnsi="Times New Roman" w:eastAsia="楷体"/>
          <w:color w:val="000000"/>
          <w:sz w:val="24"/>
          <w:szCs w:val="24"/>
        </w:rPr>
        <w:t>以区间方式预计年度末净资产和</w:t>
      </w:r>
      <w:r>
        <w:rPr>
          <w:rFonts w:ascii="Times New Roman" w:hAnsi="Times New Roman" w:eastAsia="楷体"/>
          <w:color w:val="000000"/>
          <w:kern w:val="0"/>
          <w:sz w:val="24"/>
          <w:szCs w:val="24"/>
        </w:rPr>
        <w:t>归属于母公司所有者的扣除非经常性损益的净利润</w:t>
      </w:r>
      <w:r>
        <w:rPr>
          <w:rFonts w:ascii="Times New Roman" w:hAnsi="Times New Roman" w:eastAsia="楷体"/>
          <w:color w:val="000000"/>
          <w:sz w:val="24"/>
          <w:szCs w:val="24"/>
        </w:rPr>
        <w:t>的，相关区间内不得同时包含正值和负值。）</w:t>
      </w:r>
    </w:p>
    <w:p w14:paraId="3AAC1710">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（三）注册会计师对公司本期业绩预告是否适当和审慎的专项说明（如适用）。</w:t>
      </w:r>
    </w:p>
    <w:p w14:paraId="4FA367BA">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7AD9CB61">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二、上年同期经营业绩和财务状况</w:t>
      </w:r>
    </w:p>
    <w:p w14:paraId="154FA392">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（一）利润总额：XXXX万元。归属于母公司所有者的净利润：XXXX万元。归属于母公司所有者的扣除非经常性损益的净利润：XXXX万元。</w:t>
      </w:r>
    </w:p>
    <w:p w14:paraId="407B1B4B">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（二）每股收益：XXXX元。</w:t>
      </w:r>
    </w:p>
    <w:p w14:paraId="467080F3">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营业收入：XXXX万元（因适用情形第（五）（七）项披露业绩预告的公司）。扣除与主营业务无关的业务收入和不具备商业实质的收入后的营业收入：XXXX万元（因适用情形第（七）项披露业绩预告的公司）。</w:t>
      </w:r>
    </w:p>
    <w:p w14:paraId="0B5A6917">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（四）期末净资产：XXXX万元。（因适用情形第（六）（七）项披露业绩预告的公司）。</w:t>
      </w:r>
    </w:p>
    <w:p w14:paraId="1164FAA8">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49AB9C39">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三、本期业绩预增（或预减、预盈、预亏等）的主要原因</w:t>
      </w:r>
    </w:p>
    <w:p w14:paraId="2D05CE6F">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（一）主营业务影响。例如，国家或行业政策变化，主要客户的变化、大额资产减值损失的计提或冲回，大额汇兑损益等。</w:t>
      </w:r>
    </w:p>
    <w:p w14:paraId="29928EF6">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（二）非经营性损益的影响。例如上期或本期收到大额政府补助，非流动资产处置损益、长期股权投资产生的大额投资收益等。</w:t>
      </w:r>
    </w:p>
    <w:p w14:paraId="372D1242">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（三）会计处理的影响。例如，本期或上期合并报表范围变化，会计政策变更、会计估计变更或会计差错更正等。</w:t>
      </w:r>
    </w:p>
    <w:p w14:paraId="4743AFA6">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（四）上年比较基数较小。</w:t>
      </w:r>
    </w:p>
    <w:p w14:paraId="1ED6D494">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（五）其他影响。</w:t>
      </w:r>
    </w:p>
    <w:p w14:paraId="088835CA">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37D0F721">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四、业绩预告更正公告</w:t>
      </w:r>
    </w:p>
    <w:p w14:paraId="589F22F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（一）本期业绩预告情况</w:t>
      </w:r>
    </w:p>
    <w:p w14:paraId="1C9FFF02">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1.业绩预告期间</w:t>
      </w:r>
    </w:p>
    <w:p w14:paraId="2E04D0E2">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XXXX年1月1日至XXXX年XX月XX日。</w:t>
      </w:r>
    </w:p>
    <w:p w14:paraId="67B968E3">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2.前次业绩预告情况</w:t>
      </w:r>
    </w:p>
    <w:p w14:paraId="690E630D">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公司于XXXX年XX月XX日披露了XXXX年年度业绩预增（或预减、预亏、预盈等）公告，预计XXXX年年度……（参照本公告格式相关内容）。</w:t>
      </w:r>
    </w:p>
    <w:p w14:paraId="7A2CEED8">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3.更正后的业绩预告情况</w:t>
      </w:r>
    </w:p>
    <w:p w14:paraId="5771D534">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经财务部门再次测算，预计XXXX年年度……（参照本公告格式相关内容）。</w:t>
      </w:r>
    </w:p>
    <w:p w14:paraId="584EB72B">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4.注册会计师对公司本期业绩预告更正是否适当和审慎的专项说明（如适用）</w:t>
      </w:r>
    </w:p>
    <w:p w14:paraId="5087B921">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（二）上年度同期业绩情况</w:t>
      </w:r>
    </w:p>
    <w:p w14:paraId="61C60C31">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1.归属于上市公司股东的净利润：XXXX万元。</w:t>
      </w:r>
    </w:p>
    <w:p w14:paraId="39678D5E">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2.每股收益：XXXX元。……（参照本公告格式相关内容）</w:t>
      </w:r>
    </w:p>
    <w:p w14:paraId="7AB1CA69">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（三）业绩预告更正的主要原因</w:t>
      </w:r>
    </w:p>
    <w:p w14:paraId="624CF30E">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1.业绩预告更正原因，例如计提减值准备、非经常性损益确认变动或其他导致业绩预告更正的具体情况及所涉及金额。</w:t>
      </w:r>
    </w:p>
    <w:p w14:paraId="6F40D3F9">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2.根据注册会计师预审结果进行业绩预告更正的，还应当说明公司与注册会计师是否存在分歧及分歧所在。</w:t>
      </w:r>
    </w:p>
    <w:p w14:paraId="4CD5399D">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3.公司应当结合原业绩预告公告，说明导致本次业绩预告更正的原因是否已在原业绩预告公告中进行了充分风险提示。</w:t>
      </w:r>
    </w:p>
    <w:p w14:paraId="5D791C31">
      <w:pPr>
        <w:adjustRightInd w:val="0"/>
        <w:snapToGrid w:val="0"/>
        <w:spacing w:line="560" w:lineRule="exact"/>
        <w:ind w:firstLine="600" w:firstLineChars="200"/>
        <w:rPr>
          <w:rFonts w:ascii="Times New Roman" w:hAnsi="Times New Roman" w:eastAsia="仿宋_GB2312"/>
          <w:sz w:val="30"/>
          <w:szCs w:val="30"/>
        </w:rPr>
      </w:pPr>
    </w:p>
    <w:p w14:paraId="357BDDB0">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五、风险提示</w:t>
      </w:r>
    </w:p>
    <w:p w14:paraId="1FB5D855">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（一）公司应当说明可能存在影响本次业绩预告（或业绩预告更正公告）内容准确性的不确定因素的具体情况及其影响程度，例如不确定的重大交易、会计处理存在争议、可能影响本期财务数据的期后事项等。</w:t>
      </w:r>
    </w:p>
    <w:p w14:paraId="7FA43C32">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（二）公司是否就上述不确定因素与年审会计师进行沟通及沟通情况。</w:t>
      </w:r>
    </w:p>
    <w:p w14:paraId="7A6737CB">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（三）对上述不确定因素可能造成的影响进行合理、量化分析，同时披露剔除不确定因素后的业绩变动情况。</w:t>
      </w:r>
    </w:p>
    <w:p w14:paraId="25B1A429">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（四）其他风险提示。</w:t>
      </w:r>
    </w:p>
    <w:p w14:paraId="0569DBA2">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095ED097">
      <w:pPr>
        <w:widowControl/>
        <w:adjustRightInd w:val="0"/>
        <w:snapToGrid w:val="0"/>
        <w:spacing w:line="560" w:lineRule="exact"/>
        <w:ind w:firstLine="602" w:firstLineChars="200"/>
        <w:jc w:val="left"/>
        <w:rPr>
          <w:rFonts w:ascii="黑体" w:hAnsi="黑体" w:eastAsia="黑体"/>
          <w:b/>
          <w:color w:val="000000"/>
          <w:kern w:val="0"/>
          <w:sz w:val="30"/>
          <w:szCs w:val="30"/>
        </w:rPr>
      </w:pPr>
      <w:r>
        <w:rPr>
          <w:rFonts w:ascii="黑体" w:hAnsi="黑体" w:eastAsia="黑体"/>
          <w:b/>
          <w:color w:val="000000"/>
          <w:kern w:val="0"/>
          <w:sz w:val="30"/>
          <w:szCs w:val="30"/>
        </w:rPr>
        <w:t>六、其他说明事项</w:t>
      </w:r>
    </w:p>
    <w:p w14:paraId="7052FFD6">
      <w:pPr>
        <w:widowControl/>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（一）以上预告数据（或</w:t>
      </w:r>
      <w:r>
        <w:rPr>
          <w:rFonts w:hint="eastAsia" w:ascii="仿宋_GB2312" w:hAnsi="Times New Roman" w:eastAsia="仿宋_GB2312"/>
          <w:sz w:val="30"/>
          <w:szCs w:val="30"/>
        </w:rPr>
        <w:t>更正后的预告数据</w:t>
      </w:r>
      <w:r>
        <w:rPr>
          <w:rFonts w:hint="eastAsia" w:ascii="仿宋_GB2312" w:hAnsi="Times New Roman" w:eastAsia="仿宋_GB2312"/>
          <w:color w:val="000000"/>
          <w:kern w:val="0"/>
          <w:sz w:val="30"/>
          <w:szCs w:val="30"/>
        </w:rPr>
        <w:t>）仅为初步核算数据，具体准确的财务数据以公司正式披露的经审计后的XXXX年年报为准，敬请广大投资者注意投资风险。</w:t>
      </w:r>
    </w:p>
    <w:p w14:paraId="07E1D7C0">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hint="eastAsia" w:ascii="仿宋_GB2312" w:hAnsi="Times New Roman" w:eastAsia="仿宋_GB2312"/>
          <w:color w:val="000000"/>
          <w:kern w:val="0"/>
          <w:sz w:val="30"/>
          <w:szCs w:val="30"/>
        </w:rPr>
        <w:t>（二）本次业绩预告（或业绩预告更正）的有关决策程序</w:t>
      </w:r>
      <w:r>
        <w:rPr>
          <w:rFonts w:ascii="Times New Roman" w:hAnsi="Times New Roman" w:eastAsia="仿宋_GB2312"/>
          <w:color w:val="000000"/>
          <w:kern w:val="0"/>
          <w:sz w:val="30"/>
          <w:szCs w:val="30"/>
        </w:rPr>
        <w:t>（如适用）</w:t>
      </w:r>
      <w:r>
        <w:rPr>
          <w:rFonts w:hint="eastAsia" w:ascii="仿宋_GB2312" w:hAnsi="Times New Roman" w:eastAsia="仿宋_GB2312"/>
          <w:color w:val="000000"/>
          <w:kern w:val="0"/>
          <w:sz w:val="30"/>
          <w:szCs w:val="30"/>
        </w:rPr>
        <w:t>。</w:t>
      </w:r>
    </w:p>
    <w:p w14:paraId="2468939D">
      <w:pPr>
        <w:widowControl/>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（三）关于公司股票可能被实施或撤销风险警示或</w:t>
      </w:r>
      <w:r>
        <w:rPr>
          <w:rFonts w:hint="eastAsia" w:ascii="Times New Roman" w:hAnsi="Times New Roman" w:eastAsia="仿宋_GB2312"/>
          <w:sz w:val="30"/>
          <w:szCs w:val="30"/>
        </w:rPr>
        <w:t>者</w:t>
      </w:r>
      <w:r>
        <w:rPr>
          <w:rFonts w:ascii="Times New Roman" w:hAnsi="Times New Roman" w:eastAsia="仿宋_GB2312"/>
          <w:sz w:val="30"/>
          <w:szCs w:val="30"/>
        </w:rPr>
        <w:t>终止上市</w:t>
      </w:r>
      <w:r>
        <w:rPr>
          <w:rFonts w:hint="eastAsia" w:ascii="Times New Roman" w:hAnsi="Times New Roman" w:eastAsia="仿宋_GB2312"/>
          <w:sz w:val="30"/>
          <w:szCs w:val="30"/>
        </w:rPr>
        <w:t>等</w:t>
      </w:r>
      <w:r>
        <w:rPr>
          <w:rFonts w:ascii="Times New Roman" w:hAnsi="Times New Roman" w:eastAsia="仿宋_GB2312"/>
          <w:sz w:val="30"/>
          <w:szCs w:val="30"/>
        </w:rPr>
        <w:t>的说明（如适用）。</w:t>
      </w:r>
    </w:p>
    <w:p w14:paraId="01089016">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sz w:val="30"/>
          <w:szCs w:val="30"/>
        </w:rPr>
        <w:t>（四）</w:t>
      </w:r>
      <w:r>
        <w:rPr>
          <w:rFonts w:ascii="Times New Roman" w:hAnsi="Times New Roman" w:eastAsia="仿宋_GB2312"/>
          <w:color w:val="000000"/>
          <w:kern w:val="0"/>
          <w:sz w:val="30"/>
          <w:szCs w:val="30"/>
        </w:rPr>
        <w:t>详细说明董事或高级管理人员明确提出对本公告有关内容持反对或保留意见的情况（如适用）。</w:t>
      </w:r>
    </w:p>
    <w:p w14:paraId="10898DAD">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65166E86">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特此公告。</w:t>
      </w:r>
    </w:p>
    <w:p w14:paraId="0CCBE1CF">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rPr>
      </w:pPr>
    </w:p>
    <w:p w14:paraId="1D8A6512">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rPr>
      </w:pPr>
      <w:r>
        <w:rPr>
          <w:rFonts w:hint="eastAsia" w:ascii="仿宋_GB2312" w:hAnsi="Times New Roman" w:eastAsia="仿宋_GB2312"/>
          <w:color w:val="000000"/>
          <w:kern w:val="0"/>
          <w:sz w:val="30"/>
          <w:szCs w:val="30"/>
        </w:rPr>
        <w:t>XXXX股</w:t>
      </w:r>
      <w:r>
        <w:rPr>
          <w:rFonts w:ascii="Times New Roman" w:hAnsi="Times New Roman" w:eastAsia="仿宋_GB2312"/>
          <w:color w:val="000000"/>
          <w:kern w:val="0"/>
          <w:sz w:val="30"/>
          <w:szCs w:val="30"/>
        </w:rPr>
        <w:t>份有限公司董事会</w:t>
      </w:r>
    </w:p>
    <w:p w14:paraId="7724C335">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年  月  日</w:t>
      </w:r>
    </w:p>
    <w:p w14:paraId="311A1C9D">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rPr>
      </w:pPr>
    </w:p>
    <w:p w14:paraId="66354CEE">
      <w:pPr>
        <w:pStyle w:val="23"/>
        <w:numPr>
          <w:ilvl w:val="0"/>
          <w:numId w:val="2"/>
        </w:numPr>
        <w:autoSpaceDE w:val="0"/>
        <w:autoSpaceDN w:val="0"/>
        <w:adjustRightInd w:val="0"/>
        <w:snapToGrid w:val="0"/>
        <w:spacing w:line="560" w:lineRule="exact"/>
        <w:ind w:firstLineChars="0"/>
        <w:rPr>
          <w:rFonts w:ascii="Times New Roman" w:hAnsi="Times New Roman" w:eastAsia="仿宋_GB2312"/>
          <w:b/>
          <w:color w:val="000000"/>
          <w:sz w:val="30"/>
          <w:szCs w:val="30"/>
        </w:rPr>
      </w:pPr>
      <w:r>
        <w:rPr>
          <w:rFonts w:ascii="Times New Roman" w:hAnsi="Times New Roman" w:eastAsia="仿宋_GB2312"/>
          <w:b/>
          <w:color w:val="000000"/>
          <w:sz w:val="30"/>
          <w:szCs w:val="30"/>
        </w:rPr>
        <w:t>报备文件</w:t>
      </w:r>
    </w:p>
    <w:p w14:paraId="3A3F251F">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1.董事长、总经理、财务负责人及董事会秘书关于本期业绩预告（或业绩预告更正公告）的情况说明</w:t>
      </w:r>
    </w:p>
    <w:p w14:paraId="0A1EBA8A">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2.注册会计师对公司本期业绩预告（或业绩预告更正公告）是否适当和审慎的专项说明（如适用）</w:t>
      </w:r>
    </w:p>
    <w:p w14:paraId="3B06FA28">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00D6C14F">
      <w:pPr>
        <w:widowControl/>
        <w:adjustRightInd w:val="0"/>
        <w:snapToGrid w:val="0"/>
        <w:spacing w:line="560" w:lineRule="exact"/>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w:t>
      </w:r>
    </w:p>
    <w:p w14:paraId="34A5DCF6">
      <w:pPr>
        <w:widowControl/>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br w:type="page"/>
      </w:r>
    </w:p>
    <w:p w14:paraId="0997BDE5">
      <w:pPr>
        <w:pStyle w:val="3"/>
        <w:rPr>
          <w:rFonts w:cs="Times New Roman"/>
          <w:sz w:val="32"/>
          <w:szCs w:val="32"/>
        </w:rPr>
      </w:pPr>
      <w:bookmarkStart w:id="2" w:name="_Toc101510144"/>
      <w:bookmarkStart w:id="3" w:name="_Toc340839648"/>
      <w:bookmarkStart w:id="4" w:name="_Toc330904164"/>
      <w:r>
        <w:rPr>
          <w:rFonts w:cs="Times New Roman"/>
          <w:sz w:val="32"/>
          <w:szCs w:val="32"/>
        </w:rPr>
        <w:t>2.上市公司业绩快报及更正公告</w:t>
      </w:r>
      <w:bookmarkEnd w:id="2"/>
      <w:bookmarkEnd w:id="3"/>
      <w:bookmarkEnd w:id="4"/>
    </w:p>
    <w:p w14:paraId="1A2E1C81">
      <w:pPr>
        <w:rPr>
          <w:rFonts w:ascii="Times New Roman" w:hAnsi="Times New Roman"/>
        </w:rPr>
      </w:pPr>
    </w:p>
    <w:p w14:paraId="57C682A1">
      <w:pPr>
        <w:widowControl/>
        <w:adjustRightInd w:val="0"/>
        <w:snapToGrid w:val="0"/>
        <w:spacing w:line="560" w:lineRule="exact"/>
        <w:jc w:val="left"/>
        <w:rPr>
          <w:rFonts w:ascii="Times New Roman" w:hAnsi="Times New Roman" w:eastAsia="仿宋_GB2312"/>
          <w:b/>
          <w:color w:val="000000"/>
          <w:kern w:val="0"/>
          <w:sz w:val="30"/>
          <w:szCs w:val="30"/>
        </w:rPr>
      </w:pPr>
      <w:r>
        <w:rPr>
          <w:rFonts w:ascii="Times New Roman" w:hAnsi="Times New Roman" w:eastAsia="仿宋_GB2312"/>
          <w:b/>
          <w:color w:val="000000"/>
          <w:kern w:val="0"/>
          <w:sz w:val="30"/>
          <w:szCs w:val="30"/>
        </w:rPr>
        <w:t>适用情形：</w:t>
      </w:r>
    </w:p>
    <w:p w14:paraId="0F932BA1">
      <w:pPr>
        <w:widowControl/>
        <w:adjustRightInd w:val="0"/>
        <w:snapToGrid w:val="0"/>
        <w:spacing w:line="560" w:lineRule="exact"/>
        <w:ind w:firstLine="600" w:firstLineChars="200"/>
        <w:jc w:val="left"/>
        <w:rPr>
          <w:rFonts w:ascii="Times New Roman" w:hAnsi="Times New Roman" w:eastAsia="仿宋_GB2312"/>
          <w:bCs/>
          <w:color w:val="000000"/>
          <w:kern w:val="0"/>
          <w:sz w:val="30"/>
          <w:szCs w:val="30"/>
        </w:rPr>
      </w:pPr>
      <w:r>
        <w:rPr>
          <w:rFonts w:ascii="Times New Roman" w:hAnsi="Times New Roman" w:eastAsia="仿宋_GB2312"/>
          <w:bCs/>
          <w:color w:val="000000"/>
          <w:kern w:val="0"/>
          <w:sz w:val="30"/>
          <w:szCs w:val="30"/>
        </w:rPr>
        <w:t>1.本公告格式适用于公司出现《股票上市规则》第5.1.6条规定的情形。</w:t>
      </w:r>
    </w:p>
    <w:p w14:paraId="6DD5085A">
      <w:pPr>
        <w:widowControl/>
        <w:adjustRightInd w:val="0"/>
        <w:snapToGrid w:val="0"/>
        <w:spacing w:line="560" w:lineRule="exact"/>
        <w:ind w:firstLine="600" w:firstLineChars="200"/>
        <w:jc w:val="left"/>
        <w:rPr>
          <w:rFonts w:ascii="Times New Roman" w:hAnsi="Times New Roman" w:eastAsia="仿宋_GB2312"/>
          <w:bCs/>
          <w:color w:val="000000"/>
          <w:kern w:val="0"/>
          <w:sz w:val="30"/>
          <w:szCs w:val="30"/>
        </w:rPr>
      </w:pPr>
      <w:r>
        <w:rPr>
          <w:rFonts w:ascii="Times New Roman" w:hAnsi="Times New Roman" w:eastAsia="仿宋_GB2312"/>
          <w:bCs/>
          <w:color w:val="000000"/>
          <w:kern w:val="0"/>
          <w:sz w:val="30"/>
          <w:szCs w:val="30"/>
        </w:rPr>
        <w:t>2.公司披露业绩快报后，如预计本期业绩或者财务状况与已披露的业绩快报数据和指标差异幅度达到20%以上，或者最新预计的报告期净利润、扣除非经常性损益后的净利润或者期末净资产与已披露的业绩快报发生方向性变化的，应当及时披露业绩快报更正公告，说明具体差异及造成差异的原因。</w:t>
      </w:r>
    </w:p>
    <w:p w14:paraId="043B39BE">
      <w:pPr>
        <w:widowControl/>
        <w:adjustRightInd w:val="0"/>
        <w:snapToGrid w:val="0"/>
        <w:spacing w:line="560" w:lineRule="exact"/>
        <w:ind w:firstLine="480" w:firstLineChars="200"/>
        <w:jc w:val="left"/>
        <w:rPr>
          <w:rFonts w:ascii="Times New Roman" w:hAnsi="Times New Roman"/>
          <w:sz w:val="24"/>
        </w:rPr>
      </w:pPr>
    </w:p>
    <w:p w14:paraId="25FF4DA1">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14:paraId="5D39D1C4">
      <w:pPr>
        <w:pStyle w:val="5"/>
        <w:adjustRightInd w:val="0"/>
        <w:snapToGrid w:val="0"/>
        <w:spacing w:line="360" w:lineRule="auto"/>
        <w:rPr>
          <w:spacing w:val="10"/>
          <w:kern w:val="28"/>
          <w:sz w:val="24"/>
        </w:rPr>
      </w:pPr>
    </w:p>
    <w:p w14:paraId="046078FF">
      <w:pPr>
        <w:autoSpaceDE w:val="0"/>
        <w:autoSpaceDN w:val="0"/>
        <w:adjustRightInd w:val="0"/>
        <w:snapToGrid w:val="0"/>
        <w:spacing w:line="360" w:lineRule="auto"/>
        <w:jc w:val="center"/>
        <w:rPr>
          <w:rFonts w:ascii="仿宋_GB2312" w:hAnsi="Times New Roman" w:eastAsia="仿宋_GB2312"/>
          <w:bCs/>
          <w:color w:val="000000"/>
          <w:kern w:val="0"/>
          <w:sz w:val="30"/>
          <w:szCs w:val="30"/>
        </w:rPr>
      </w:pPr>
      <w:r>
        <w:rPr>
          <w:rFonts w:hint="eastAsia" w:ascii="仿宋_GB2312" w:hAnsi="Times New Roman" w:eastAsia="仿宋_GB2312"/>
          <w:bCs/>
          <w:color w:val="000000"/>
          <w:kern w:val="0"/>
          <w:sz w:val="30"/>
          <w:szCs w:val="30"/>
        </w:rPr>
        <w:t>XXXX股份有限公司XXXX年度（第一季度、半年度、前三季度）业绩快报（更正）公告</w:t>
      </w:r>
    </w:p>
    <w:p w14:paraId="5E489C9A">
      <w:pPr>
        <w:widowControl/>
        <w:adjustRightInd w:val="0"/>
        <w:snapToGrid w:val="0"/>
        <w:spacing w:line="560" w:lineRule="exact"/>
        <w:ind w:firstLine="600" w:firstLineChars="200"/>
        <w:jc w:val="center"/>
        <w:rPr>
          <w:rFonts w:ascii="Times New Roman" w:hAnsi="Times New Roman" w:eastAsia="仿宋_GB2312"/>
          <w:color w:val="000000"/>
          <w:sz w:val="30"/>
          <w:szCs w:val="30"/>
        </w:rPr>
      </w:pPr>
    </w:p>
    <w:p w14:paraId="008F6477">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本公司董事会及全体董事保证本公告内容不存在任何虚假记载、误导性陈述或者重大遗漏，并对其内容的真实性、准确性和完整性承担法律责任。</w:t>
      </w:r>
    </w:p>
    <w:p w14:paraId="322D8EC9">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如有董事对临时公告内容的真实性、准确性和完整性无法保证或存在异议的，公司应当在公告中作特别提示。</w:t>
      </w:r>
    </w:p>
    <w:p w14:paraId="79CAE4BD">
      <w:pPr>
        <w:widowControl/>
        <w:adjustRightInd w:val="0"/>
        <w:snapToGrid w:val="0"/>
        <w:spacing w:line="560" w:lineRule="exact"/>
        <w:ind w:firstLine="600" w:firstLineChars="200"/>
        <w:jc w:val="left"/>
        <w:rPr>
          <w:rFonts w:ascii="Times New Roman" w:hAnsi="Times New Roman" w:eastAsia="仿宋_GB2312"/>
          <w:color w:val="000000"/>
          <w:kern w:val="0"/>
          <w:sz w:val="30"/>
          <w:szCs w:val="30"/>
        </w:rPr>
      </w:pPr>
    </w:p>
    <w:p w14:paraId="5CB5140A">
      <w:pPr>
        <w:autoSpaceDE w:val="0"/>
        <w:autoSpaceDN w:val="0"/>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公告所载XXXX年度（或第一季度、半年度、前三季度）主要财务数据为初步核算数据，未经会计师事务所审计，具体数据以公司XXXX年度（第一季度、半年度、前三季度）的定期报告中披露的数据为准，提请投资者注意投资风险。</w:t>
      </w:r>
    </w:p>
    <w:p w14:paraId="4C57533F">
      <w:pPr>
        <w:autoSpaceDE w:val="0"/>
        <w:autoSpaceDN w:val="0"/>
        <w:adjustRightInd w:val="0"/>
        <w:snapToGrid w:val="0"/>
        <w:spacing w:line="560" w:lineRule="exact"/>
        <w:ind w:firstLine="602" w:firstLineChars="200"/>
        <w:jc w:val="left"/>
        <w:rPr>
          <w:rFonts w:ascii="黑体" w:hAnsi="黑体" w:eastAsia="黑体"/>
          <w:b/>
          <w:kern w:val="0"/>
          <w:sz w:val="30"/>
          <w:szCs w:val="30"/>
        </w:rPr>
      </w:pPr>
      <w:r>
        <w:rPr>
          <w:rFonts w:ascii="黑体" w:hAnsi="黑体" w:eastAsia="黑体"/>
          <w:b/>
          <w:kern w:val="0"/>
          <w:sz w:val="30"/>
          <w:szCs w:val="30"/>
        </w:rPr>
        <w:t>一、XXXX年度（或第一季度、半年度、前三季度）主要财务数据和指标</w:t>
      </w:r>
    </w:p>
    <w:p w14:paraId="6DADBE54">
      <w:pPr>
        <w:adjustRightInd w:val="0"/>
        <w:snapToGrid w:val="0"/>
        <w:spacing w:line="360" w:lineRule="auto"/>
        <w:ind w:firstLine="480" w:firstLineChars="200"/>
        <w:jc w:val="left"/>
        <w:rPr>
          <w:rFonts w:ascii="Times New Roman" w:hAnsi="Times New Roman"/>
          <w:kern w:val="0"/>
          <w:sz w:val="24"/>
        </w:rPr>
      </w:pPr>
      <w:r>
        <w:rPr>
          <w:rFonts w:ascii="Times New Roman" w:hAnsi="Times New Roman"/>
          <w:sz w:val="24"/>
        </w:rPr>
        <w:t xml:space="preserve">                                                 </w:t>
      </w:r>
      <w:r>
        <w:rPr>
          <w:rFonts w:ascii="Times New Roman" w:hAnsi="Times New Roman"/>
          <w:kern w:val="0"/>
          <w:sz w:val="24"/>
        </w:rPr>
        <w:t xml:space="preserve">单位：         </w:t>
      </w:r>
    </w:p>
    <w:tbl>
      <w:tblPr>
        <w:tblStyle w:val="13"/>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14:paraId="750B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02A5DE7E">
            <w:pPr>
              <w:spacing w:line="360" w:lineRule="exact"/>
              <w:jc w:val="center"/>
              <w:rPr>
                <w:rFonts w:ascii="Times New Roman" w:hAnsi="Times New Roman"/>
                <w:sz w:val="24"/>
              </w:rPr>
            </w:pPr>
            <w:r>
              <w:rPr>
                <w:rFonts w:ascii="Times New Roman" w:hAnsi="Times New Roman"/>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14:paraId="7DEC45FC">
            <w:pPr>
              <w:spacing w:line="360" w:lineRule="exact"/>
              <w:jc w:val="center"/>
              <w:rPr>
                <w:rFonts w:ascii="Times New Roman" w:hAnsi="Times New Roman"/>
                <w:sz w:val="24"/>
              </w:rPr>
            </w:pPr>
            <w:r>
              <w:rPr>
                <w:rFonts w:ascii="Times New Roman" w:hAnsi="Times New Roman"/>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14:paraId="78D771A2">
            <w:pPr>
              <w:spacing w:line="360" w:lineRule="exact"/>
              <w:jc w:val="center"/>
              <w:rPr>
                <w:rFonts w:ascii="Times New Roman" w:hAnsi="Times New Roman"/>
                <w:sz w:val="24"/>
              </w:rPr>
            </w:pPr>
            <w:r>
              <w:rPr>
                <w:rFonts w:ascii="Times New Roman" w:hAnsi="Times New Roman"/>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14:paraId="70252219">
            <w:pPr>
              <w:spacing w:line="360" w:lineRule="exact"/>
              <w:jc w:val="center"/>
              <w:rPr>
                <w:rFonts w:ascii="Times New Roman" w:hAnsi="Times New Roman"/>
                <w:sz w:val="24"/>
              </w:rPr>
            </w:pPr>
            <w:r>
              <w:rPr>
                <w:rFonts w:ascii="Times New Roman" w:hAnsi="Times New Roman"/>
                <w:sz w:val="24"/>
              </w:rPr>
              <w:t>增减变动幅度（％）</w:t>
            </w:r>
          </w:p>
        </w:tc>
      </w:tr>
      <w:tr w14:paraId="2675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57CB1840">
            <w:pPr>
              <w:spacing w:line="360" w:lineRule="exact"/>
              <w:jc w:val="center"/>
              <w:rPr>
                <w:rFonts w:ascii="Times New Roman" w:hAnsi="Times New Roman"/>
                <w:sz w:val="24"/>
              </w:rPr>
            </w:pPr>
            <w:r>
              <w:rPr>
                <w:rFonts w:ascii="Times New Roman" w:hAnsi="Times New Roman"/>
                <w:sz w:val="24"/>
              </w:rPr>
              <w:t>营业总收入</w:t>
            </w:r>
          </w:p>
        </w:tc>
        <w:tc>
          <w:tcPr>
            <w:tcW w:w="1800" w:type="dxa"/>
            <w:tcBorders>
              <w:top w:val="single" w:color="auto" w:sz="4" w:space="0"/>
              <w:left w:val="single" w:color="auto" w:sz="4" w:space="0"/>
              <w:bottom w:val="single" w:color="auto" w:sz="4" w:space="0"/>
              <w:right w:val="single" w:color="auto" w:sz="4" w:space="0"/>
            </w:tcBorders>
            <w:vAlign w:val="center"/>
          </w:tcPr>
          <w:p w14:paraId="6873DC6B">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7F39A193">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684F8136">
            <w:pPr>
              <w:spacing w:line="360" w:lineRule="exact"/>
              <w:jc w:val="center"/>
              <w:rPr>
                <w:rFonts w:ascii="Times New Roman" w:hAnsi="Times New Roman"/>
                <w:sz w:val="24"/>
              </w:rPr>
            </w:pPr>
          </w:p>
        </w:tc>
      </w:tr>
      <w:tr w14:paraId="1EFF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53B29870">
            <w:pPr>
              <w:spacing w:line="360" w:lineRule="exact"/>
              <w:jc w:val="center"/>
              <w:rPr>
                <w:rFonts w:ascii="Times New Roman" w:hAnsi="Times New Roman"/>
                <w:sz w:val="24"/>
              </w:rPr>
            </w:pPr>
            <w:r>
              <w:rPr>
                <w:rFonts w:ascii="Times New Roman" w:hAnsi="Times New Roman"/>
                <w:sz w:val="24"/>
              </w:rPr>
              <w:t>营业利润</w:t>
            </w:r>
          </w:p>
        </w:tc>
        <w:tc>
          <w:tcPr>
            <w:tcW w:w="1800" w:type="dxa"/>
            <w:tcBorders>
              <w:top w:val="single" w:color="auto" w:sz="4" w:space="0"/>
              <w:left w:val="single" w:color="auto" w:sz="4" w:space="0"/>
              <w:bottom w:val="single" w:color="auto" w:sz="4" w:space="0"/>
              <w:right w:val="single" w:color="auto" w:sz="4" w:space="0"/>
            </w:tcBorders>
            <w:vAlign w:val="center"/>
          </w:tcPr>
          <w:p w14:paraId="0ABFF5E8">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06F54B53">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692F435D">
            <w:pPr>
              <w:spacing w:line="360" w:lineRule="exact"/>
              <w:jc w:val="center"/>
              <w:rPr>
                <w:rFonts w:ascii="Times New Roman" w:hAnsi="Times New Roman"/>
                <w:sz w:val="24"/>
              </w:rPr>
            </w:pPr>
          </w:p>
        </w:tc>
      </w:tr>
      <w:tr w14:paraId="2766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01A288B1">
            <w:pPr>
              <w:spacing w:line="360" w:lineRule="exact"/>
              <w:jc w:val="center"/>
              <w:rPr>
                <w:rFonts w:ascii="Times New Roman" w:hAnsi="Times New Roman"/>
                <w:sz w:val="24"/>
              </w:rPr>
            </w:pPr>
            <w:r>
              <w:rPr>
                <w:rFonts w:ascii="Times New Roman" w:hAnsi="Times New Roman"/>
                <w:sz w:val="24"/>
              </w:rPr>
              <w:t>利润总额</w:t>
            </w:r>
          </w:p>
        </w:tc>
        <w:tc>
          <w:tcPr>
            <w:tcW w:w="1800" w:type="dxa"/>
            <w:tcBorders>
              <w:top w:val="single" w:color="auto" w:sz="4" w:space="0"/>
              <w:left w:val="single" w:color="auto" w:sz="4" w:space="0"/>
              <w:bottom w:val="single" w:color="auto" w:sz="4" w:space="0"/>
              <w:right w:val="single" w:color="auto" w:sz="4" w:space="0"/>
            </w:tcBorders>
            <w:vAlign w:val="center"/>
          </w:tcPr>
          <w:p w14:paraId="28ED3A8D">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6E71BA98">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6C54577F">
            <w:pPr>
              <w:spacing w:line="360" w:lineRule="exact"/>
              <w:jc w:val="center"/>
              <w:rPr>
                <w:rFonts w:ascii="Times New Roman" w:hAnsi="Times New Roman"/>
                <w:sz w:val="24"/>
              </w:rPr>
            </w:pPr>
          </w:p>
        </w:tc>
      </w:tr>
      <w:tr w14:paraId="3C6A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7460C243">
            <w:pPr>
              <w:spacing w:line="360" w:lineRule="exact"/>
              <w:jc w:val="center"/>
              <w:rPr>
                <w:rFonts w:ascii="Times New Roman" w:hAnsi="Times New Roman"/>
                <w:sz w:val="24"/>
              </w:rPr>
            </w:pPr>
            <w:r>
              <w:rPr>
                <w:rFonts w:ascii="Times New Roman" w:hAnsi="Times New Roman"/>
                <w:sz w:val="24"/>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14:paraId="76D99D02">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213866C0">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34E88B75">
            <w:pPr>
              <w:spacing w:line="360" w:lineRule="exact"/>
              <w:jc w:val="center"/>
              <w:rPr>
                <w:rFonts w:ascii="Times New Roman" w:hAnsi="Times New Roman"/>
                <w:sz w:val="24"/>
              </w:rPr>
            </w:pPr>
          </w:p>
        </w:tc>
      </w:tr>
      <w:tr w14:paraId="651E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43C9C8B4">
            <w:pPr>
              <w:spacing w:line="360" w:lineRule="exact"/>
              <w:rPr>
                <w:rFonts w:ascii="Times New Roman" w:hAnsi="Times New Roman"/>
                <w:sz w:val="24"/>
              </w:rPr>
            </w:pPr>
            <w:r>
              <w:rPr>
                <w:rFonts w:ascii="Times New Roman" w:hAnsi="Times New Roman"/>
                <w:sz w:val="24"/>
              </w:rPr>
              <w:t>归属于上市公司股东的扣除非经常性损益的净利润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vAlign w:val="center"/>
          </w:tcPr>
          <w:p w14:paraId="7BADFA73">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7F48F047">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5300E2EF">
            <w:pPr>
              <w:spacing w:line="360" w:lineRule="exact"/>
              <w:jc w:val="center"/>
              <w:rPr>
                <w:rFonts w:ascii="Times New Roman" w:hAnsi="Times New Roman"/>
                <w:sz w:val="24"/>
              </w:rPr>
            </w:pPr>
          </w:p>
        </w:tc>
      </w:tr>
      <w:tr w14:paraId="2DDA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22173143">
            <w:pPr>
              <w:spacing w:line="360" w:lineRule="exact"/>
              <w:rPr>
                <w:rFonts w:ascii="Times New Roman" w:hAnsi="Times New Roman"/>
                <w:sz w:val="24"/>
              </w:rPr>
            </w:pPr>
            <w:r>
              <w:rPr>
                <w:rFonts w:ascii="Times New Roman" w:hAnsi="Times New Roman"/>
                <w:sz w:val="24"/>
              </w:rPr>
              <w:t>基本每股收益（元）</w:t>
            </w:r>
          </w:p>
        </w:tc>
        <w:tc>
          <w:tcPr>
            <w:tcW w:w="1800" w:type="dxa"/>
            <w:tcBorders>
              <w:top w:val="single" w:color="auto" w:sz="4" w:space="0"/>
              <w:left w:val="single" w:color="auto" w:sz="4" w:space="0"/>
              <w:bottom w:val="single" w:color="auto" w:sz="4" w:space="0"/>
              <w:right w:val="single" w:color="auto" w:sz="4" w:space="0"/>
            </w:tcBorders>
            <w:vAlign w:val="center"/>
          </w:tcPr>
          <w:p w14:paraId="18AE8417">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4080F4F4">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4C7BF29B">
            <w:pPr>
              <w:spacing w:line="360" w:lineRule="exact"/>
              <w:jc w:val="center"/>
              <w:rPr>
                <w:rFonts w:ascii="Times New Roman" w:hAnsi="Times New Roman"/>
                <w:sz w:val="24"/>
              </w:rPr>
            </w:pPr>
          </w:p>
        </w:tc>
      </w:tr>
      <w:tr w14:paraId="4953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3AB2796F">
            <w:pPr>
              <w:spacing w:line="360" w:lineRule="exact"/>
              <w:jc w:val="center"/>
              <w:rPr>
                <w:rFonts w:ascii="Times New Roman" w:hAnsi="Times New Roman"/>
                <w:sz w:val="24"/>
              </w:rPr>
            </w:pPr>
            <w:r>
              <w:rPr>
                <w:rFonts w:ascii="Times New Roman" w:hAnsi="Times New Roman"/>
                <w:sz w:val="24"/>
              </w:rPr>
              <w:t>加权平均净资产收益率</w:t>
            </w:r>
          </w:p>
        </w:tc>
        <w:tc>
          <w:tcPr>
            <w:tcW w:w="1800" w:type="dxa"/>
            <w:tcBorders>
              <w:top w:val="single" w:color="auto" w:sz="4" w:space="0"/>
              <w:left w:val="single" w:color="auto" w:sz="4" w:space="0"/>
              <w:bottom w:val="single" w:color="auto" w:sz="4" w:space="0"/>
              <w:right w:val="single" w:color="auto" w:sz="4" w:space="0"/>
            </w:tcBorders>
            <w:vAlign w:val="center"/>
          </w:tcPr>
          <w:p w14:paraId="471B92FC">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45EB8676">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42A368C4">
            <w:pPr>
              <w:spacing w:line="360" w:lineRule="exact"/>
              <w:jc w:val="center"/>
              <w:rPr>
                <w:rFonts w:ascii="Times New Roman" w:hAnsi="Times New Roman"/>
                <w:sz w:val="24"/>
              </w:rPr>
            </w:pPr>
          </w:p>
        </w:tc>
      </w:tr>
      <w:tr w14:paraId="327E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5EBBEDD7">
            <w:pPr>
              <w:spacing w:line="360" w:lineRule="exact"/>
              <w:jc w:val="center"/>
              <w:rPr>
                <w:rFonts w:ascii="Times New Roman" w:hAnsi="Times New Roman"/>
                <w:sz w:val="24"/>
              </w:rPr>
            </w:pP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14:paraId="5299F32C">
            <w:pPr>
              <w:spacing w:line="360" w:lineRule="exact"/>
              <w:jc w:val="center"/>
              <w:rPr>
                <w:rFonts w:ascii="Times New Roman" w:hAnsi="Times New Roman"/>
                <w:sz w:val="24"/>
              </w:rPr>
            </w:pPr>
            <w:r>
              <w:rPr>
                <w:rFonts w:ascii="Times New Roman" w:hAnsi="Times New Roman"/>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14:paraId="5242A022">
            <w:pPr>
              <w:spacing w:line="360" w:lineRule="exact"/>
              <w:jc w:val="center"/>
              <w:rPr>
                <w:rFonts w:ascii="Times New Roman" w:hAnsi="Times New Roman"/>
                <w:sz w:val="24"/>
              </w:rPr>
            </w:pPr>
            <w:r>
              <w:rPr>
                <w:rFonts w:ascii="Times New Roman" w:hAnsi="Times New Roman"/>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14:paraId="14090E47">
            <w:pPr>
              <w:spacing w:line="360" w:lineRule="exact"/>
              <w:jc w:val="center"/>
              <w:rPr>
                <w:rFonts w:ascii="Times New Roman" w:hAnsi="Times New Roman"/>
                <w:sz w:val="24"/>
              </w:rPr>
            </w:pPr>
            <w:r>
              <w:rPr>
                <w:rFonts w:ascii="Times New Roman" w:hAnsi="Times New Roman"/>
                <w:sz w:val="24"/>
              </w:rPr>
              <w:t>增减变动幅度（％）</w:t>
            </w:r>
          </w:p>
        </w:tc>
      </w:tr>
      <w:tr w14:paraId="474B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0AF43336">
            <w:pPr>
              <w:spacing w:line="360" w:lineRule="exact"/>
              <w:jc w:val="center"/>
              <w:rPr>
                <w:rFonts w:ascii="Times New Roman" w:hAnsi="Times New Roman"/>
                <w:sz w:val="24"/>
              </w:rPr>
            </w:pPr>
            <w:r>
              <w:rPr>
                <w:rFonts w:ascii="Times New Roman" w:hAnsi="Times New Roman"/>
                <w:sz w:val="24"/>
              </w:rPr>
              <w:t>总 资 产</w:t>
            </w:r>
          </w:p>
        </w:tc>
        <w:tc>
          <w:tcPr>
            <w:tcW w:w="1800" w:type="dxa"/>
            <w:tcBorders>
              <w:top w:val="single" w:color="auto" w:sz="4" w:space="0"/>
              <w:left w:val="single" w:color="auto" w:sz="4" w:space="0"/>
              <w:bottom w:val="single" w:color="auto" w:sz="4" w:space="0"/>
              <w:right w:val="single" w:color="auto" w:sz="4" w:space="0"/>
            </w:tcBorders>
            <w:vAlign w:val="center"/>
          </w:tcPr>
          <w:p w14:paraId="4E089F13">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65332916">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62F6238D">
            <w:pPr>
              <w:spacing w:line="360" w:lineRule="exact"/>
              <w:jc w:val="center"/>
              <w:rPr>
                <w:rFonts w:ascii="Times New Roman" w:hAnsi="Times New Roman"/>
                <w:sz w:val="24"/>
              </w:rPr>
            </w:pPr>
          </w:p>
        </w:tc>
      </w:tr>
      <w:tr w14:paraId="3E1C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5206BF29">
            <w:pPr>
              <w:spacing w:line="360" w:lineRule="exact"/>
              <w:jc w:val="center"/>
              <w:rPr>
                <w:rFonts w:ascii="Times New Roman" w:hAnsi="Times New Roman"/>
                <w:sz w:val="24"/>
              </w:rPr>
            </w:pPr>
            <w:r>
              <w:rPr>
                <w:rFonts w:ascii="Times New Roman" w:hAnsi="Times New Roman"/>
                <w:sz w:val="24"/>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vAlign w:val="center"/>
          </w:tcPr>
          <w:p w14:paraId="6FCD92A6">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3EB93BFC">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16B1DAF3">
            <w:pPr>
              <w:spacing w:line="360" w:lineRule="exact"/>
              <w:jc w:val="center"/>
              <w:rPr>
                <w:rFonts w:ascii="Times New Roman" w:hAnsi="Times New Roman"/>
                <w:sz w:val="24"/>
              </w:rPr>
            </w:pPr>
          </w:p>
        </w:tc>
      </w:tr>
      <w:tr w14:paraId="7F32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65206DA1">
            <w:pPr>
              <w:spacing w:line="360" w:lineRule="exact"/>
              <w:jc w:val="center"/>
              <w:rPr>
                <w:rFonts w:ascii="Times New Roman" w:hAnsi="Times New Roman"/>
                <w:sz w:val="24"/>
              </w:rPr>
            </w:pPr>
            <w:r>
              <w:rPr>
                <w:rFonts w:ascii="Times New Roman" w:hAnsi="Times New Roman"/>
                <w:sz w:val="24"/>
              </w:rPr>
              <w:t>股    本</w:t>
            </w:r>
          </w:p>
        </w:tc>
        <w:tc>
          <w:tcPr>
            <w:tcW w:w="1800" w:type="dxa"/>
            <w:tcBorders>
              <w:top w:val="single" w:color="auto" w:sz="4" w:space="0"/>
              <w:left w:val="single" w:color="auto" w:sz="4" w:space="0"/>
              <w:bottom w:val="single" w:color="auto" w:sz="4" w:space="0"/>
              <w:right w:val="single" w:color="auto" w:sz="4" w:space="0"/>
            </w:tcBorders>
            <w:vAlign w:val="center"/>
          </w:tcPr>
          <w:p w14:paraId="1D7DE11B">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2B1E484A">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28719A69">
            <w:pPr>
              <w:spacing w:line="360" w:lineRule="exact"/>
              <w:jc w:val="center"/>
              <w:rPr>
                <w:rFonts w:ascii="Times New Roman" w:hAnsi="Times New Roman"/>
                <w:sz w:val="24"/>
              </w:rPr>
            </w:pPr>
          </w:p>
        </w:tc>
      </w:tr>
      <w:tr w14:paraId="60F0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204DC371">
            <w:pPr>
              <w:spacing w:line="360" w:lineRule="exact"/>
              <w:jc w:val="center"/>
              <w:rPr>
                <w:rFonts w:ascii="Times New Roman" w:hAnsi="Times New Roman"/>
                <w:sz w:val="24"/>
              </w:rPr>
            </w:pPr>
            <w:r>
              <w:rPr>
                <w:rFonts w:ascii="Times New Roman" w:hAnsi="Times New Roman"/>
                <w:sz w:val="24"/>
              </w:rPr>
              <w:t>归属于上市公司股东的每股净资产（元）</w:t>
            </w:r>
          </w:p>
        </w:tc>
        <w:tc>
          <w:tcPr>
            <w:tcW w:w="1800" w:type="dxa"/>
            <w:tcBorders>
              <w:top w:val="single" w:color="auto" w:sz="4" w:space="0"/>
              <w:left w:val="single" w:color="auto" w:sz="4" w:space="0"/>
              <w:bottom w:val="single" w:color="auto" w:sz="4" w:space="0"/>
              <w:right w:val="single" w:color="auto" w:sz="4" w:space="0"/>
            </w:tcBorders>
            <w:vAlign w:val="center"/>
          </w:tcPr>
          <w:p w14:paraId="3E7F51B3">
            <w:pPr>
              <w:spacing w:line="360" w:lineRule="exact"/>
              <w:jc w:val="center"/>
              <w:rPr>
                <w:rFonts w:ascii="Times New Roman" w:hAnsi="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14:paraId="0D865735">
            <w:pPr>
              <w:spacing w:line="360" w:lineRule="exact"/>
              <w:jc w:val="center"/>
              <w:rPr>
                <w:rFonts w:ascii="Times New Roman" w:hAnsi="Times New Roman"/>
                <w:sz w:val="24"/>
              </w:rPr>
            </w:pPr>
          </w:p>
        </w:tc>
        <w:tc>
          <w:tcPr>
            <w:tcW w:w="1743" w:type="dxa"/>
            <w:tcBorders>
              <w:top w:val="single" w:color="auto" w:sz="4" w:space="0"/>
              <w:left w:val="single" w:color="auto" w:sz="4" w:space="0"/>
              <w:bottom w:val="single" w:color="auto" w:sz="4" w:space="0"/>
              <w:right w:val="single" w:color="auto" w:sz="4" w:space="0"/>
            </w:tcBorders>
          </w:tcPr>
          <w:p w14:paraId="28DF69BE">
            <w:pPr>
              <w:spacing w:line="360" w:lineRule="exact"/>
              <w:jc w:val="center"/>
              <w:rPr>
                <w:rFonts w:ascii="Times New Roman" w:hAnsi="Times New Roman"/>
                <w:sz w:val="24"/>
              </w:rPr>
            </w:pPr>
          </w:p>
        </w:tc>
      </w:tr>
    </w:tbl>
    <w:p w14:paraId="7547FAC0">
      <w:pPr>
        <w:spacing w:line="360" w:lineRule="auto"/>
        <w:jc w:val="left"/>
        <w:rPr>
          <w:rFonts w:ascii="Times New Roman" w:hAnsi="Times New Roman" w:eastAsia="楷体"/>
          <w:kern w:val="0"/>
          <w:sz w:val="24"/>
        </w:rPr>
      </w:pPr>
      <w:r>
        <w:rPr>
          <w:rFonts w:ascii="Times New Roman" w:hAnsi="Times New Roman" w:eastAsia="楷体"/>
          <w:kern w:val="0"/>
          <w:sz w:val="24"/>
        </w:rPr>
        <w:t xml:space="preserve"> 注：1、本报告期初数同法定披露的上年年末数。</w:t>
      </w:r>
    </w:p>
    <w:p w14:paraId="7E87F871">
      <w:pPr>
        <w:spacing w:line="360" w:lineRule="auto"/>
        <w:ind w:firstLine="480" w:firstLineChars="200"/>
        <w:jc w:val="left"/>
        <w:rPr>
          <w:rFonts w:ascii="Times New Roman" w:hAnsi="Times New Roman" w:eastAsia="楷体"/>
          <w:kern w:val="0"/>
          <w:sz w:val="24"/>
        </w:rPr>
      </w:pPr>
      <w:r>
        <w:rPr>
          <w:rFonts w:ascii="Times New Roman" w:hAnsi="Times New Roman" w:eastAsia="楷体"/>
          <w:kern w:val="0"/>
          <w:sz w:val="24"/>
        </w:rPr>
        <w:t xml:space="preserve"> 2、编制合并报表的公司应当以合并报表数据填制；上年同期财务数据经过重述的，应同时披露重述后的相关数据。</w:t>
      </w:r>
    </w:p>
    <w:p w14:paraId="1EF11BFE">
      <w:pPr>
        <w:spacing w:line="360" w:lineRule="auto"/>
        <w:ind w:firstLine="480" w:firstLineChars="200"/>
        <w:jc w:val="left"/>
        <w:rPr>
          <w:rFonts w:ascii="Times New Roman" w:hAnsi="Times New Roman" w:eastAsia="楷体"/>
          <w:kern w:val="0"/>
          <w:sz w:val="24"/>
        </w:rPr>
      </w:pPr>
    </w:p>
    <w:p w14:paraId="07605611">
      <w:pPr>
        <w:autoSpaceDE w:val="0"/>
        <w:autoSpaceDN w:val="0"/>
        <w:adjustRightInd w:val="0"/>
        <w:snapToGrid w:val="0"/>
        <w:spacing w:line="560" w:lineRule="exact"/>
        <w:ind w:firstLine="602" w:firstLineChars="200"/>
        <w:jc w:val="left"/>
        <w:rPr>
          <w:rFonts w:ascii="黑体" w:hAnsi="黑体" w:eastAsia="黑体"/>
          <w:b/>
          <w:kern w:val="0"/>
          <w:sz w:val="30"/>
          <w:szCs w:val="30"/>
        </w:rPr>
      </w:pPr>
      <w:r>
        <w:rPr>
          <w:rFonts w:ascii="黑体" w:hAnsi="黑体" w:eastAsia="黑体"/>
          <w:b/>
          <w:kern w:val="0"/>
          <w:sz w:val="30"/>
          <w:szCs w:val="30"/>
        </w:rPr>
        <w:t>二、经营业绩和财务状况情况说明</w:t>
      </w:r>
    </w:p>
    <w:p w14:paraId="61EBD73E">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（一）应简要说明报告期的经营情况、财务状况及影响经营业绩的主要因素。</w:t>
      </w:r>
    </w:p>
    <w:p w14:paraId="025021DA">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（二）上表中有关项目增减变动幅度达30%以上的，应说明增减变动的主要原因。包括但不限于以下事项：</w:t>
      </w:r>
    </w:p>
    <w:p w14:paraId="083F1DF0">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1.主营业务影响；例如，国家或行业政策变化，主要客户的变化、大额资产减值损失的计提或冲回，大额汇兑损益等。</w:t>
      </w:r>
    </w:p>
    <w:p w14:paraId="66F95785">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2.非经营性损益的影响；例如上期或本期收到大额政府补助，非流动资产处置损益、长期股权投资产生的大额投资收益等。</w:t>
      </w:r>
    </w:p>
    <w:p w14:paraId="32E0E2C8">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3.会计处理的影响。例如，本期或上期合并报表范围变化，会计政策变更、会计估计变更或会计差错更正等。</w:t>
      </w:r>
    </w:p>
    <w:p w14:paraId="15ED263F">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4.上年比较基数较小。</w:t>
      </w:r>
    </w:p>
    <w:p w14:paraId="4B567085">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5.其他影响。</w:t>
      </w:r>
    </w:p>
    <w:p w14:paraId="309B07BA">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rPr>
      </w:pPr>
    </w:p>
    <w:p w14:paraId="447D6587">
      <w:pPr>
        <w:autoSpaceDE w:val="0"/>
        <w:autoSpaceDN w:val="0"/>
        <w:adjustRightInd w:val="0"/>
        <w:spacing w:line="560" w:lineRule="exact"/>
        <w:ind w:firstLine="602" w:firstLineChars="200"/>
        <w:jc w:val="left"/>
        <w:rPr>
          <w:rFonts w:ascii="Times New Roman" w:hAnsi="Times New Roman" w:eastAsia="黑体"/>
          <w:b/>
          <w:kern w:val="0"/>
          <w:sz w:val="30"/>
          <w:szCs w:val="30"/>
        </w:rPr>
      </w:pPr>
      <w:r>
        <w:rPr>
          <w:rFonts w:ascii="Times New Roman" w:hAnsi="Times New Roman" w:eastAsia="黑体"/>
          <w:b/>
          <w:kern w:val="0"/>
          <w:sz w:val="30"/>
          <w:szCs w:val="30"/>
        </w:rPr>
        <w:t>三、风险提示</w:t>
      </w:r>
    </w:p>
    <w:p w14:paraId="53B10C7B">
      <w:pPr>
        <w:widowControl/>
        <w:spacing w:line="560" w:lineRule="exact"/>
        <w:ind w:firstLine="48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（一）公司应当说明可能存在影响本次业绩快报内容准确性的不确定因素，例如不确定的重大交易、会计处理存在争议、可能影响本期业绩的期后事项等。</w:t>
      </w:r>
    </w:p>
    <w:p w14:paraId="4FE2E964">
      <w:pPr>
        <w:widowControl/>
        <w:spacing w:line="560" w:lineRule="exact"/>
        <w:ind w:firstLine="48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（二）对上述不确定因素可能造成的影响进行合理、量化分析，同时披露剔除不确定因素后的业绩变动情况。</w:t>
      </w:r>
    </w:p>
    <w:p w14:paraId="27DDA0D6">
      <w:pPr>
        <w:widowControl/>
        <w:spacing w:line="560" w:lineRule="exact"/>
        <w:ind w:firstLine="48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（三）其他风险提示。</w:t>
      </w:r>
    </w:p>
    <w:p w14:paraId="3C783A80">
      <w:pPr>
        <w:widowControl/>
        <w:spacing w:line="560" w:lineRule="exact"/>
        <w:ind w:firstLine="480"/>
        <w:jc w:val="left"/>
        <w:rPr>
          <w:rFonts w:ascii="Times New Roman" w:hAnsi="Times New Roman" w:eastAsia="仿宋_GB2312"/>
          <w:color w:val="000000"/>
          <w:kern w:val="0"/>
          <w:sz w:val="30"/>
          <w:szCs w:val="30"/>
        </w:rPr>
      </w:pPr>
    </w:p>
    <w:p w14:paraId="17216928">
      <w:pPr>
        <w:autoSpaceDE w:val="0"/>
        <w:autoSpaceDN w:val="0"/>
        <w:adjustRightInd w:val="0"/>
        <w:spacing w:line="560" w:lineRule="exact"/>
        <w:ind w:firstLine="602" w:firstLineChars="200"/>
        <w:jc w:val="left"/>
        <w:rPr>
          <w:rFonts w:ascii="Times New Roman" w:hAnsi="Times New Roman" w:eastAsia="黑体"/>
          <w:b/>
          <w:kern w:val="0"/>
          <w:sz w:val="30"/>
          <w:szCs w:val="30"/>
        </w:rPr>
      </w:pPr>
      <w:r>
        <w:rPr>
          <w:rFonts w:ascii="Times New Roman" w:hAnsi="Times New Roman" w:eastAsia="黑体"/>
          <w:b/>
          <w:kern w:val="0"/>
          <w:sz w:val="30"/>
          <w:szCs w:val="30"/>
        </w:rPr>
        <w:t>四、业绩快报更正公告</w:t>
      </w:r>
    </w:p>
    <w:p w14:paraId="4853C39E">
      <w:pPr>
        <w:autoSpaceDE w:val="0"/>
        <w:autoSpaceDN w:val="0"/>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公司董事会于XXXX年X月XX日披露了公司XXXX年度业绩快报，现对相关内容修正如下，财务数据未经会计师事务所审计，具体以公司披露的XX年度（第一季度、半年度、前三季度）的定期报告为准，提请投资者注意投资风险。</w:t>
      </w:r>
    </w:p>
    <w:p w14:paraId="7E35D90E">
      <w:pPr>
        <w:autoSpaceDE w:val="0"/>
        <w:autoSpaceDN w:val="0"/>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（一）修正前后的主要财务数据和指标</w:t>
      </w:r>
    </w:p>
    <w:p w14:paraId="78403CF6">
      <w:pPr>
        <w:autoSpaceDE w:val="0"/>
        <w:autoSpaceDN w:val="0"/>
        <w:adjustRightInd w:val="0"/>
        <w:snapToGrid w:val="0"/>
        <w:spacing w:line="360" w:lineRule="auto"/>
        <w:ind w:firstLine="480" w:firstLineChars="200"/>
        <w:jc w:val="left"/>
        <w:rPr>
          <w:rFonts w:ascii="Times New Roman" w:hAnsi="Times New Roman"/>
          <w:kern w:val="0"/>
          <w:sz w:val="24"/>
        </w:rPr>
      </w:pPr>
      <w:r>
        <w:rPr>
          <w:rFonts w:ascii="Times New Roman" w:hAnsi="Times New Roman"/>
          <w:kern w:val="0"/>
          <w:sz w:val="24"/>
        </w:rPr>
        <w:t xml:space="preserve">                                                      单位：      </w:t>
      </w:r>
    </w:p>
    <w:tbl>
      <w:tblPr>
        <w:tblStyle w:val="13"/>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980"/>
        <w:gridCol w:w="1394"/>
      </w:tblGrid>
      <w:tr w14:paraId="0E61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14:paraId="26EE3415">
            <w:pPr>
              <w:spacing w:line="360" w:lineRule="exact"/>
              <w:jc w:val="center"/>
              <w:rPr>
                <w:rFonts w:ascii="Times New Roman" w:hAnsi="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14:paraId="590A7081">
            <w:pPr>
              <w:spacing w:line="360" w:lineRule="exact"/>
              <w:jc w:val="center"/>
              <w:rPr>
                <w:rFonts w:ascii="Times New Roman" w:hAnsi="Times New Roman"/>
                <w:sz w:val="24"/>
              </w:rPr>
            </w:pPr>
            <w:r>
              <w:rPr>
                <w:rFonts w:ascii="Times New Roman" w:hAnsi="Times New Roman"/>
                <w:sz w:val="24"/>
              </w:rPr>
              <w:t>本报告期</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14:paraId="7CFB6DA4">
            <w:pPr>
              <w:spacing w:line="360" w:lineRule="exact"/>
              <w:jc w:val="center"/>
              <w:rPr>
                <w:rFonts w:ascii="Times New Roman" w:hAnsi="Times New Roman"/>
                <w:sz w:val="24"/>
              </w:rPr>
            </w:pPr>
            <w:r>
              <w:rPr>
                <w:rFonts w:ascii="Times New Roman" w:hAnsi="Times New Roman"/>
                <w:sz w:val="24"/>
              </w:rPr>
              <w:t>上年同期</w:t>
            </w:r>
          </w:p>
        </w:tc>
        <w:tc>
          <w:tcPr>
            <w:tcW w:w="1394"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14:paraId="0439D607">
            <w:pPr>
              <w:spacing w:line="360" w:lineRule="exact"/>
              <w:jc w:val="center"/>
              <w:rPr>
                <w:rFonts w:ascii="Times New Roman" w:hAnsi="Times New Roman"/>
                <w:sz w:val="24"/>
              </w:rPr>
            </w:pPr>
            <w:r>
              <w:rPr>
                <w:rFonts w:ascii="Times New Roman" w:hAnsi="Times New Roman"/>
                <w:sz w:val="24"/>
              </w:rPr>
              <w:t>修正后的增减变动幅度（％）</w:t>
            </w:r>
          </w:p>
        </w:tc>
      </w:tr>
      <w:tr w14:paraId="4A8C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FEC2BA">
            <w:pPr>
              <w:widowControl/>
              <w:spacing w:line="360" w:lineRule="exact"/>
              <w:jc w:val="left"/>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14:paraId="42095535">
            <w:pPr>
              <w:spacing w:line="360" w:lineRule="exact"/>
              <w:jc w:val="center"/>
              <w:rPr>
                <w:rFonts w:ascii="Times New Roman" w:hAnsi="Times New Roman"/>
                <w:sz w:val="24"/>
              </w:rPr>
            </w:pPr>
            <w:r>
              <w:rPr>
                <w:rFonts w:ascii="Times New Roman" w:hAnsi="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14:paraId="36BD600A">
            <w:pPr>
              <w:spacing w:line="360" w:lineRule="exact"/>
              <w:jc w:val="center"/>
              <w:rPr>
                <w:rFonts w:ascii="Times New Roman" w:hAnsi="Times New Roman"/>
                <w:sz w:val="24"/>
              </w:rPr>
            </w:pPr>
            <w:r>
              <w:rPr>
                <w:rFonts w:ascii="Times New Roman" w:hAnsi="Times New Roman"/>
                <w:sz w:val="24"/>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3626A2">
            <w:pPr>
              <w:widowControl/>
              <w:spacing w:line="360" w:lineRule="exact"/>
              <w:jc w:val="left"/>
              <w:rPr>
                <w:rFonts w:ascii="Times New Roman" w:hAnsi="Times New Roman"/>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B8EA07">
            <w:pPr>
              <w:widowControl/>
              <w:spacing w:line="360" w:lineRule="exact"/>
              <w:jc w:val="left"/>
              <w:rPr>
                <w:rFonts w:ascii="Times New Roman" w:hAnsi="Times New Roman"/>
                <w:sz w:val="24"/>
              </w:rPr>
            </w:pPr>
          </w:p>
        </w:tc>
      </w:tr>
      <w:tr w14:paraId="4C48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0AE04917">
            <w:pPr>
              <w:spacing w:line="360" w:lineRule="exact"/>
              <w:jc w:val="center"/>
              <w:rPr>
                <w:rFonts w:ascii="Times New Roman" w:hAnsi="Times New Roman"/>
                <w:sz w:val="24"/>
              </w:rPr>
            </w:pPr>
            <w:r>
              <w:rPr>
                <w:rFonts w:ascii="Times New Roman" w:hAnsi="Times New Roman"/>
                <w:sz w:val="24"/>
              </w:rPr>
              <w:t>营业总收入</w:t>
            </w:r>
          </w:p>
        </w:tc>
        <w:tc>
          <w:tcPr>
            <w:tcW w:w="1530" w:type="dxa"/>
            <w:tcBorders>
              <w:top w:val="single" w:color="auto" w:sz="4" w:space="0"/>
              <w:left w:val="single" w:color="auto" w:sz="4" w:space="0"/>
              <w:bottom w:val="single" w:color="auto" w:sz="4" w:space="0"/>
              <w:right w:val="single" w:color="auto" w:sz="4" w:space="0"/>
            </w:tcBorders>
          </w:tcPr>
          <w:p w14:paraId="5D7A2441">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79D8F040">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3B720651">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6C7A08EF">
            <w:pPr>
              <w:spacing w:line="360" w:lineRule="exact"/>
              <w:jc w:val="center"/>
              <w:rPr>
                <w:rFonts w:ascii="Times New Roman" w:hAnsi="Times New Roman"/>
                <w:sz w:val="24"/>
              </w:rPr>
            </w:pPr>
          </w:p>
        </w:tc>
      </w:tr>
      <w:tr w14:paraId="1812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76226BE9">
            <w:pPr>
              <w:spacing w:line="360" w:lineRule="exact"/>
              <w:jc w:val="center"/>
              <w:rPr>
                <w:rFonts w:ascii="Times New Roman" w:hAnsi="Times New Roman"/>
                <w:sz w:val="24"/>
              </w:rPr>
            </w:pPr>
            <w:r>
              <w:rPr>
                <w:rFonts w:ascii="Times New Roman" w:hAnsi="Times New Roman"/>
                <w:sz w:val="24"/>
              </w:rPr>
              <w:t>营业利润</w:t>
            </w:r>
          </w:p>
        </w:tc>
        <w:tc>
          <w:tcPr>
            <w:tcW w:w="1530" w:type="dxa"/>
            <w:tcBorders>
              <w:top w:val="single" w:color="auto" w:sz="4" w:space="0"/>
              <w:left w:val="single" w:color="auto" w:sz="4" w:space="0"/>
              <w:bottom w:val="single" w:color="auto" w:sz="4" w:space="0"/>
              <w:right w:val="single" w:color="auto" w:sz="4" w:space="0"/>
            </w:tcBorders>
          </w:tcPr>
          <w:p w14:paraId="3F2775B1">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2A315572">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1EE64B98">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0927CEEA">
            <w:pPr>
              <w:spacing w:line="360" w:lineRule="exact"/>
              <w:jc w:val="center"/>
              <w:rPr>
                <w:rFonts w:ascii="Times New Roman" w:hAnsi="Times New Roman"/>
                <w:sz w:val="24"/>
              </w:rPr>
            </w:pPr>
          </w:p>
        </w:tc>
      </w:tr>
      <w:tr w14:paraId="7D1A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691F3FE7">
            <w:pPr>
              <w:spacing w:line="360" w:lineRule="exact"/>
              <w:jc w:val="center"/>
              <w:rPr>
                <w:rFonts w:ascii="Times New Roman" w:hAnsi="Times New Roman"/>
                <w:sz w:val="24"/>
              </w:rPr>
            </w:pPr>
            <w:r>
              <w:rPr>
                <w:rFonts w:ascii="Times New Roman" w:hAnsi="Times New Roman"/>
                <w:sz w:val="24"/>
              </w:rPr>
              <w:t>利润总额</w:t>
            </w:r>
          </w:p>
        </w:tc>
        <w:tc>
          <w:tcPr>
            <w:tcW w:w="1530" w:type="dxa"/>
            <w:tcBorders>
              <w:top w:val="single" w:color="auto" w:sz="4" w:space="0"/>
              <w:left w:val="single" w:color="auto" w:sz="4" w:space="0"/>
              <w:bottom w:val="single" w:color="auto" w:sz="4" w:space="0"/>
              <w:right w:val="single" w:color="auto" w:sz="4" w:space="0"/>
            </w:tcBorders>
          </w:tcPr>
          <w:p w14:paraId="7014AA71">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59EC32FC">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40797105">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3B6D2285">
            <w:pPr>
              <w:spacing w:line="360" w:lineRule="exact"/>
              <w:jc w:val="center"/>
              <w:rPr>
                <w:rFonts w:ascii="Times New Roman" w:hAnsi="Times New Roman"/>
                <w:sz w:val="24"/>
              </w:rPr>
            </w:pPr>
          </w:p>
        </w:tc>
      </w:tr>
      <w:tr w14:paraId="597D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39C90847">
            <w:pPr>
              <w:spacing w:line="360" w:lineRule="exact"/>
              <w:jc w:val="center"/>
              <w:rPr>
                <w:rFonts w:ascii="Times New Roman" w:hAnsi="Times New Roman"/>
                <w:sz w:val="24"/>
              </w:rPr>
            </w:pPr>
            <w:r>
              <w:rPr>
                <w:rFonts w:ascii="Times New Roman" w:hAnsi="Times New Roman"/>
                <w:sz w:val="24"/>
              </w:rPr>
              <w:t>归属于上市公司股东的净利润</w:t>
            </w:r>
          </w:p>
        </w:tc>
        <w:tc>
          <w:tcPr>
            <w:tcW w:w="1530" w:type="dxa"/>
            <w:tcBorders>
              <w:top w:val="single" w:color="auto" w:sz="4" w:space="0"/>
              <w:left w:val="single" w:color="auto" w:sz="4" w:space="0"/>
              <w:bottom w:val="single" w:color="auto" w:sz="4" w:space="0"/>
              <w:right w:val="single" w:color="auto" w:sz="4" w:space="0"/>
            </w:tcBorders>
          </w:tcPr>
          <w:p w14:paraId="759ED672">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1450FB60">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654AB290">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3AA5C553">
            <w:pPr>
              <w:spacing w:line="360" w:lineRule="exact"/>
              <w:jc w:val="center"/>
              <w:rPr>
                <w:rFonts w:ascii="Times New Roman" w:hAnsi="Times New Roman"/>
                <w:sz w:val="24"/>
              </w:rPr>
            </w:pPr>
          </w:p>
        </w:tc>
      </w:tr>
      <w:tr w14:paraId="74FE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76B0C816">
            <w:pPr>
              <w:spacing w:line="360" w:lineRule="exact"/>
              <w:jc w:val="center"/>
              <w:rPr>
                <w:rFonts w:ascii="Times New Roman" w:hAnsi="Times New Roman"/>
                <w:sz w:val="24"/>
              </w:rPr>
            </w:pPr>
            <w:r>
              <w:rPr>
                <w:rFonts w:ascii="Times New Roman" w:hAnsi="Times New Roman"/>
                <w:sz w:val="24"/>
              </w:rPr>
              <w:t>归属于上市公司股东的扣除非经常性损益的净利润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tcPr>
          <w:p w14:paraId="56FD9585">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12C80623">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76EEF86F">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7DB2761F">
            <w:pPr>
              <w:spacing w:line="360" w:lineRule="exact"/>
              <w:jc w:val="center"/>
              <w:rPr>
                <w:rFonts w:ascii="Times New Roman" w:hAnsi="Times New Roman"/>
                <w:sz w:val="24"/>
              </w:rPr>
            </w:pPr>
          </w:p>
        </w:tc>
      </w:tr>
      <w:tr w14:paraId="0455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5D6438C6">
            <w:pPr>
              <w:spacing w:line="360" w:lineRule="exact"/>
              <w:jc w:val="center"/>
              <w:rPr>
                <w:rFonts w:ascii="Times New Roman" w:hAnsi="Times New Roman"/>
                <w:sz w:val="24"/>
              </w:rPr>
            </w:pPr>
            <w:r>
              <w:rPr>
                <w:rFonts w:ascii="Times New Roman" w:hAnsi="Times New Roman"/>
                <w:sz w:val="24"/>
              </w:rPr>
              <w:t>基本每股收益（元）</w:t>
            </w:r>
          </w:p>
        </w:tc>
        <w:tc>
          <w:tcPr>
            <w:tcW w:w="1530" w:type="dxa"/>
            <w:tcBorders>
              <w:top w:val="single" w:color="auto" w:sz="4" w:space="0"/>
              <w:left w:val="single" w:color="auto" w:sz="4" w:space="0"/>
              <w:bottom w:val="single" w:color="auto" w:sz="4" w:space="0"/>
              <w:right w:val="single" w:color="auto" w:sz="4" w:space="0"/>
            </w:tcBorders>
          </w:tcPr>
          <w:p w14:paraId="1937ED15">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156E9571">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07839F90">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7D240554">
            <w:pPr>
              <w:spacing w:line="360" w:lineRule="exact"/>
              <w:jc w:val="center"/>
              <w:rPr>
                <w:rFonts w:ascii="Times New Roman" w:hAnsi="Times New Roman"/>
                <w:sz w:val="24"/>
              </w:rPr>
            </w:pPr>
          </w:p>
        </w:tc>
      </w:tr>
      <w:tr w14:paraId="2982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6FAECCA5">
            <w:pPr>
              <w:spacing w:line="360" w:lineRule="exact"/>
              <w:jc w:val="center"/>
              <w:rPr>
                <w:rFonts w:ascii="Times New Roman" w:hAnsi="Times New Roman"/>
                <w:sz w:val="24"/>
              </w:rPr>
            </w:pPr>
            <w:r>
              <w:rPr>
                <w:rFonts w:ascii="Times New Roman" w:hAnsi="Times New Roman"/>
                <w:sz w:val="24"/>
              </w:rPr>
              <w:t>加权平均净资产收益率</w:t>
            </w:r>
          </w:p>
        </w:tc>
        <w:tc>
          <w:tcPr>
            <w:tcW w:w="1530" w:type="dxa"/>
            <w:tcBorders>
              <w:top w:val="single" w:color="auto" w:sz="4" w:space="0"/>
              <w:left w:val="single" w:color="auto" w:sz="4" w:space="0"/>
              <w:bottom w:val="single" w:color="auto" w:sz="4" w:space="0"/>
              <w:right w:val="single" w:color="auto" w:sz="4" w:space="0"/>
            </w:tcBorders>
          </w:tcPr>
          <w:p w14:paraId="5C20C167">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36347562">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3E21274B">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5A642175">
            <w:pPr>
              <w:spacing w:line="360" w:lineRule="exact"/>
              <w:jc w:val="center"/>
              <w:rPr>
                <w:rFonts w:ascii="Times New Roman" w:hAnsi="Times New Roman"/>
                <w:sz w:val="24"/>
              </w:rPr>
            </w:pPr>
          </w:p>
        </w:tc>
      </w:tr>
      <w:tr w14:paraId="3FB6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14:paraId="53B44EDA">
            <w:pPr>
              <w:spacing w:line="360" w:lineRule="exact"/>
              <w:jc w:val="center"/>
              <w:rPr>
                <w:rFonts w:ascii="Times New Roman" w:hAnsi="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14:paraId="3F6FDCE7">
            <w:pPr>
              <w:spacing w:line="360" w:lineRule="exact"/>
              <w:jc w:val="center"/>
              <w:rPr>
                <w:rFonts w:ascii="Times New Roman" w:hAnsi="Times New Roman"/>
                <w:sz w:val="24"/>
              </w:rPr>
            </w:pPr>
            <w:r>
              <w:rPr>
                <w:rFonts w:ascii="Times New Roman" w:hAnsi="Times New Roman"/>
                <w:sz w:val="24"/>
              </w:rPr>
              <w:t>本报告期末</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14:paraId="19B2F655">
            <w:pPr>
              <w:spacing w:line="360" w:lineRule="exact"/>
              <w:jc w:val="center"/>
              <w:rPr>
                <w:rFonts w:ascii="Times New Roman" w:hAnsi="Times New Roman"/>
                <w:sz w:val="24"/>
              </w:rPr>
            </w:pPr>
            <w:r>
              <w:rPr>
                <w:rFonts w:ascii="Times New Roman" w:hAnsi="Times New Roman"/>
                <w:sz w:val="24"/>
              </w:rPr>
              <w:t>本报告期初</w:t>
            </w:r>
          </w:p>
        </w:tc>
        <w:tc>
          <w:tcPr>
            <w:tcW w:w="1394"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14:paraId="587C4E9A">
            <w:pPr>
              <w:spacing w:line="360" w:lineRule="exact"/>
              <w:jc w:val="center"/>
              <w:rPr>
                <w:rFonts w:ascii="Times New Roman" w:hAnsi="Times New Roman"/>
                <w:sz w:val="24"/>
              </w:rPr>
            </w:pPr>
            <w:r>
              <w:rPr>
                <w:rFonts w:ascii="Times New Roman" w:hAnsi="Times New Roman"/>
                <w:sz w:val="24"/>
              </w:rPr>
              <w:t>修正后的增减变动幅度（％）</w:t>
            </w:r>
          </w:p>
        </w:tc>
      </w:tr>
      <w:tr w14:paraId="35EE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F37C04">
            <w:pPr>
              <w:widowControl/>
              <w:spacing w:line="360" w:lineRule="exact"/>
              <w:jc w:val="left"/>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14:paraId="49D423FE">
            <w:pPr>
              <w:spacing w:line="360" w:lineRule="exact"/>
              <w:jc w:val="center"/>
              <w:rPr>
                <w:rFonts w:ascii="Times New Roman" w:hAnsi="Times New Roman"/>
                <w:sz w:val="24"/>
              </w:rPr>
            </w:pPr>
            <w:r>
              <w:rPr>
                <w:rFonts w:ascii="Times New Roman" w:hAnsi="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14:paraId="6096938B">
            <w:pPr>
              <w:spacing w:line="360" w:lineRule="exact"/>
              <w:jc w:val="center"/>
              <w:rPr>
                <w:rFonts w:ascii="Times New Roman" w:hAnsi="Times New Roman"/>
                <w:sz w:val="24"/>
              </w:rPr>
            </w:pPr>
            <w:r>
              <w:rPr>
                <w:rFonts w:ascii="Times New Roman" w:hAnsi="Times New Roman"/>
                <w:sz w:val="24"/>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B38469">
            <w:pPr>
              <w:widowControl/>
              <w:spacing w:line="360" w:lineRule="exact"/>
              <w:jc w:val="left"/>
              <w:rPr>
                <w:rFonts w:ascii="Times New Roman" w:hAnsi="Times New Roman"/>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A06880">
            <w:pPr>
              <w:widowControl/>
              <w:spacing w:line="360" w:lineRule="exact"/>
              <w:jc w:val="left"/>
              <w:rPr>
                <w:rFonts w:ascii="Times New Roman" w:hAnsi="Times New Roman"/>
                <w:sz w:val="24"/>
              </w:rPr>
            </w:pPr>
          </w:p>
        </w:tc>
      </w:tr>
      <w:tr w14:paraId="3A29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756FB2C2">
            <w:pPr>
              <w:spacing w:line="360" w:lineRule="exact"/>
              <w:jc w:val="center"/>
              <w:rPr>
                <w:rFonts w:ascii="Times New Roman" w:hAnsi="Times New Roman"/>
                <w:sz w:val="24"/>
              </w:rPr>
            </w:pPr>
            <w:r>
              <w:rPr>
                <w:rFonts w:ascii="Times New Roman" w:hAnsi="Times New Roman"/>
                <w:sz w:val="24"/>
              </w:rPr>
              <w:t>总 资 产</w:t>
            </w:r>
          </w:p>
        </w:tc>
        <w:tc>
          <w:tcPr>
            <w:tcW w:w="1530" w:type="dxa"/>
            <w:tcBorders>
              <w:top w:val="single" w:color="auto" w:sz="4" w:space="0"/>
              <w:left w:val="single" w:color="auto" w:sz="4" w:space="0"/>
              <w:bottom w:val="single" w:color="auto" w:sz="4" w:space="0"/>
              <w:right w:val="single" w:color="auto" w:sz="4" w:space="0"/>
            </w:tcBorders>
          </w:tcPr>
          <w:p w14:paraId="66CAA017">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7245D7A7">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0426CF5F">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3FC793A9">
            <w:pPr>
              <w:spacing w:line="360" w:lineRule="exact"/>
              <w:jc w:val="center"/>
              <w:rPr>
                <w:rFonts w:ascii="Times New Roman" w:hAnsi="Times New Roman"/>
                <w:sz w:val="24"/>
              </w:rPr>
            </w:pPr>
          </w:p>
        </w:tc>
      </w:tr>
      <w:tr w14:paraId="3536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7AF4FC8A">
            <w:pPr>
              <w:spacing w:line="360" w:lineRule="exact"/>
              <w:jc w:val="center"/>
              <w:rPr>
                <w:rFonts w:ascii="Times New Roman" w:hAnsi="Times New Roman"/>
                <w:sz w:val="24"/>
              </w:rPr>
            </w:pPr>
            <w:r>
              <w:rPr>
                <w:rFonts w:ascii="Times New Roman" w:hAnsi="Times New Roman"/>
                <w:sz w:val="24"/>
              </w:rPr>
              <w:t>归属于上市公司股东的所有者权益</w:t>
            </w:r>
          </w:p>
        </w:tc>
        <w:tc>
          <w:tcPr>
            <w:tcW w:w="1530" w:type="dxa"/>
            <w:tcBorders>
              <w:top w:val="single" w:color="auto" w:sz="4" w:space="0"/>
              <w:left w:val="single" w:color="auto" w:sz="4" w:space="0"/>
              <w:bottom w:val="single" w:color="auto" w:sz="4" w:space="0"/>
              <w:right w:val="single" w:color="auto" w:sz="4" w:space="0"/>
            </w:tcBorders>
          </w:tcPr>
          <w:p w14:paraId="006835D4">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66A54E19">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2D122F70">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39132D2D">
            <w:pPr>
              <w:spacing w:line="360" w:lineRule="exact"/>
              <w:jc w:val="center"/>
              <w:rPr>
                <w:rFonts w:ascii="Times New Roman" w:hAnsi="Times New Roman"/>
                <w:sz w:val="24"/>
              </w:rPr>
            </w:pPr>
          </w:p>
        </w:tc>
      </w:tr>
      <w:tr w14:paraId="10B9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43CD2CAD">
            <w:pPr>
              <w:spacing w:line="360" w:lineRule="exact"/>
              <w:jc w:val="center"/>
              <w:rPr>
                <w:rFonts w:ascii="Times New Roman" w:hAnsi="Times New Roman"/>
                <w:sz w:val="24"/>
              </w:rPr>
            </w:pPr>
            <w:r>
              <w:rPr>
                <w:rFonts w:ascii="Times New Roman" w:hAnsi="Times New Roman"/>
                <w:sz w:val="24"/>
              </w:rPr>
              <w:t>股    本</w:t>
            </w:r>
          </w:p>
        </w:tc>
        <w:tc>
          <w:tcPr>
            <w:tcW w:w="1530" w:type="dxa"/>
            <w:tcBorders>
              <w:top w:val="single" w:color="auto" w:sz="4" w:space="0"/>
              <w:left w:val="single" w:color="auto" w:sz="4" w:space="0"/>
              <w:bottom w:val="single" w:color="auto" w:sz="4" w:space="0"/>
              <w:right w:val="single" w:color="auto" w:sz="4" w:space="0"/>
            </w:tcBorders>
          </w:tcPr>
          <w:p w14:paraId="01DF272C">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7B996AF6">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3DB4E86C">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51013831">
            <w:pPr>
              <w:spacing w:line="360" w:lineRule="exact"/>
              <w:jc w:val="center"/>
              <w:rPr>
                <w:rFonts w:ascii="Times New Roman" w:hAnsi="Times New Roman"/>
                <w:sz w:val="24"/>
              </w:rPr>
            </w:pPr>
          </w:p>
        </w:tc>
      </w:tr>
      <w:tr w14:paraId="24CA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14:paraId="0C548BD2">
            <w:pPr>
              <w:spacing w:line="360" w:lineRule="exact"/>
              <w:jc w:val="center"/>
              <w:rPr>
                <w:rFonts w:ascii="Times New Roman" w:hAnsi="Times New Roman"/>
                <w:sz w:val="24"/>
              </w:rPr>
            </w:pPr>
            <w:r>
              <w:rPr>
                <w:rFonts w:ascii="Times New Roman" w:hAnsi="Times New Roman"/>
                <w:sz w:val="24"/>
              </w:rPr>
              <w:t>归属于上市公司股东的每股净资产（元）</w:t>
            </w:r>
          </w:p>
        </w:tc>
        <w:tc>
          <w:tcPr>
            <w:tcW w:w="1530" w:type="dxa"/>
            <w:tcBorders>
              <w:top w:val="single" w:color="auto" w:sz="4" w:space="0"/>
              <w:left w:val="single" w:color="auto" w:sz="4" w:space="0"/>
              <w:bottom w:val="single" w:color="auto" w:sz="4" w:space="0"/>
              <w:right w:val="single" w:color="auto" w:sz="4" w:space="0"/>
            </w:tcBorders>
          </w:tcPr>
          <w:p w14:paraId="07C22B9B">
            <w:pPr>
              <w:spacing w:line="360" w:lineRule="exact"/>
              <w:jc w:val="center"/>
              <w:rPr>
                <w:rFonts w:ascii="Times New Roman" w:hAnsi="Times New Roman"/>
                <w:sz w:val="24"/>
              </w:rPr>
            </w:pPr>
          </w:p>
        </w:tc>
        <w:tc>
          <w:tcPr>
            <w:tcW w:w="1530" w:type="dxa"/>
            <w:tcBorders>
              <w:top w:val="single" w:color="auto" w:sz="4" w:space="0"/>
              <w:left w:val="single" w:color="auto" w:sz="4" w:space="0"/>
              <w:bottom w:val="single" w:color="auto" w:sz="4" w:space="0"/>
              <w:right w:val="single" w:color="auto" w:sz="4" w:space="0"/>
            </w:tcBorders>
            <w:vAlign w:val="center"/>
          </w:tcPr>
          <w:p w14:paraId="1D2F8DF1">
            <w:pPr>
              <w:spacing w:line="360" w:lineRule="exact"/>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5E80B25D">
            <w:pPr>
              <w:spacing w:line="360" w:lineRule="exact"/>
              <w:jc w:val="center"/>
              <w:rPr>
                <w:rFonts w:ascii="Times New Roman" w:hAnsi="Times New Roman"/>
                <w:sz w:val="24"/>
              </w:rPr>
            </w:pPr>
          </w:p>
        </w:tc>
        <w:tc>
          <w:tcPr>
            <w:tcW w:w="1394" w:type="dxa"/>
            <w:tcBorders>
              <w:top w:val="single" w:color="auto" w:sz="4" w:space="0"/>
              <w:left w:val="single" w:color="auto" w:sz="4" w:space="0"/>
              <w:bottom w:val="single" w:color="auto" w:sz="4" w:space="0"/>
              <w:right w:val="single" w:color="auto" w:sz="4" w:space="0"/>
            </w:tcBorders>
          </w:tcPr>
          <w:p w14:paraId="33C89B23">
            <w:pPr>
              <w:spacing w:line="360" w:lineRule="exact"/>
              <w:jc w:val="center"/>
              <w:rPr>
                <w:rFonts w:ascii="Times New Roman" w:hAnsi="Times New Roman"/>
                <w:sz w:val="24"/>
              </w:rPr>
            </w:pPr>
          </w:p>
        </w:tc>
      </w:tr>
    </w:tbl>
    <w:p w14:paraId="16D9C0E3">
      <w:pPr>
        <w:autoSpaceDE w:val="0"/>
        <w:autoSpaceDN w:val="0"/>
        <w:adjustRightInd w:val="0"/>
        <w:snapToGri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（二）业绩快报修正原因说明</w:t>
      </w:r>
    </w:p>
    <w:p w14:paraId="551AB69D">
      <w:pPr>
        <w:adjustRightInd w:val="0"/>
        <w:snapToGri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1.应说明造成业绩快报差异的具体原因。例如计提减值准备、非经常性损益确认变动或其他导致业绩快报更正的具体情况及所涉及金额。</w:t>
      </w:r>
    </w:p>
    <w:p w14:paraId="34030BEF">
      <w:pPr>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2.根据注册会计师预审结果进行业绩快报更正的，还应当说明公司与注册会计师是否存在分歧及分歧所在。</w:t>
      </w:r>
    </w:p>
    <w:p w14:paraId="0EF410D3">
      <w:pPr>
        <w:adjustRightInd w:val="0"/>
        <w:snapToGrid w:val="0"/>
        <w:spacing w:line="560" w:lineRule="exact"/>
        <w:ind w:firstLine="48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3.公司应当结合原业绩快报公告，说明导致本次业绩快报更正的原因是否已在原业绩快报公告中进行了充分风险提示。</w:t>
      </w:r>
    </w:p>
    <w:p w14:paraId="24341F8C">
      <w:pPr>
        <w:autoSpaceDE w:val="0"/>
        <w:autoSpaceDN w:val="0"/>
        <w:adjustRightInd w:val="0"/>
        <w:spacing w:line="560" w:lineRule="exact"/>
        <w:ind w:firstLine="480" w:firstLineChars="200"/>
        <w:jc w:val="left"/>
        <w:rPr>
          <w:rFonts w:ascii="仿宋_GB2312" w:hAnsi="Times New Roman" w:eastAsia="仿宋_GB2312"/>
          <w:kern w:val="0"/>
          <w:sz w:val="24"/>
        </w:rPr>
      </w:pPr>
    </w:p>
    <w:p w14:paraId="15364389">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特此公告。</w:t>
      </w:r>
    </w:p>
    <w:p w14:paraId="1D983502">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rPr>
      </w:pPr>
    </w:p>
    <w:p w14:paraId="6FCC2116">
      <w:pPr>
        <w:pStyle w:val="6"/>
        <w:spacing w:line="560" w:lineRule="exact"/>
        <w:jc w:val="right"/>
        <w:rPr>
          <w:rFonts w:hAnsi="Times New Roman"/>
          <w:color w:val="000000"/>
          <w:kern w:val="0"/>
        </w:rPr>
      </w:pPr>
      <w:r>
        <w:rPr>
          <w:rFonts w:hint="eastAsia" w:hAnsi="Times New Roman"/>
          <w:color w:val="000000"/>
          <w:kern w:val="0"/>
        </w:rPr>
        <w:t>XXXX股份有限公司董事会</w:t>
      </w:r>
    </w:p>
    <w:p w14:paraId="5B312DD5">
      <w:pPr>
        <w:spacing w:line="560" w:lineRule="exact"/>
        <w:ind w:firstLine="300" w:firstLineChars="100"/>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年  月  日</w:t>
      </w:r>
    </w:p>
    <w:p w14:paraId="4AA63097">
      <w:pPr>
        <w:autoSpaceDE w:val="0"/>
        <w:autoSpaceDN w:val="0"/>
        <w:adjustRightInd w:val="0"/>
        <w:spacing w:line="360" w:lineRule="auto"/>
        <w:ind w:firstLine="480" w:firstLineChars="200"/>
        <w:jc w:val="left"/>
        <w:rPr>
          <w:rFonts w:ascii="Times New Roman" w:hAnsi="Times New Roman"/>
          <w:kern w:val="0"/>
          <w:sz w:val="24"/>
        </w:rPr>
      </w:pPr>
    </w:p>
    <w:p w14:paraId="2F647D93">
      <w:pPr>
        <w:pStyle w:val="23"/>
        <w:numPr>
          <w:ilvl w:val="0"/>
          <w:numId w:val="3"/>
        </w:numPr>
        <w:autoSpaceDE w:val="0"/>
        <w:autoSpaceDN w:val="0"/>
        <w:adjustRightInd w:val="0"/>
        <w:snapToGrid w:val="0"/>
        <w:spacing w:line="560" w:lineRule="exact"/>
        <w:ind w:left="1022" w:firstLineChars="0"/>
        <w:rPr>
          <w:rFonts w:ascii="Times New Roman" w:hAnsi="Times New Roman" w:eastAsia="仿宋_GB2312"/>
          <w:b/>
          <w:color w:val="000000"/>
          <w:sz w:val="30"/>
          <w:szCs w:val="30"/>
        </w:rPr>
      </w:pPr>
      <w:r>
        <w:rPr>
          <w:rFonts w:ascii="Times New Roman" w:hAnsi="Times New Roman" w:eastAsia="仿宋_GB2312"/>
          <w:b/>
          <w:color w:val="000000"/>
          <w:sz w:val="30"/>
          <w:szCs w:val="30"/>
        </w:rPr>
        <w:t>报备文件</w:t>
      </w:r>
    </w:p>
    <w:p w14:paraId="622B66E4">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经公司现任法定代表人、主管会计工作的负责人、总会计师（如有）、会计机构负责人（会计主管人员）签字并盖章的比较式资产负债表和利润表。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57938"/>
    </w:sdtPr>
    <w:sdtContent>
      <w:p w14:paraId="66C6D250">
        <w:pPr>
          <w:pStyle w:val="8"/>
          <w:jc w:val="center"/>
        </w:pPr>
        <w:r>
          <w:fldChar w:fldCharType="begin"/>
        </w:r>
        <w:r>
          <w:instrText xml:space="preserve"> PAGE   \* MERGEFORMAT </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20B4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F4AF9"/>
    <w:multiLevelType w:val="multilevel"/>
    <w:tmpl w:val="3FFF4AF9"/>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
    <w:nsid w:val="4E1E27E5"/>
    <w:multiLevelType w:val="multilevel"/>
    <w:tmpl w:val="4E1E27E5"/>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2">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884DF9"/>
    <w:rsid w:val="000015A4"/>
    <w:rsid w:val="000103F0"/>
    <w:rsid w:val="000126A7"/>
    <w:rsid w:val="00020685"/>
    <w:rsid w:val="000206DD"/>
    <w:rsid w:val="00031F40"/>
    <w:rsid w:val="00036005"/>
    <w:rsid w:val="00046320"/>
    <w:rsid w:val="000C5A23"/>
    <w:rsid w:val="000D3D6F"/>
    <w:rsid w:val="000D7BDE"/>
    <w:rsid w:val="000E358B"/>
    <w:rsid w:val="000E72C7"/>
    <w:rsid w:val="000F3DEF"/>
    <w:rsid w:val="000F564C"/>
    <w:rsid w:val="000F71E4"/>
    <w:rsid w:val="00100851"/>
    <w:rsid w:val="001025EC"/>
    <w:rsid w:val="001103AC"/>
    <w:rsid w:val="0011341F"/>
    <w:rsid w:val="00117A60"/>
    <w:rsid w:val="00122D1A"/>
    <w:rsid w:val="00134972"/>
    <w:rsid w:val="001374D5"/>
    <w:rsid w:val="001435F0"/>
    <w:rsid w:val="00161016"/>
    <w:rsid w:val="00166861"/>
    <w:rsid w:val="001867E3"/>
    <w:rsid w:val="001A514D"/>
    <w:rsid w:val="001A67B7"/>
    <w:rsid w:val="001B138E"/>
    <w:rsid w:val="001B4D28"/>
    <w:rsid w:val="001C106B"/>
    <w:rsid w:val="001C23A9"/>
    <w:rsid w:val="001C7845"/>
    <w:rsid w:val="001D0917"/>
    <w:rsid w:val="001F21F7"/>
    <w:rsid w:val="001F389B"/>
    <w:rsid w:val="001F577A"/>
    <w:rsid w:val="00200BD7"/>
    <w:rsid w:val="00210DDE"/>
    <w:rsid w:val="00223462"/>
    <w:rsid w:val="002623FE"/>
    <w:rsid w:val="00275016"/>
    <w:rsid w:val="002772BD"/>
    <w:rsid w:val="00285DE0"/>
    <w:rsid w:val="002861D3"/>
    <w:rsid w:val="00293493"/>
    <w:rsid w:val="002A1708"/>
    <w:rsid w:val="002D69F4"/>
    <w:rsid w:val="002E2CFD"/>
    <w:rsid w:val="002F055B"/>
    <w:rsid w:val="002F5298"/>
    <w:rsid w:val="0030594D"/>
    <w:rsid w:val="00307B97"/>
    <w:rsid w:val="00312A6A"/>
    <w:rsid w:val="003169A6"/>
    <w:rsid w:val="00344FC4"/>
    <w:rsid w:val="00361843"/>
    <w:rsid w:val="00367068"/>
    <w:rsid w:val="003779A3"/>
    <w:rsid w:val="003866B5"/>
    <w:rsid w:val="003A1F68"/>
    <w:rsid w:val="003A3E68"/>
    <w:rsid w:val="003B4A3E"/>
    <w:rsid w:val="003B7961"/>
    <w:rsid w:val="003C01AB"/>
    <w:rsid w:val="003D3EA8"/>
    <w:rsid w:val="003F26E6"/>
    <w:rsid w:val="003F3770"/>
    <w:rsid w:val="00410708"/>
    <w:rsid w:val="004138D5"/>
    <w:rsid w:val="004225E9"/>
    <w:rsid w:val="00423BDB"/>
    <w:rsid w:val="00423DA0"/>
    <w:rsid w:val="004275A2"/>
    <w:rsid w:val="00432ADD"/>
    <w:rsid w:val="00434E24"/>
    <w:rsid w:val="004533A6"/>
    <w:rsid w:val="004563C8"/>
    <w:rsid w:val="004729A9"/>
    <w:rsid w:val="00485131"/>
    <w:rsid w:val="00494742"/>
    <w:rsid w:val="00494835"/>
    <w:rsid w:val="004A56A7"/>
    <w:rsid w:val="004A6CE1"/>
    <w:rsid w:val="004B2B14"/>
    <w:rsid w:val="004C44D2"/>
    <w:rsid w:val="004C5123"/>
    <w:rsid w:val="004C5EB8"/>
    <w:rsid w:val="004C6C37"/>
    <w:rsid w:val="004C72DA"/>
    <w:rsid w:val="004D4051"/>
    <w:rsid w:val="004D73C2"/>
    <w:rsid w:val="004F1095"/>
    <w:rsid w:val="004F1CC8"/>
    <w:rsid w:val="005168D0"/>
    <w:rsid w:val="00517054"/>
    <w:rsid w:val="00535226"/>
    <w:rsid w:val="00540377"/>
    <w:rsid w:val="005436AD"/>
    <w:rsid w:val="00550E5C"/>
    <w:rsid w:val="0055322C"/>
    <w:rsid w:val="0055743E"/>
    <w:rsid w:val="00564E60"/>
    <w:rsid w:val="005833AD"/>
    <w:rsid w:val="00592D9C"/>
    <w:rsid w:val="00596957"/>
    <w:rsid w:val="00597B44"/>
    <w:rsid w:val="005A757E"/>
    <w:rsid w:val="005C7927"/>
    <w:rsid w:val="005D7E9F"/>
    <w:rsid w:val="005E1D2A"/>
    <w:rsid w:val="005F197E"/>
    <w:rsid w:val="00612526"/>
    <w:rsid w:val="0064244B"/>
    <w:rsid w:val="00653994"/>
    <w:rsid w:val="00655DB6"/>
    <w:rsid w:val="00656080"/>
    <w:rsid w:val="0066019F"/>
    <w:rsid w:val="006608B9"/>
    <w:rsid w:val="006609BF"/>
    <w:rsid w:val="00666F14"/>
    <w:rsid w:val="00672B3D"/>
    <w:rsid w:val="00673E87"/>
    <w:rsid w:val="00675664"/>
    <w:rsid w:val="00681848"/>
    <w:rsid w:val="0068598B"/>
    <w:rsid w:val="00685B76"/>
    <w:rsid w:val="00691996"/>
    <w:rsid w:val="006C0665"/>
    <w:rsid w:val="006C7AAF"/>
    <w:rsid w:val="006C7F53"/>
    <w:rsid w:val="006D0882"/>
    <w:rsid w:val="006D2B44"/>
    <w:rsid w:val="006D3842"/>
    <w:rsid w:val="006D3B0E"/>
    <w:rsid w:val="006D6B36"/>
    <w:rsid w:val="006F1FDB"/>
    <w:rsid w:val="006F3B7B"/>
    <w:rsid w:val="006F4656"/>
    <w:rsid w:val="006F480E"/>
    <w:rsid w:val="0070104F"/>
    <w:rsid w:val="007225B1"/>
    <w:rsid w:val="00726BBF"/>
    <w:rsid w:val="00730EF0"/>
    <w:rsid w:val="00733E97"/>
    <w:rsid w:val="00735257"/>
    <w:rsid w:val="007463FD"/>
    <w:rsid w:val="007547D7"/>
    <w:rsid w:val="00755002"/>
    <w:rsid w:val="0076362D"/>
    <w:rsid w:val="00765404"/>
    <w:rsid w:val="00777F1B"/>
    <w:rsid w:val="00782CAF"/>
    <w:rsid w:val="00786221"/>
    <w:rsid w:val="0078716D"/>
    <w:rsid w:val="00793E38"/>
    <w:rsid w:val="007B16EC"/>
    <w:rsid w:val="007B572C"/>
    <w:rsid w:val="007C17AE"/>
    <w:rsid w:val="007C23EA"/>
    <w:rsid w:val="007C5BE7"/>
    <w:rsid w:val="007C77C8"/>
    <w:rsid w:val="007D239C"/>
    <w:rsid w:val="007D30EF"/>
    <w:rsid w:val="007E09D9"/>
    <w:rsid w:val="007E1145"/>
    <w:rsid w:val="00803461"/>
    <w:rsid w:val="0080385C"/>
    <w:rsid w:val="00803A39"/>
    <w:rsid w:val="00810EFF"/>
    <w:rsid w:val="008161F3"/>
    <w:rsid w:val="008177C2"/>
    <w:rsid w:val="00827DDA"/>
    <w:rsid w:val="008314AE"/>
    <w:rsid w:val="00834B12"/>
    <w:rsid w:val="008359CE"/>
    <w:rsid w:val="00841623"/>
    <w:rsid w:val="008458D0"/>
    <w:rsid w:val="0085465F"/>
    <w:rsid w:val="008601CF"/>
    <w:rsid w:val="00862661"/>
    <w:rsid w:val="0086788E"/>
    <w:rsid w:val="0087096A"/>
    <w:rsid w:val="00884DF9"/>
    <w:rsid w:val="00886BE9"/>
    <w:rsid w:val="0089151A"/>
    <w:rsid w:val="008B582B"/>
    <w:rsid w:val="008B6FBB"/>
    <w:rsid w:val="008E7F6A"/>
    <w:rsid w:val="008F3193"/>
    <w:rsid w:val="00902C76"/>
    <w:rsid w:val="0090311A"/>
    <w:rsid w:val="009070F6"/>
    <w:rsid w:val="00925CB5"/>
    <w:rsid w:val="009300C7"/>
    <w:rsid w:val="009611F3"/>
    <w:rsid w:val="009722C3"/>
    <w:rsid w:val="00973B9A"/>
    <w:rsid w:val="009869B4"/>
    <w:rsid w:val="009973CD"/>
    <w:rsid w:val="009A1CA0"/>
    <w:rsid w:val="009A2695"/>
    <w:rsid w:val="009A28D6"/>
    <w:rsid w:val="009C081C"/>
    <w:rsid w:val="009C7BE5"/>
    <w:rsid w:val="009D59BE"/>
    <w:rsid w:val="009F50DE"/>
    <w:rsid w:val="009F7A0B"/>
    <w:rsid w:val="00A04348"/>
    <w:rsid w:val="00A0458D"/>
    <w:rsid w:val="00A12990"/>
    <w:rsid w:val="00A13161"/>
    <w:rsid w:val="00A13990"/>
    <w:rsid w:val="00A161C4"/>
    <w:rsid w:val="00A16278"/>
    <w:rsid w:val="00A17DAE"/>
    <w:rsid w:val="00A359AA"/>
    <w:rsid w:val="00A4706C"/>
    <w:rsid w:val="00A5683D"/>
    <w:rsid w:val="00A60225"/>
    <w:rsid w:val="00A83808"/>
    <w:rsid w:val="00A87C77"/>
    <w:rsid w:val="00A95954"/>
    <w:rsid w:val="00AA2310"/>
    <w:rsid w:val="00AA5F8C"/>
    <w:rsid w:val="00AB248A"/>
    <w:rsid w:val="00AB3AEE"/>
    <w:rsid w:val="00AD3592"/>
    <w:rsid w:val="00AE578C"/>
    <w:rsid w:val="00B03469"/>
    <w:rsid w:val="00B067F6"/>
    <w:rsid w:val="00B10CA0"/>
    <w:rsid w:val="00B250B6"/>
    <w:rsid w:val="00B26AD9"/>
    <w:rsid w:val="00B33CA0"/>
    <w:rsid w:val="00B40215"/>
    <w:rsid w:val="00B41030"/>
    <w:rsid w:val="00B43D72"/>
    <w:rsid w:val="00B4401D"/>
    <w:rsid w:val="00B475F9"/>
    <w:rsid w:val="00B54E32"/>
    <w:rsid w:val="00B60808"/>
    <w:rsid w:val="00B61E64"/>
    <w:rsid w:val="00B63BDE"/>
    <w:rsid w:val="00B71A9B"/>
    <w:rsid w:val="00B73294"/>
    <w:rsid w:val="00B75153"/>
    <w:rsid w:val="00B7642B"/>
    <w:rsid w:val="00B804D3"/>
    <w:rsid w:val="00B83CC4"/>
    <w:rsid w:val="00BB0DEC"/>
    <w:rsid w:val="00BC533B"/>
    <w:rsid w:val="00BC66AF"/>
    <w:rsid w:val="00BE4F2E"/>
    <w:rsid w:val="00C001E9"/>
    <w:rsid w:val="00C2439F"/>
    <w:rsid w:val="00C24618"/>
    <w:rsid w:val="00C3199E"/>
    <w:rsid w:val="00C339BF"/>
    <w:rsid w:val="00C348DD"/>
    <w:rsid w:val="00C360AD"/>
    <w:rsid w:val="00C43BFA"/>
    <w:rsid w:val="00C47A3F"/>
    <w:rsid w:val="00C56BFF"/>
    <w:rsid w:val="00C600F6"/>
    <w:rsid w:val="00C61F8D"/>
    <w:rsid w:val="00C72F1A"/>
    <w:rsid w:val="00C74034"/>
    <w:rsid w:val="00C75D1F"/>
    <w:rsid w:val="00C76948"/>
    <w:rsid w:val="00C85EE8"/>
    <w:rsid w:val="00CB056E"/>
    <w:rsid w:val="00CC19A1"/>
    <w:rsid w:val="00CD19A4"/>
    <w:rsid w:val="00CD38B2"/>
    <w:rsid w:val="00CD714C"/>
    <w:rsid w:val="00CE534C"/>
    <w:rsid w:val="00CF024E"/>
    <w:rsid w:val="00CF495C"/>
    <w:rsid w:val="00D009CD"/>
    <w:rsid w:val="00D0619B"/>
    <w:rsid w:val="00D073EC"/>
    <w:rsid w:val="00D124B6"/>
    <w:rsid w:val="00D15774"/>
    <w:rsid w:val="00D1609C"/>
    <w:rsid w:val="00D32A1F"/>
    <w:rsid w:val="00D4727F"/>
    <w:rsid w:val="00D521C4"/>
    <w:rsid w:val="00D53E2A"/>
    <w:rsid w:val="00D64908"/>
    <w:rsid w:val="00D750D4"/>
    <w:rsid w:val="00DB543A"/>
    <w:rsid w:val="00DC2779"/>
    <w:rsid w:val="00DC6222"/>
    <w:rsid w:val="00DE2519"/>
    <w:rsid w:val="00DE3994"/>
    <w:rsid w:val="00DF45DE"/>
    <w:rsid w:val="00DF4DB1"/>
    <w:rsid w:val="00DF632A"/>
    <w:rsid w:val="00E02019"/>
    <w:rsid w:val="00E03629"/>
    <w:rsid w:val="00E063ED"/>
    <w:rsid w:val="00E06879"/>
    <w:rsid w:val="00E13AC1"/>
    <w:rsid w:val="00E21D65"/>
    <w:rsid w:val="00E243BD"/>
    <w:rsid w:val="00E322FF"/>
    <w:rsid w:val="00E33753"/>
    <w:rsid w:val="00E37DEE"/>
    <w:rsid w:val="00E466C0"/>
    <w:rsid w:val="00E522CB"/>
    <w:rsid w:val="00E54DB6"/>
    <w:rsid w:val="00E66B84"/>
    <w:rsid w:val="00E66F74"/>
    <w:rsid w:val="00E743B4"/>
    <w:rsid w:val="00E8494D"/>
    <w:rsid w:val="00E92069"/>
    <w:rsid w:val="00E97E97"/>
    <w:rsid w:val="00EA38A4"/>
    <w:rsid w:val="00EA5E12"/>
    <w:rsid w:val="00EB5FF6"/>
    <w:rsid w:val="00EB7824"/>
    <w:rsid w:val="00EC3253"/>
    <w:rsid w:val="00EF0180"/>
    <w:rsid w:val="00EF295D"/>
    <w:rsid w:val="00EF31E9"/>
    <w:rsid w:val="00EF47A6"/>
    <w:rsid w:val="00EF6734"/>
    <w:rsid w:val="00EF6E84"/>
    <w:rsid w:val="00F01C00"/>
    <w:rsid w:val="00F142C0"/>
    <w:rsid w:val="00F17F52"/>
    <w:rsid w:val="00F229F6"/>
    <w:rsid w:val="00F23B51"/>
    <w:rsid w:val="00F25398"/>
    <w:rsid w:val="00F36F98"/>
    <w:rsid w:val="00F626F7"/>
    <w:rsid w:val="00F73950"/>
    <w:rsid w:val="00F76A40"/>
    <w:rsid w:val="00F82DF1"/>
    <w:rsid w:val="00F90B9D"/>
    <w:rsid w:val="00FA4766"/>
    <w:rsid w:val="00FA725E"/>
    <w:rsid w:val="00FE31D5"/>
    <w:rsid w:val="014D2AC6"/>
    <w:rsid w:val="05682DA0"/>
    <w:rsid w:val="059A7CB8"/>
    <w:rsid w:val="0CD63834"/>
    <w:rsid w:val="10ED2754"/>
    <w:rsid w:val="1E574E55"/>
    <w:rsid w:val="1FDF621F"/>
    <w:rsid w:val="293C4333"/>
    <w:rsid w:val="2BD95E71"/>
    <w:rsid w:val="338D61E8"/>
    <w:rsid w:val="42895EAD"/>
    <w:rsid w:val="49B77E87"/>
    <w:rsid w:val="54745B1B"/>
    <w:rsid w:val="5C1E5B2C"/>
    <w:rsid w:val="5DC776C3"/>
    <w:rsid w:val="5FA2300D"/>
    <w:rsid w:val="6FF76D14"/>
    <w:rsid w:val="71C360C7"/>
    <w:rsid w:val="73110421"/>
    <w:rsid w:val="738937A7"/>
    <w:rsid w:val="784E34DE"/>
    <w:rsid w:val="7AD52585"/>
    <w:rsid w:val="7F9E28E9"/>
    <w:rsid w:val="7FDEACBC"/>
    <w:rsid w:val="B1FFA420"/>
    <w:rsid w:val="BBB7F67D"/>
    <w:rsid w:val="F3EEC6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2"/>
    <w:unhideWhenUsed/>
    <w:qFormat/>
    <w:uiPriority w:val="9"/>
    <w:pPr>
      <w:keepNext/>
      <w:keepLines/>
      <w:spacing w:line="415" w:lineRule="auto"/>
      <w:jc w:val="center"/>
      <w:outlineLvl w:val="1"/>
    </w:pPr>
    <w:rPr>
      <w:rFonts w:ascii="黑体" w:hAnsi="黑体" w:eastAsia="黑体" w:cstheme="majorBidi"/>
      <w:b/>
      <w:bCs/>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0"/>
    <w:pPr>
      <w:jc w:val="left"/>
    </w:pPr>
  </w:style>
  <w:style w:type="paragraph" w:styleId="5">
    <w:name w:val="Body Text Indent"/>
    <w:basedOn w:val="1"/>
    <w:link w:val="30"/>
    <w:unhideWhenUsed/>
    <w:qFormat/>
    <w:uiPriority w:val="0"/>
    <w:pPr>
      <w:spacing w:after="120"/>
      <w:ind w:left="420" w:leftChars="200"/>
    </w:pPr>
    <w:rPr>
      <w:rFonts w:ascii="Times New Roman" w:hAnsi="Times New Roman"/>
      <w:szCs w:val="24"/>
    </w:rPr>
  </w:style>
  <w:style w:type="paragraph" w:styleId="6">
    <w:name w:val="Body Text Indent 2"/>
    <w:basedOn w:val="1"/>
    <w:link w:val="28"/>
    <w:qFormat/>
    <w:uiPriority w:val="0"/>
    <w:pPr>
      <w:spacing w:line="600" w:lineRule="exact"/>
      <w:ind w:firstLine="600" w:firstLineChars="200"/>
    </w:pPr>
    <w:rPr>
      <w:rFonts w:ascii="仿宋_GB2312" w:hAnsi="宋体" w:eastAsia="仿宋_GB2312"/>
      <w:sz w:val="30"/>
      <w:szCs w:val="30"/>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style>
  <w:style w:type="paragraph" w:styleId="11">
    <w:name w:val="Title"/>
    <w:basedOn w:val="1"/>
    <w:next w:val="1"/>
    <w:link w:val="17"/>
    <w:qFormat/>
    <w:uiPriority w:val="10"/>
    <w:pPr>
      <w:spacing w:before="240" w:after="60"/>
      <w:jc w:val="center"/>
      <w:outlineLvl w:val="0"/>
    </w:pPr>
    <w:rPr>
      <w:rFonts w:asciiTheme="majorHAnsi" w:hAnsiTheme="majorHAnsi" w:cstheme="majorBidi"/>
      <w:b/>
      <w:bCs/>
      <w:sz w:val="30"/>
      <w:szCs w:val="32"/>
    </w:rPr>
  </w:style>
  <w:style w:type="paragraph" w:styleId="12">
    <w:name w:val="annotation subject"/>
    <w:basedOn w:val="4"/>
    <w:next w:val="4"/>
    <w:link w:val="22"/>
    <w:semiHidden/>
    <w:unhideWhenUsed/>
    <w:qFormat/>
    <w:uiPriority w:val="99"/>
    <w:rPr>
      <w:b/>
      <w:bCs/>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unhideWhenUsed/>
    <w:qFormat/>
    <w:uiPriority w:val="0"/>
    <w:rPr>
      <w:sz w:val="21"/>
      <w:szCs w:val="21"/>
    </w:rPr>
  </w:style>
  <w:style w:type="character" w:customStyle="1" w:styleId="17">
    <w:name w:val="标题 字符"/>
    <w:basedOn w:val="14"/>
    <w:link w:val="11"/>
    <w:qFormat/>
    <w:uiPriority w:val="10"/>
    <w:rPr>
      <w:rFonts w:eastAsia="宋体" w:asciiTheme="majorHAnsi" w:hAnsiTheme="majorHAnsi" w:cstheme="majorBidi"/>
      <w:b/>
      <w:bCs/>
      <w:sz w:val="30"/>
      <w:szCs w:val="32"/>
    </w:rPr>
  </w:style>
  <w:style w:type="character" w:customStyle="1" w:styleId="18">
    <w:name w:val="页眉 字符"/>
    <w:basedOn w:val="14"/>
    <w:link w:val="9"/>
    <w:qFormat/>
    <w:uiPriority w:val="99"/>
    <w:rPr>
      <w:rFonts w:ascii="Calibri" w:hAnsi="Calibri" w:eastAsia="宋体" w:cs="Times New Roman"/>
      <w:sz w:val="18"/>
      <w:szCs w:val="18"/>
    </w:rPr>
  </w:style>
  <w:style w:type="character" w:customStyle="1" w:styleId="19">
    <w:name w:val="页脚 字符"/>
    <w:basedOn w:val="14"/>
    <w:link w:val="8"/>
    <w:qFormat/>
    <w:uiPriority w:val="99"/>
    <w:rPr>
      <w:rFonts w:ascii="Calibri" w:hAnsi="Calibri" w:eastAsia="宋体" w:cs="Times New Roman"/>
      <w:sz w:val="18"/>
      <w:szCs w:val="18"/>
    </w:rPr>
  </w:style>
  <w:style w:type="character" w:customStyle="1" w:styleId="20">
    <w:name w:val="批注框文本 字符"/>
    <w:basedOn w:val="14"/>
    <w:link w:val="7"/>
    <w:semiHidden/>
    <w:qFormat/>
    <w:uiPriority w:val="99"/>
    <w:rPr>
      <w:rFonts w:ascii="Calibri" w:hAnsi="Calibri" w:eastAsia="宋体" w:cs="Times New Roman"/>
      <w:sz w:val="18"/>
      <w:szCs w:val="18"/>
    </w:rPr>
  </w:style>
  <w:style w:type="character" w:customStyle="1" w:styleId="21">
    <w:name w:val="批注文字 字符"/>
    <w:basedOn w:val="14"/>
    <w:link w:val="4"/>
    <w:semiHidden/>
    <w:qFormat/>
    <w:uiPriority w:val="99"/>
    <w:rPr>
      <w:rFonts w:ascii="Calibri" w:hAnsi="Calibri" w:eastAsia="宋体" w:cs="Times New Roman"/>
    </w:rPr>
  </w:style>
  <w:style w:type="character" w:customStyle="1" w:styleId="22">
    <w:name w:val="批注主题 字符"/>
    <w:basedOn w:val="21"/>
    <w:link w:val="12"/>
    <w:semiHidden/>
    <w:qFormat/>
    <w:uiPriority w:val="99"/>
    <w:rPr>
      <w:rFonts w:ascii="Calibri" w:hAnsi="Calibri" w:eastAsia="宋体" w:cs="Times New Roman"/>
      <w:b/>
      <w:bCs/>
    </w:rPr>
  </w:style>
  <w:style w:type="paragraph" w:styleId="23">
    <w:name w:val="List Paragraph"/>
    <w:basedOn w:val="1"/>
    <w:qFormat/>
    <w:uiPriority w:val="34"/>
    <w:pPr>
      <w:ind w:firstLine="420" w:firstLineChars="200"/>
    </w:p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character" w:customStyle="1" w:styleId="25">
    <w:name w:val="标题 1 字符"/>
    <w:basedOn w:val="14"/>
    <w:qFormat/>
    <w:uiPriority w:val="9"/>
    <w:rPr>
      <w:rFonts w:ascii="Calibri" w:hAnsi="Calibri" w:eastAsia="宋体" w:cs="Times New Roman"/>
      <w:b/>
      <w:bCs/>
      <w:kern w:val="44"/>
      <w:sz w:val="44"/>
      <w:szCs w:val="44"/>
    </w:rPr>
  </w:style>
  <w:style w:type="character" w:customStyle="1" w:styleId="26">
    <w:name w:val="标题 1 字符1"/>
    <w:basedOn w:val="14"/>
    <w:link w:val="2"/>
    <w:qFormat/>
    <w:uiPriority w:val="0"/>
    <w:rPr>
      <w:rFonts w:ascii="Times New Roman" w:hAnsi="Times New Roman" w:eastAsia="宋体" w:cs="Times New Roman"/>
      <w:b/>
      <w:bCs/>
      <w:kern w:val="44"/>
      <w:sz w:val="44"/>
      <w:szCs w:val="44"/>
    </w:rPr>
  </w:style>
  <w:style w:type="character" w:customStyle="1" w:styleId="27">
    <w:name w:val="正文文本缩进 2 字符"/>
    <w:basedOn w:val="14"/>
    <w:semiHidden/>
    <w:qFormat/>
    <w:uiPriority w:val="99"/>
    <w:rPr>
      <w:rFonts w:ascii="Calibri" w:hAnsi="Calibri" w:eastAsia="宋体" w:cs="Times New Roman"/>
    </w:rPr>
  </w:style>
  <w:style w:type="character" w:customStyle="1" w:styleId="28">
    <w:name w:val="正文文本缩进 2 字符1"/>
    <w:basedOn w:val="14"/>
    <w:link w:val="6"/>
    <w:qFormat/>
    <w:uiPriority w:val="0"/>
    <w:rPr>
      <w:rFonts w:ascii="仿宋_GB2312" w:hAnsi="宋体" w:eastAsia="仿宋_GB2312" w:cs="Times New Roman"/>
      <w:sz w:val="30"/>
      <w:szCs w:val="30"/>
    </w:rPr>
  </w:style>
  <w:style w:type="character" w:customStyle="1" w:styleId="29">
    <w:name w:val="正文文本缩进 字符"/>
    <w:basedOn w:val="14"/>
    <w:semiHidden/>
    <w:qFormat/>
    <w:uiPriority w:val="99"/>
    <w:rPr>
      <w:rFonts w:ascii="Calibri" w:hAnsi="Calibri" w:eastAsia="宋体" w:cs="Times New Roman"/>
    </w:rPr>
  </w:style>
  <w:style w:type="character" w:customStyle="1" w:styleId="30">
    <w:name w:val="正文文本缩进 字符1"/>
    <w:basedOn w:val="14"/>
    <w:link w:val="5"/>
    <w:qFormat/>
    <w:uiPriority w:val="0"/>
    <w:rPr>
      <w:rFonts w:ascii="Times New Roman" w:hAnsi="Times New Roman" w:eastAsia="宋体" w:cs="Times New Roman"/>
      <w:szCs w:val="24"/>
    </w:rPr>
  </w:style>
  <w:style w:type="character" w:customStyle="1" w:styleId="31">
    <w:name w:val="批注文字 Char"/>
    <w:basedOn w:val="14"/>
    <w:qFormat/>
    <w:uiPriority w:val="0"/>
    <w:rPr>
      <w:kern w:val="2"/>
      <w:sz w:val="21"/>
      <w:szCs w:val="24"/>
    </w:rPr>
  </w:style>
  <w:style w:type="character" w:customStyle="1" w:styleId="32">
    <w:name w:val="标题 2 字符"/>
    <w:basedOn w:val="14"/>
    <w:link w:val="3"/>
    <w:qFormat/>
    <w:uiPriority w:val="9"/>
    <w:rPr>
      <w:rFonts w:ascii="黑体" w:hAnsi="黑体" w:eastAsia="黑体" w:cstheme="majorBidi"/>
      <w:b/>
      <w:bCs/>
      <w:sz w:val="36"/>
      <w:szCs w:val="36"/>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4">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965</Words>
  <Characters>5506</Characters>
  <Lines>45</Lines>
  <Paragraphs>12</Paragraphs>
  <TotalTime>2</TotalTime>
  <ScaleCrop>false</ScaleCrop>
  <LinksUpToDate>false</LinksUpToDate>
  <CharactersWithSpaces>6459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2022-03-02T08:46:00Z</dcterms:created>
  <dc:creator>whzhou</dc:creator>
  <cp:lastModifiedBy>wentinglou</cp:lastModifiedBy>
  <cp:lastPrinted>2022-03-06T02:08:00Z</cp:lastPrinted>
  <dcterms:modified xsi:type="dcterms:W3CDTF">2025-08-25T16:15:32Z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C99A121BF6984210ACBB0D83FC3DABCC_13</vt:lpwstr>
  </property>
  <property fmtid="{D5CDD505-2E9C-101B-9397-08002B2CF9AE}" pid="4" name="commondata">
    <vt:lpwstr>eyJoZGlkIjoiNGQxMzIwNmQ1ZWRlMGUxNzdkYmMyYjllZjJiOWUwZDgifQ==</vt:lpwstr>
  </property>
</Properties>
</file>