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3ADA5">
      <w:pPr>
        <w:spacing w:line="600" w:lineRule="exact"/>
        <w:ind w:right="-334" w:rightChars="-159"/>
        <w:jc w:val="center"/>
        <w:outlineLvl w:val="0"/>
        <w:rPr>
          <w:rFonts w:ascii="黑体" w:hAnsi="黑体" w:eastAsia="黑体"/>
          <w:b/>
          <w:bCs/>
          <w:sz w:val="36"/>
          <w:szCs w:val="36"/>
        </w:rPr>
      </w:pPr>
      <w:bookmarkStart w:id="0" w:name="_GoBack"/>
      <w:bookmarkEnd w:id="0"/>
      <w:r>
        <w:rPr>
          <w:rFonts w:hint="eastAsia" w:ascii="黑体" w:hAnsi="黑体" w:eastAsia="黑体"/>
          <w:b/>
          <w:bCs/>
          <w:sz w:val="36"/>
          <w:szCs w:val="36"/>
        </w:rPr>
        <w:t>第十七号</w:t>
      </w:r>
      <w:r>
        <w:rPr>
          <w:rFonts w:ascii="黑体" w:hAnsi="黑体" w:eastAsia="黑体"/>
          <w:b/>
          <w:bCs/>
          <w:sz w:val="36"/>
          <w:szCs w:val="36"/>
        </w:rPr>
        <w:t xml:space="preserve"> </w:t>
      </w:r>
      <w:r>
        <w:rPr>
          <w:rFonts w:hint="eastAsia" w:ascii="黑体" w:hAnsi="黑体" w:eastAsia="黑体"/>
          <w:b/>
          <w:bCs/>
          <w:sz w:val="36"/>
          <w:szCs w:val="36"/>
        </w:rPr>
        <w:t>科创板上市公司董事会审议高送转公告</w:t>
      </w:r>
    </w:p>
    <w:p w14:paraId="3DA2A611">
      <w:pPr>
        <w:autoSpaceDE w:val="0"/>
        <w:autoSpaceDN w:val="0"/>
        <w:adjustRightInd w:val="0"/>
        <w:spacing w:line="600" w:lineRule="exact"/>
        <w:jc w:val="center"/>
        <w:rPr>
          <w:rFonts w:ascii="仿宋_GB2312" w:eastAsia="仿宋_GB2312"/>
          <w:color w:val="000000"/>
          <w:sz w:val="30"/>
          <w:szCs w:val="30"/>
        </w:rPr>
      </w:pPr>
    </w:p>
    <w:p w14:paraId="69C4B4C0">
      <w:pPr>
        <w:adjustRightInd w:val="0"/>
        <w:snapToGrid w:val="0"/>
        <w:spacing w:line="600" w:lineRule="exact"/>
        <w:jc w:val="left"/>
        <w:rPr>
          <w:rFonts w:ascii="仿宋_GB2312" w:hAnsi="宋体" w:eastAsia="仿宋_GB2312"/>
          <w:b/>
          <w:sz w:val="30"/>
          <w:szCs w:val="30"/>
        </w:rPr>
      </w:pPr>
      <w:r>
        <w:rPr>
          <w:rFonts w:hint="eastAsia" w:ascii="仿宋_GB2312" w:hAnsi="宋体" w:eastAsia="仿宋_GB2312"/>
          <w:b/>
          <w:sz w:val="30"/>
          <w:szCs w:val="30"/>
        </w:rPr>
        <w:t>适用情形：</w:t>
      </w:r>
    </w:p>
    <w:p w14:paraId="6836A026">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科创板上市公司董事会审议高送转事项，应当符合《科创板上市公司自律监管指引第1号——规范运作》第七章第四节“高送转”所规定的条件，并适用本公告格式指引。前述高送转，是指公司送红股或以盈余公积金、资本公积金转增股份，合计比例达到每10股送转5股以上。</w:t>
      </w:r>
    </w:p>
    <w:p w14:paraId="7DF6B5C8">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2.单独或合计持有公司</w:t>
      </w:r>
      <w:r>
        <w:rPr>
          <w:rFonts w:hint="eastAsia" w:ascii="仿宋_GB2312" w:hAnsi="宋体" w:eastAsia="仿宋_GB2312"/>
          <w:sz w:val="30"/>
          <w:szCs w:val="30"/>
          <w:lang w:val="en-US" w:eastAsia="zh-CN"/>
        </w:rPr>
        <w:t>1</w:t>
      </w:r>
      <w:r>
        <w:rPr>
          <w:rFonts w:hint="eastAsia" w:ascii="仿宋_GB2312" w:hAnsi="宋体" w:eastAsia="仿宋_GB2312"/>
          <w:sz w:val="30"/>
          <w:szCs w:val="30"/>
        </w:rPr>
        <w:t>%以上股份的股东及其一致行动人提议高送转的，公司应当立即召开董事会审议股东提出的高送转方案。股东提议应当与董事会决议同时披露。</w:t>
      </w:r>
    </w:p>
    <w:p w14:paraId="0EECA995">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3.单独或合计持有公司</w:t>
      </w:r>
      <w:r>
        <w:rPr>
          <w:rFonts w:hint="eastAsia" w:ascii="仿宋_GB2312" w:hAnsi="宋体" w:eastAsia="仿宋_GB2312"/>
          <w:sz w:val="30"/>
          <w:szCs w:val="30"/>
          <w:lang w:val="en-US" w:eastAsia="zh-CN"/>
        </w:rPr>
        <w:t>1</w:t>
      </w:r>
      <w:r>
        <w:rPr>
          <w:rFonts w:hint="eastAsia" w:ascii="仿宋_GB2312" w:hAnsi="宋体" w:eastAsia="仿宋_GB2312"/>
          <w:sz w:val="30"/>
          <w:szCs w:val="30"/>
        </w:rPr>
        <w:t>%以上股份的股东及其一致行动人直接向股东会提出高送转议案的，参照适用本公告格式指引。</w:t>
      </w:r>
    </w:p>
    <w:p w14:paraId="2CE93FB7">
      <w:pPr>
        <w:autoSpaceDE w:val="0"/>
        <w:autoSpaceDN w:val="0"/>
        <w:adjustRightInd w:val="0"/>
        <w:spacing w:line="600" w:lineRule="exact"/>
        <w:jc w:val="center"/>
        <w:rPr>
          <w:rFonts w:ascii="仿宋_GB2312" w:eastAsia="仿宋_GB2312"/>
          <w:color w:val="000000"/>
          <w:sz w:val="30"/>
          <w:szCs w:val="30"/>
        </w:rPr>
      </w:pPr>
    </w:p>
    <w:p w14:paraId="6F1298BC">
      <w:pPr>
        <w:adjustRightInd w:val="0"/>
        <w:snapToGrid w:val="0"/>
        <w:spacing w:line="600" w:lineRule="exact"/>
        <w:jc w:val="lef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3CDFF78A">
      <w:pPr>
        <w:adjustRightInd w:val="0"/>
        <w:snapToGrid w:val="0"/>
        <w:spacing w:line="600" w:lineRule="exact"/>
        <w:ind w:firstLine="600" w:firstLineChars="200"/>
        <w:jc w:val="left"/>
        <w:rPr>
          <w:rFonts w:ascii="仿宋_GB2312" w:hAnsi="宋体" w:eastAsia="仿宋_GB2312"/>
          <w:sz w:val="30"/>
          <w:szCs w:val="30"/>
        </w:rPr>
      </w:pPr>
    </w:p>
    <w:p w14:paraId="12C4D454">
      <w:pPr>
        <w:snapToGrid w:val="0"/>
        <w:spacing w:line="600" w:lineRule="exact"/>
        <w:jc w:val="center"/>
        <w:rPr>
          <w:rFonts w:ascii="仿宋_GB2312" w:hAnsi="宋体" w:eastAsia="仿宋_GB2312"/>
          <w:bCs/>
          <w:color w:val="000000"/>
          <w:sz w:val="30"/>
          <w:szCs w:val="30"/>
        </w:rPr>
      </w:pPr>
      <w:r>
        <w:rPr>
          <w:rFonts w:hint="eastAsia" w:ascii="仿宋_GB2312" w:hAnsi="宋体" w:eastAsia="仿宋_GB2312"/>
          <w:sz w:val="30"/>
          <w:szCs w:val="30"/>
        </w:rPr>
        <w:t>XXXX</w:t>
      </w:r>
      <w:r>
        <w:rPr>
          <w:rFonts w:hint="eastAsia" w:ascii="仿宋_GB2312" w:hAnsi="宋体" w:eastAsia="仿宋_GB2312"/>
          <w:bCs/>
          <w:color w:val="000000"/>
          <w:sz w:val="30"/>
          <w:szCs w:val="30"/>
        </w:rPr>
        <w:t>股份有限公司董事会审议高送转公告</w:t>
      </w:r>
    </w:p>
    <w:p w14:paraId="3BD7C8CB">
      <w:pPr>
        <w:snapToGrid w:val="0"/>
        <w:spacing w:line="600" w:lineRule="exact"/>
        <w:jc w:val="center"/>
        <w:rPr>
          <w:rFonts w:ascii="仿宋_GB2312" w:hAnsi="宋体" w:eastAsia="仿宋_GB2312"/>
          <w:color w:val="000000"/>
          <w:sz w:val="30"/>
          <w:szCs w:val="30"/>
        </w:rPr>
      </w:pPr>
    </w:p>
    <w:p w14:paraId="51B39511">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54EDC5ED">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s="宋体"/>
          <w:b/>
          <w:color w:val="000000"/>
          <w:kern w:val="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27254BD8">
      <w:pPr>
        <w:adjustRightInd w:val="0"/>
        <w:snapToGrid w:val="0"/>
        <w:spacing w:line="600" w:lineRule="exact"/>
        <w:ind w:firstLine="602" w:firstLineChars="200"/>
        <w:rPr>
          <w:rFonts w:hint="eastAsia" w:ascii="仿宋_GB2312" w:hAnsi="宋体" w:eastAsia="仿宋_GB2312"/>
          <w:b/>
          <w:sz w:val="30"/>
          <w:szCs w:val="30"/>
        </w:rPr>
      </w:pPr>
    </w:p>
    <w:p w14:paraId="3B80A906">
      <w:pPr>
        <w:adjustRightInd w:val="0"/>
        <w:snapToGrid w:val="0"/>
        <w:spacing w:line="6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70B9903B">
      <w:pPr>
        <w:numPr>
          <w:ilvl w:val="3"/>
          <w:numId w:val="1"/>
        </w:numPr>
        <w:tabs>
          <w:tab w:val="left" w:pos="1080"/>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高送转议案的主要内容</w:t>
      </w:r>
    </w:p>
    <w:p w14:paraId="20B64E90">
      <w:pPr>
        <w:numPr>
          <w:ilvl w:val="3"/>
          <w:numId w:val="1"/>
        </w:numPr>
        <w:tabs>
          <w:tab w:val="left" w:pos="1080"/>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公司董事会关于高送转议案的审议结果</w:t>
      </w:r>
    </w:p>
    <w:p w14:paraId="38AB6B14">
      <w:pPr>
        <w:numPr>
          <w:ilvl w:val="3"/>
          <w:numId w:val="1"/>
        </w:numPr>
        <w:tabs>
          <w:tab w:val="left" w:pos="1080"/>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上市公司提议股东、控股股东及其一致行动人、董事及高级管理人员（以下简称相关股东）未来3个月、6个月是否有减持计划</w:t>
      </w:r>
    </w:p>
    <w:p w14:paraId="48F3BEAD">
      <w:pPr>
        <w:tabs>
          <w:tab w:val="left" w:pos="2218"/>
        </w:tabs>
        <w:adjustRightInd w:val="0"/>
        <w:snapToGrid w:val="0"/>
        <w:spacing w:line="600" w:lineRule="exact"/>
        <w:ind w:left="600"/>
        <w:rPr>
          <w:rFonts w:ascii="仿宋_GB2312" w:hAnsi="宋体" w:eastAsia="仿宋_GB2312"/>
          <w:sz w:val="30"/>
          <w:szCs w:val="30"/>
        </w:rPr>
      </w:pPr>
    </w:p>
    <w:p w14:paraId="0858A090">
      <w:pPr>
        <w:adjustRightInd w:val="0"/>
        <w:snapToGrid w:val="0"/>
        <w:spacing w:line="600" w:lineRule="exact"/>
        <w:ind w:firstLine="643" w:firstLineChars="200"/>
        <w:rPr>
          <w:rFonts w:ascii="黑体" w:hAnsi="宋体" w:eastAsia="黑体"/>
          <w:b/>
          <w:color w:val="000000"/>
          <w:sz w:val="32"/>
          <w:szCs w:val="32"/>
        </w:rPr>
      </w:pPr>
      <w:r>
        <w:rPr>
          <w:rFonts w:hint="eastAsia" w:ascii="黑体" w:hAnsi="宋体" w:eastAsia="黑体"/>
          <w:b/>
          <w:color w:val="000000"/>
          <w:sz w:val="32"/>
          <w:szCs w:val="32"/>
        </w:rPr>
        <w:t>一、高送转议案的主要内容</w:t>
      </w:r>
    </w:p>
    <w:p w14:paraId="1EB502F4">
      <w:pPr>
        <w:adjustRightInd w:val="0"/>
        <w:snapToGrid w:val="0"/>
        <w:spacing w:line="600" w:lineRule="exact"/>
        <w:ind w:firstLine="600" w:firstLineChars="200"/>
        <w:rPr>
          <w:rFonts w:hint="eastAsia" w:ascii="仿宋_GB2312" w:eastAsia="仿宋_GB2312"/>
          <w:sz w:val="30"/>
          <w:szCs w:val="30"/>
        </w:rPr>
      </w:pPr>
      <w:r>
        <w:rPr>
          <w:rFonts w:hint="eastAsia" w:ascii="仿宋_GB2312" w:hAnsi="宋体" w:eastAsia="仿宋_GB2312"/>
          <w:color w:val="000000"/>
          <w:sz w:val="30"/>
          <w:szCs w:val="30"/>
        </w:rPr>
        <w:t>上市公司董事会审议高送转议案的主要内容，包括利润分配或公积金转增股本的具体比例等。</w:t>
      </w:r>
    </w:p>
    <w:p w14:paraId="68AD961A">
      <w:pPr>
        <w:adjustRightInd w:val="0"/>
        <w:snapToGrid w:val="0"/>
        <w:spacing w:line="600" w:lineRule="exact"/>
        <w:ind w:firstLine="602" w:firstLineChars="200"/>
        <w:rPr>
          <w:rFonts w:ascii="仿宋_GB2312" w:hAnsi="宋体" w:eastAsia="仿宋_GB2312"/>
          <w:b/>
          <w:color w:val="000000"/>
          <w:sz w:val="30"/>
          <w:szCs w:val="30"/>
        </w:rPr>
      </w:pPr>
    </w:p>
    <w:p w14:paraId="48E0DC77">
      <w:pPr>
        <w:adjustRightInd w:val="0"/>
        <w:snapToGrid w:val="0"/>
        <w:spacing w:line="600" w:lineRule="exact"/>
        <w:ind w:firstLine="643" w:firstLineChars="200"/>
        <w:rPr>
          <w:rFonts w:ascii="黑体" w:hAnsi="宋体" w:eastAsia="黑体"/>
          <w:b/>
          <w:color w:val="000000"/>
          <w:sz w:val="32"/>
          <w:szCs w:val="32"/>
        </w:rPr>
      </w:pPr>
      <w:r>
        <w:rPr>
          <w:rFonts w:hint="eastAsia" w:ascii="黑体" w:hAnsi="宋体" w:eastAsia="黑体"/>
          <w:b/>
          <w:color w:val="000000"/>
          <w:sz w:val="32"/>
          <w:szCs w:val="32"/>
        </w:rPr>
        <w:t>二、股东提议高送转的情况及理由（如适用）</w:t>
      </w:r>
    </w:p>
    <w:p w14:paraId="2167E27E">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（一）</w:t>
      </w:r>
      <w:r>
        <w:rPr>
          <w:rFonts w:hint="eastAsia" w:ascii="仿宋_GB2312" w:hAnsi="宋体" w:eastAsia="仿宋_GB2312"/>
          <w:sz w:val="30"/>
          <w:szCs w:val="30"/>
        </w:rPr>
        <w:t>单独或合计持有公司</w:t>
      </w:r>
      <w:r>
        <w:rPr>
          <w:rFonts w:hint="eastAsia" w:ascii="仿宋_GB2312" w:hAnsi="宋体" w:eastAsia="仿宋_GB2312"/>
          <w:sz w:val="30"/>
          <w:szCs w:val="30"/>
          <w:lang w:val="en-US" w:eastAsia="zh-CN"/>
        </w:rPr>
        <w:t>1</w:t>
      </w:r>
      <w:r>
        <w:rPr>
          <w:rFonts w:hint="eastAsia" w:ascii="仿宋_GB2312" w:hAnsi="宋体" w:eastAsia="仿宋_GB2312"/>
          <w:sz w:val="30"/>
          <w:szCs w:val="30"/>
        </w:rPr>
        <w:t>%以上股份的股东及其一致行动人（以下简称提议股东）</w:t>
      </w:r>
      <w:r>
        <w:rPr>
          <w:rFonts w:hint="eastAsia" w:ascii="仿宋_GB2312" w:hAnsi="宋体" w:eastAsia="仿宋_GB2312"/>
          <w:color w:val="000000"/>
          <w:sz w:val="30"/>
          <w:szCs w:val="30"/>
        </w:rPr>
        <w:t>向公司董事会提议高送转的时间和方式。</w:t>
      </w:r>
    </w:p>
    <w:p w14:paraId="22CE396C">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（二）股东向公司董事会提议高送转的主要理由，如本次提议是否符合公司当期实际经营业绩情况、是否满足公司当前经营活动需要、是否有利于公司未来发展等。</w:t>
      </w:r>
    </w:p>
    <w:p w14:paraId="184E2ACF">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（三）提议股东应当承诺并披露，如董事会同意提交股东会审议高送转议案，将在股东会上投票同意该项议案。</w:t>
      </w:r>
    </w:p>
    <w:p w14:paraId="005834F3">
      <w:pPr>
        <w:adjustRightInd w:val="0"/>
        <w:snapToGrid w:val="0"/>
        <w:spacing w:line="600" w:lineRule="exact"/>
        <w:ind w:firstLine="602" w:firstLineChars="200"/>
        <w:rPr>
          <w:rFonts w:ascii="仿宋_GB2312" w:hAnsi="宋体" w:eastAsia="仿宋_GB2312"/>
          <w:b/>
          <w:color w:val="000000"/>
          <w:sz w:val="30"/>
          <w:szCs w:val="30"/>
        </w:rPr>
      </w:pPr>
    </w:p>
    <w:p w14:paraId="318F6910">
      <w:pPr>
        <w:adjustRightInd w:val="0"/>
        <w:snapToGrid w:val="0"/>
        <w:spacing w:line="600" w:lineRule="exact"/>
        <w:ind w:firstLine="643" w:firstLineChars="200"/>
        <w:rPr>
          <w:rFonts w:ascii="黑体" w:hAnsi="宋体" w:eastAsia="黑体"/>
          <w:b/>
          <w:color w:val="000000"/>
          <w:sz w:val="32"/>
          <w:szCs w:val="32"/>
        </w:rPr>
      </w:pPr>
      <w:r>
        <w:rPr>
          <w:rFonts w:hint="eastAsia" w:ascii="黑体" w:hAnsi="宋体" w:eastAsia="黑体"/>
          <w:b/>
          <w:color w:val="000000"/>
          <w:sz w:val="32"/>
          <w:szCs w:val="32"/>
        </w:rPr>
        <w:t>三、董事会审议高送转议案的情况</w:t>
      </w:r>
    </w:p>
    <w:p w14:paraId="12DB93BB">
      <w:pPr>
        <w:adjustRightInd w:val="0"/>
        <w:snapToGrid w:val="0"/>
        <w:spacing w:line="600" w:lineRule="exact"/>
        <w:ind w:firstLine="600" w:firstLineChars="200"/>
        <w:rPr>
          <w:rFonts w:hint="eastAsia" w:ascii="仿宋_GB2312" w:eastAsia="仿宋_GB2312"/>
          <w:sz w:val="30"/>
          <w:szCs w:val="30"/>
        </w:rPr>
      </w:pPr>
      <w:r>
        <w:rPr>
          <w:rFonts w:hint="eastAsia" w:ascii="仿宋_GB2312" w:hAnsi="宋体" w:eastAsia="仿宋_GB2312"/>
          <w:color w:val="000000"/>
          <w:sz w:val="30"/>
          <w:szCs w:val="30"/>
        </w:rPr>
        <w:t>（一）董事会审议高送转议案的表决结果。</w:t>
      </w:r>
      <w:r>
        <w:rPr>
          <w:rFonts w:hint="eastAsia" w:ascii="仿宋_GB2312" w:eastAsia="仿宋_GB2312"/>
          <w:sz w:val="30"/>
          <w:szCs w:val="30"/>
        </w:rPr>
        <w:t>董事反对或弃权的，应当披露反对或弃权理由。</w:t>
      </w:r>
    </w:p>
    <w:p w14:paraId="4A8E2A61">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（二）董事会审议高送转议案时，应当结合公司实际经营业绩情况等因素，审慎评估高送转方案的合理性与可行性，并予以披露。</w:t>
      </w:r>
    </w:p>
    <w:p w14:paraId="04DF6F79">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（三）董事持有公司股份，并在董事会表决通过高送转议案时投赞成票的，应当明确承诺将在股东会审议高送转议案时投票同意该项议案，并予以披露。</w:t>
      </w:r>
    </w:p>
    <w:p w14:paraId="55F58689">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董事会审议通过非控股股东提议高送转事项的，应当同时征询公司控股股东、实际控制人对高送转议案的表决意向，并予以披露。</w:t>
      </w:r>
    </w:p>
    <w:p w14:paraId="0ED92492">
      <w:pPr>
        <w:adjustRightInd w:val="0"/>
        <w:snapToGrid w:val="0"/>
        <w:spacing w:line="600" w:lineRule="exact"/>
        <w:ind w:firstLine="600" w:firstLineChars="200"/>
        <w:rPr>
          <w:rFonts w:ascii="仿宋_GB2312" w:hAnsi="宋体" w:eastAsia="仿宋_GB2312"/>
          <w:color w:val="000000"/>
          <w:sz w:val="30"/>
          <w:szCs w:val="30"/>
        </w:rPr>
      </w:pPr>
    </w:p>
    <w:p w14:paraId="402F896A">
      <w:pPr>
        <w:adjustRightInd w:val="0"/>
        <w:snapToGrid w:val="0"/>
        <w:spacing w:line="600" w:lineRule="exact"/>
        <w:ind w:firstLine="643" w:firstLineChars="200"/>
        <w:rPr>
          <w:rFonts w:ascii="黑体" w:hAnsi="宋体" w:eastAsia="黑体"/>
          <w:b/>
          <w:color w:val="000000"/>
          <w:sz w:val="32"/>
          <w:szCs w:val="32"/>
        </w:rPr>
      </w:pPr>
      <w:r>
        <w:rPr>
          <w:rFonts w:hint="eastAsia" w:ascii="黑体" w:hAnsi="宋体" w:eastAsia="黑体"/>
          <w:b/>
          <w:color w:val="000000"/>
          <w:sz w:val="32"/>
          <w:szCs w:val="32"/>
        </w:rPr>
        <w:t>四、公司董事及提议股东的持股变动情况与增减持计划</w:t>
      </w:r>
    </w:p>
    <w:p w14:paraId="5DDDF97E">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一）公司董事及提议股东在董事会审议高送转事项之前6个月内的持股变动情况，如是否协议买卖公司股份、是否在二级市场增减持公司股份、是否认购公司定向增发股份、是否参与公司员工持股或股权激励计划等。</w:t>
      </w:r>
    </w:p>
    <w:p w14:paraId="43930649">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（二）上市公司披露高送转方案的，应当同时披露向相关股东问询其未来减持计划的具体过程，包括但不限于未来3个月、未来6个月的减持计划情况等，并披露相关股东的回复。</w:t>
      </w:r>
    </w:p>
    <w:p w14:paraId="737F7414">
      <w:pPr>
        <w:adjustRightInd w:val="0"/>
        <w:snapToGrid w:val="0"/>
        <w:spacing w:line="600" w:lineRule="exact"/>
        <w:ind w:firstLine="602" w:firstLineChars="200"/>
        <w:rPr>
          <w:rFonts w:ascii="仿宋_GB2312" w:hAnsi="宋体" w:eastAsia="仿宋_GB2312"/>
          <w:b/>
          <w:color w:val="000000"/>
          <w:sz w:val="30"/>
          <w:szCs w:val="30"/>
        </w:rPr>
      </w:pPr>
    </w:p>
    <w:p w14:paraId="5B46AD9B">
      <w:pPr>
        <w:adjustRightInd w:val="0"/>
        <w:snapToGrid w:val="0"/>
        <w:spacing w:line="600" w:lineRule="exact"/>
        <w:ind w:firstLine="643" w:firstLineChars="200"/>
        <w:rPr>
          <w:rFonts w:ascii="黑体" w:hAnsi="宋体" w:eastAsia="黑体"/>
          <w:b/>
          <w:color w:val="000000"/>
          <w:sz w:val="32"/>
          <w:szCs w:val="32"/>
        </w:rPr>
      </w:pPr>
      <w:r>
        <w:rPr>
          <w:rFonts w:hint="eastAsia" w:ascii="黑体" w:hAnsi="宋体" w:eastAsia="黑体"/>
          <w:b/>
          <w:color w:val="000000"/>
          <w:sz w:val="32"/>
          <w:szCs w:val="32"/>
        </w:rPr>
        <w:t>五、相关风险提示</w:t>
      </w:r>
    </w:p>
    <w:p w14:paraId="36B5221A">
      <w:pPr>
        <w:tabs>
          <w:tab w:val="left" w:pos="4680"/>
        </w:tabs>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（一）董事会应当披露本次提交股东会审议的高送转提案可能被股东会否决的重大风险。</w:t>
      </w:r>
    </w:p>
    <w:p w14:paraId="59316421">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（二）董事会应当披露在审议通过高送转议案前后的6个月内，公司限售股解禁及限售期即将届满的情况。</w:t>
      </w:r>
    </w:p>
    <w:p w14:paraId="1C30B88A">
      <w:pP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（三）董事会应当在公告中明确做出以下风险提示：高送转对公司股东享有的净资产权益及其持股比例不产生实质性影响，请投资者理性判断，并注意相关投资风险。</w:t>
      </w:r>
    </w:p>
    <w:p w14:paraId="612073E4">
      <w:pPr>
        <w:adjustRightInd w:val="0"/>
        <w:snapToGrid w:val="0"/>
        <w:spacing w:line="600" w:lineRule="exact"/>
        <w:ind w:firstLine="600" w:firstLineChars="200"/>
        <w:rPr>
          <w:rFonts w:ascii="仿宋_GB2312" w:hAnsi="宋体" w:eastAsia="仿宋_GB2312"/>
          <w:color w:val="000000"/>
          <w:sz w:val="30"/>
          <w:szCs w:val="30"/>
        </w:rPr>
      </w:pPr>
    </w:p>
    <w:p w14:paraId="1FC154D8">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特此公告。</w:t>
      </w:r>
    </w:p>
    <w:p w14:paraId="226EA818">
      <w:pPr>
        <w:adjustRightInd w:val="0"/>
        <w:snapToGrid w:val="0"/>
        <w:spacing w:line="600" w:lineRule="exact"/>
        <w:ind w:firstLine="600" w:firstLineChars="200"/>
        <w:jc w:val="right"/>
        <w:rPr>
          <w:rFonts w:ascii="仿宋_GB2312" w:hAnsi="宋体" w:eastAsia="仿宋_GB2312"/>
          <w:color w:val="000000"/>
          <w:sz w:val="30"/>
          <w:szCs w:val="30"/>
        </w:rPr>
      </w:pPr>
      <w:r>
        <w:rPr>
          <w:rFonts w:hint="eastAsia" w:ascii="仿宋_GB2312" w:hAnsi="宋体" w:eastAsia="仿宋_GB2312" w:cs="宋体"/>
          <w:color w:val="000000"/>
          <w:kern w:val="0"/>
          <w:sz w:val="30"/>
          <w:szCs w:val="30"/>
        </w:rPr>
        <w:t>XXXX</w:t>
      </w:r>
      <w:r>
        <w:rPr>
          <w:rFonts w:hint="eastAsia" w:ascii="仿宋_GB2312" w:hAnsi="宋体" w:eastAsia="仿宋_GB2312"/>
          <w:color w:val="000000"/>
          <w:sz w:val="30"/>
          <w:szCs w:val="30"/>
        </w:rPr>
        <w:t>股份有限公司董事会</w:t>
      </w:r>
    </w:p>
    <w:p w14:paraId="01964EFA">
      <w:pPr>
        <w:adjustRightInd w:val="0"/>
        <w:snapToGrid w:val="0"/>
        <w:spacing w:line="60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年  月  日</w:t>
      </w:r>
    </w:p>
    <w:p w14:paraId="1170CA75">
      <w:pPr>
        <w:adjustRightInd w:val="0"/>
        <w:snapToGrid w:val="0"/>
        <w:spacing w:line="600" w:lineRule="exact"/>
        <w:ind w:firstLine="600" w:firstLineChars="200"/>
        <w:jc w:val="right"/>
        <w:rPr>
          <w:rFonts w:ascii="仿宋_GB2312" w:hAnsi="宋体" w:eastAsia="仿宋_GB2312"/>
          <w:color w:val="000000"/>
          <w:sz w:val="30"/>
          <w:szCs w:val="30"/>
        </w:rPr>
      </w:pPr>
    </w:p>
    <w:p w14:paraId="02CB9918">
      <w:pPr>
        <w:pStyle w:val="17"/>
        <w:numPr>
          <w:ilvl w:val="0"/>
          <w:numId w:val="2"/>
        </w:numPr>
        <w:spacing w:line="600" w:lineRule="exact"/>
        <w:ind w:left="0" w:firstLine="602"/>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14:paraId="290389BC">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（一）股东提议高送转的书面文件（如适用）</w:t>
      </w:r>
    </w:p>
    <w:p w14:paraId="08F6773D">
      <w:pPr>
        <w:adjustRightInd w:val="0"/>
        <w:snapToGrid w:val="0"/>
        <w:spacing w:line="600" w:lineRule="exact"/>
        <w:ind w:firstLine="600" w:firstLineChars="200"/>
        <w:rPr>
          <w:rFonts w:ascii="仿宋_GB2312" w:hAnsi="宋体" w:eastAsia="仿宋_GB2312"/>
          <w:b/>
          <w:color w:val="000000"/>
          <w:sz w:val="30"/>
          <w:szCs w:val="30"/>
        </w:rPr>
      </w:pPr>
      <w:r>
        <w:rPr>
          <w:rFonts w:hint="eastAsia" w:ascii="仿宋_GB2312" w:hAnsi="宋体" w:eastAsia="仿宋_GB2312"/>
          <w:color w:val="000000"/>
          <w:sz w:val="30"/>
          <w:szCs w:val="30"/>
        </w:rPr>
        <w:t>（二）股东关于承诺事项、持股变动情况与增减持计划的书面文件（如适用）</w:t>
      </w:r>
    </w:p>
    <w:p w14:paraId="2CC86072">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（三）关于控股股东、实际控制人表决意向的书面文件（如适用）</w:t>
      </w:r>
    </w:p>
    <w:p w14:paraId="0FF00D41">
      <w:pPr>
        <w:adjustRightInd w:val="0"/>
        <w:snapToGrid w:val="0"/>
        <w:spacing w:line="600" w:lineRule="exact"/>
        <w:ind w:firstLine="600" w:firstLineChars="200"/>
        <w:rPr>
          <w:rFonts w:ascii="仿宋_GB2312" w:hAnsi="宋体" w:eastAsia="仿宋_GB2312"/>
          <w:color w:val="000000"/>
          <w:sz w:val="30"/>
          <w:szCs w:val="30"/>
        </w:rPr>
      </w:pPr>
    </w:p>
    <w:p w14:paraId="0B8CC378">
      <w:pPr>
        <w:pStyle w:val="17"/>
        <w:numPr>
          <w:ilvl w:val="0"/>
          <w:numId w:val="2"/>
        </w:numPr>
        <w:spacing w:line="600" w:lineRule="exact"/>
        <w:ind w:left="0" w:firstLine="602"/>
        <w:rPr>
          <w:rFonts w:ascii="仿宋_GB2312" w:hAnsi="宋体" w:eastAsia="仿宋_GB2312"/>
          <w:b/>
          <w:color w:val="000000"/>
          <w:sz w:val="30"/>
          <w:szCs w:val="30"/>
        </w:rPr>
      </w:pPr>
      <w:r>
        <w:rPr>
          <w:rFonts w:hint="eastAsia" w:ascii="仿宋_GB2312" w:hAnsi="宋体" w:eastAsia="仿宋_GB2312"/>
          <w:b/>
          <w:color w:val="000000"/>
          <w:sz w:val="30"/>
          <w:szCs w:val="30"/>
        </w:rPr>
        <w:t>注意事项</w:t>
      </w:r>
    </w:p>
    <w:p w14:paraId="53CD4E6E">
      <w:pPr>
        <w:spacing w:line="600" w:lineRule="exact"/>
        <w:ind w:firstLine="600" w:firstLineChars="200"/>
        <w:rPr>
          <w:rFonts w:ascii="仿宋_GB2312" w:hAnsi="宋体" w:eastAsia="仿宋_GB2312"/>
          <w:kern w:val="0"/>
          <w:sz w:val="30"/>
          <w:szCs w:val="30"/>
        </w:rPr>
      </w:pPr>
      <w:r>
        <w:rPr>
          <w:rFonts w:hint="eastAsia" w:ascii="仿宋_GB2312" w:hAnsi="宋体" w:eastAsia="仿宋_GB2312"/>
          <w:color w:val="000000"/>
          <w:sz w:val="30"/>
          <w:szCs w:val="30"/>
        </w:rPr>
        <w:t>（一）</w:t>
      </w:r>
      <w:r>
        <w:rPr>
          <w:rFonts w:hint="eastAsia" w:ascii="仿宋_GB2312" w:hAnsi="宋体" w:eastAsia="仿宋_GB2312"/>
          <w:kern w:val="0"/>
          <w:sz w:val="30"/>
          <w:szCs w:val="30"/>
        </w:rPr>
        <w:t>上市公司披露高送转方案时，尚未披露本期业绩预告或业绩快报的，应当同时披露业绩预告或业绩快报。</w:t>
      </w:r>
    </w:p>
    <w:p w14:paraId="51584584">
      <w:pPr>
        <w:spacing w:line="600" w:lineRule="exact"/>
        <w:ind w:firstLine="600" w:firstLineChars="200"/>
        <w:rPr>
          <w:rFonts w:ascii="仿宋_GB2312" w:hAnsi="宋体" w:eastAsia="仿宋_GB2312"/>
          <w:kern w:val="0"/>
          <w:sz w:val="30"/>
          <w:szCs w:val="30"/>
        </w:rPr>
      </w:pPr>
      <w:r>
        <w:rPr>
          <w:rFonts w:hint="eastAsia" w:ascii="仿宋_GB2312" w:hAnsi="宋体" w:eastAsia="仿宋_GB2312"/>
          <w:kern w:val="0"/>
          <w:sz w:val="30"/>
          <w:szCs w:val="30"/>
        </w:rPr>
        <w:t>（二）上市公司董事会或股东筹划高送转方案的，应当严格履行保密义务，及时登记并向本所报送内幕信息知情人。</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46D9E">
    <w:pPr>
      <w:pStyle w:val="5"/>
      <w:jc w:val="center"/>
      <w:rPr>
        <w:rFonts w:eastAsia="仿宋_GB2312"/>
        <w:sz w:val="21"/>
        <w:szCs w:val="21"/>
      </w:rPr>
    </w:pPr>
    <w:r>
      <w:rPr>
        <w:rFonts w:eastAsia="仿宋_GB2312"/>
        <w:sz w:val="21"/>
        <w:szCs w:val="21"/>
      </w:rPr>
      <w:fldChar w:fldCharType="begin"/>
    </w:r>
    <w:r>
      <w:rPr>
        <w:rFonts w:eastAsia="仿宋_GB2312"/>
        <w:sz w:val="21"/>
        <w:szCs w:val="21"/>
      </w:rPr>
      <w:instrText xml:space="preserve"> PAGE   \* MERGEFORMAT </w:instrText>
    </w:r>
    <w:r>
      <w:rPr>
        <w:rFonts w:eastAsia="仿宋_GB2312"/>
        <w:sz w:val="21"/>
        <w:szCs w:val="21"/>
      </w:rPr>
      <w:fldChar w:fldCharType="separate"/>
    </w:r>
    <w:r>
      <w:rPr>
        <w:rFonts w:eastAsia="仿宋_GB2312"/>
        <w:sz w:val="21"/>
        <w:szCs w:val="21"/>
        <w:lang w:val="zh-CN"/>
      </w:rPr>
      <w:t>1</w:t>
    </w:r>
    <w:r>
      <w:rPr>
        <w:rFonts w:eastAsia="仿宋_GB2312"/>
        <w:sz w:val="21"/>
        <w:szCs w:val="21"/>
      </w:rPr>
      <w:fldChar w:fldCharType="end"/>
    </w:r>
  </w:p>
  <w:p w14:paraId="45CE8D3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F3A0C"/>
    <w:multiLevelType w:val="multilevel"/>
    <w:tmpl w:val="184F3A0C"/>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3286009"/>
    <w:multiLevelType w:val="multilevel"/>
    <w:tmpl w:val="23286009"/>
    <w:lvl w:ilvl="0" w:tentative="0">
      <w:start w:val="0"/>
      <w:numFmt w:val="bullet"/>
      <w:lvlText w:val=""/>
      <w:lvlJc w:val="left"/>
      <w:pPr>
        <w:tabs>
          <w:tab w:val="left" w:pos="1318"/>
        </w:tabs>
        <w:ind w:left="1318" w:hanging="780"/>
      </w:pPr>
      <w:rPr>
        <w:rFonts w:hint="default" w:ascii="Wingdings" w:hAnsi="Wingdings" w:eastAsia="仿宋_GB2312" w:cs="Times New Roman"/>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bullet"/>
      <w:lvlText w:val=""/>
      <w:lvlJc w:val="left"/>
      <w:pPr>
        <w:tabs>
          <w:tab w:val="left" w:pos="2218"/>
        </w:tabs>
        <w:ind w:left="2218" w:hanging="420"/>
      </w:pPr>
      <w:rPr>
        <w:rFonts w:hint="default" w:ascii="Wingdings" w:hAnsi="Wingdings"/>
        <w:b w:val="0"/>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0"/>
    </w:lvlOverride>
    <w:lvlOverride w:ilvl="1">
      <w:startOverride w:val="1"/>
    </w:lvlOverride>
    <w:lvlOverride w:ilvl="2">
      <w:startOverride w:val="1"/>
    </w:lvlOverride>
    <w:lvlOverride w:ilvl="3">
      <w:startOverride w:val="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B52"/>
    <w:rsid w:val="00057F50"/>
    <w:rsid w:val="00061C0D"/>
    <w:rsid w:val="0008432D"/>
    <w:rsid w:val="0009256C"/>
    <w:rsid w:val="00096396"/>
    <w:rsid w:val="000D0F08"/>
    <w:rsid w:val="00106101"/>
    <w:rsid w:val="00165659"/>
    <w:rsid w:val="0017138E"/>
    <w:rsid w:val="00181B52"/>
    <w:rsid w:val="0019018D"/>
    <w:rsid w:val="001A20B8"/>
    <w:rsid w:val="001C1630"/>
    <w:rsid w:val="001D2DE0"/>
    <w:rsid w:val="001E1D29"/>
    <w:rsid w:val="001F5C12"/>
    <w:rsid w:val="001F78AF"/>
    <w:rsid w:val="00202D6B"/>
    <w:rsid w:val="002034B1"/>
    <w:rsid w:val="00204399"/>
    <w:rsid w:val="0022234F"/>
    <w:rsid w:val="002264FD"/>
    <w:rsid w:val="00227691"/>
    <w:rsid w:val="00253993"/>
    <w:rsid w:val="00257C9E"/>
    <w:rsid w:val="003204FE"/>
    <w:rsid w:val="00324CB3"/>
    <w:rsid w:val="0033061C"/>
    <w:rsid w:val="00334F19"/>
    <w:rsid w:val="00351145"/>
    <w:rsid w:val="003A0471"/>
    <w:rsid w:val="003C3715"/>
    <w:rsid w:val="003E3835"/>
    <w:rsid w:val="003F325A"/>
    <w:rsid w:val="004C7456"/>
    <w:rsid w:val="004E6FD9"/>
    <w:rsid w:val="00527A5E"/>
    <w:rsid w:val="005363F3"/>
    <w:rsid w:val="005378BF"/>
    <w:rsid w:val="005767F5"/>
    <w:rsid w:val="00587E58"/>
    <w:rsid w:val="005A5987"/>
    <w:rsid w:val="005B18E5"/>
    <w:rsid w:val="005E07D0"/>
    <w:rsid w:val="006173A4"/>
    <w:rsid w:val="00643070"/>
    <w:rsid w:val="0064395C"/>
    <w:rsid w:val="006D13A5"/>
    <w:rsid w:val="00811E5C"/>
    <w:rsid w:val="00844C8A"/>
    <w:rsid w:val="0087074E"/>
    <w:rsid w:val="008777CA"/>
    <w:rsid w:val="008D0455"/>
    <w:rsid w:val="008D0C3C"/>
    <w:rsid w:val="008F01D3"/>
    <w:rsid w:val="008F0FC6"/>
    <w:rsid w:val="008F7648"/>
    <w:rsid w:val="0091537A"/>
    <w:rsid w:val="00924D36"/>
    <w:rsid w:val="00934065"/>
    <w:rsid w:val="009568EF"/>
    <w:rsid w:val="00970576"/>
    <w:rsid w:val="00A06EB8"/>
    <w:rsid w:val="00A62D7C"/>
    <w:rsid w:val="00A66E22"/>
    <w:rsid w:val="00A7426C"/>
    <w:rsid w:val="00B13417"/>
    <w:rsid w:val="00B31AE0"/>
    <w:rsid w:val="00B53A7C"/>
    <w:rsid w:val="00B943E0"/>
    <w:rsid w:val="00BE155D"/>
    <w:rsid w:val="00C212A1"/>
    <w:rsid w:val="00C45F4B"/>
    <w:rsid w:val="00C67F84"/>
    <w:rsid w:val="00C86732"/>
    <w:rsid w:val="00CA3A53"/>
    <w:rsid w:val="00CD011C"/>
    <w:rsid w:val="00CE3936"/>
    <w:rsid w:val="00CE4FD4"/>
    <w:rsid w:val="00D0401B"/>
    <w:rsid w:val="00D15FB4"/>
    <w:rsid w:val="00D61F51"/>
    <w:rsid w:val="00D74A50"/>
    <w:rsid w:val="00D83F72"/>
    <w:rsid w:val="00DA0DEB"/>
    <w:rsid w:val="00DA0FF7"/>
    <w:rsid w:val="00E209C3"/>
    <w:rsid w:val="00E320A0"/>
    <w:rsid w:val="00E424DB"/>
    <w:rsid w:val="00E45E07"/>
    <w:rsid w:val="00E54151"/>
    <w:rsid w:val="00E8290A"/>
    <w:rsid w:val="00EE3DFA"/>
    <w:rsid w:val="00F24687"/>
    <w:rsid w:val="00F618A9"/>
    <w:rsid w:val="00F858E6"/>
    <w:rsid w:val="00F9667D"/>
    <w:rsid w:val="19530EF0"/>
    <w:rsid w:val="4F623623"/>
    <w:rsid w:val="7A3F63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Document Map"/>
    <w:basedOn w:val="1"/>
    <w:link w:val="11"/>
    <w:unhideWhenUsed/>
    <w:uiPriority w:val="99"/>
    <w:rPr>
      <w:rFonts w:ascii="宋体"/>
      <w:sz w:val="18"/>
      <w:szCs w:val="18"/>
    </w:rPr>
  </w:style>
  <w:style w:type="paragraph" w:styleId="3">
    <w:name w:val="annotation text"/>
    <w:basedOn w:val="1"/>
    <w:link w:val="12"/>
    <w:unhideWhenUsed/>
    <w:uiPriority w:val="99"/>
    <w:pPr>
      <w:jc w:val="left"/>
    </w:pPr>
  </w:style>
  <w:style w:type="paragraph" w:styleId="4">
    <w:name w:val="Balloon Text"/>
    <w:basedOn w:val="1"/>
    <w:link w:val="13"/>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unhideWhenUsed/>
    <w:uiPriority w:val="99"/>
    <w:rPr>
      <w:b/>
      <w:bCs/>
    </w:rPr>
  </w:style>
  <w:style w:type="character" w:styleId="10">
    <w:name w:val="annotation reference"/>
    <w:unhideWhenUsed/>
    <w:uiPriority w:val="99"/>
    <w:rPr>
      <w:sz w:val="21"/>
      <w:szCs w:val="21"/>
    </w:rPr>
  </w:style>
  <w:style w:type="character" w:customStyle="1" w:styleId="11">
    <w:name w:val="文档结构图 Char"/>
    <w:link w:val="2"/>
    <w:semiHidden/>
    <w:uiPriority w:val="99"/>
    <w:rPr>
      <w:rFonts w:ascii="宋体" w:hAnsi="Times New Roman"/>
      <w:kern w:val="2"/>
      <w:sz w:val="18"/>
      <w:szCs w:val="18"/>
    </w:rPr>
  </w:style>
  <w:style w:type="character" w:customStyle="1" w:styleId="12">
    <w:name w:val="批注文字 Char"/>
    <w:link w:val="3"/>
    <w:semiHidden/>
    <w:uiPriority w:val="99"/>
    <w:rPr>
      <w:rFonts w:ascii="Times New Roman" w:hAnsi="Times New Roman" w:eastAsia="宋体" w:cs="Times New Roman"/>
      <w:szCs w:val="20"/>
    </w:rPr>
  </w:style>
  <w:style w:type="character" w:customStyle="1" w:styleId="13">
    <w:name w:val="批注框文本 Char"/>
    <w:link w:val="4"/>
    <w:semiHidden/>
    <w:uiPriority w:val="99"/>
    <w:rPr>
      <w:rFonts w:ascii="Times New Roman" w:hAnsi="Times New Roman" w:eastAsia="宋体" w:cs="Times New Roman"/>
      <w:sz w:val="18"/>
      <w:szCs w:val="18"/>
    </w:rPr>
  </w:style>
  <w:style w:type="character" w:customStyle="1" w:styleId="14">
    <w:name w:val="页脚 Char"/>
    <w:link w:val="5"/>
    <w:uiPriority w:val="99"/>
    <w:rPr>
      <w:rFonts w:ascii="Times New Roman" w:hAnsi="Times New Roman" w:eastAsia="宋体" w:cs="Times New Roman"/>
      <w:sz w:val="18"/>
      <w:szCs w:val="18"/>
    </w:rPr>
  </w:style>
  <w:style w:type="character" w:customStyle="1" w:styleId="15">
    <w:name w:val="页眉 Char"/>
    <w:link w:val="6"/>
    <w:uiPriority w:val="99"/>
    <w:rPr>
      <w:rFonts w:ascii="Times New Roman" w:hAnsi="Times New Roman" w:eastAsia="宋体" w:cs="Times New Roman"/>
      <w:sz w:val="18"/>
      <w:szCs w:val="18"/>
    </w:rPr>
  </w:style>
  <w:style w:type="character" w:customStyle="1" w:styleId="16">
    <w:name w:val="批注主题 Char"/>
    <w:link w:val="7"/>
    <w:semiHidden/>
    <w:uiPriority w:val="99"/>
    <w:rPr>
      <w:rFonts w:ascii="Times New Roman" w:hAnsi="Times New Roman" w:eastAsia="宋体" w:cs="Times New Roman"/>
      <w:b/>
      <w:bCs/>
      <w:szCs w:val="20"/>
    </w:rPr>
  </w:style>
  <w:style w:type="paragraph" w:styleId="17">
    <w:name w:val="List Paragraph"/>
    <w:basedOn w:val="1"/>
    <w:qFormat/>
    <w:uiPriority w:val="0"/>
    <w:pPr>
      <w:ind w:firstLine="420" w:firstLineChars="200"/>
    </w:pPr>
    <w:rPr>
      <w:szCs w:val="24"/>
    </w:rPr>
  </w:style>
  <w:style w:type="paragraph" w:styleId="18">
    <w:name w:val=""/>
    <w:semiHidden/>
    <w:uiPriority w:val="99"/>
    <w:rPr>
      <w:rFonts w:ascii="Times New Roman" w:hAnsi="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250</Words>
  <Characters>1426</Characters>
  <Lines>11</Lines>
  <Paragraphs>3</Paragraphs>
  <TotalTime>1</TotalTime>
  <ScaleCrop>false</ScaleCrop>
  <LinksUpToDate>false</LinksUpToDate>
  <CharactersWithSpaces>1673</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2023-06-27T03:09:00Z</dcterms:created>
  <dc:creator>shytan</dc:creator>
  <cp:lastModifiedBy>黄文怡</cp:lastModifiedBy>
  <cp:lastPrinted>2019-04-01T01:28:00Z</cp:lastPrinted>
  <dcterms:modified xsi:type="dcterms:W3CDTF">2025-04-25T09:41:08Z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A58D05E8FBDE47A0A3884602AB9C8941_13</vt:lpwstr>
  </property>
</Properties>
</file>