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2AF286">
      <w:pPr>
        <w:pStyle w:val="2"/>
        <w:spacing w:before="0" w:after="0" w:line="600" w:lineRule="exact"/>
        <w:jc w:val="center"/>
        <w:rPr>
          <w:rFonts w:ascii="黑体" w:hAnsi="黑体" w:eastAsia="黑体"/>
          <w:sz w:val="36"/>
          <w:szCs w:val="36"/>
        </w:rPr>
      </w:pPr>
      <w:r>
        <w:rPr>
          <w:rFonts w:hint="eastAsia" w:ascii="黑体" w:hAnsi="黑体" w:eastAsia="黑体"/>
          <w:sz w:val="36"/>
          <w:szCs w:val="36"/>
        </w:rPr>
        <w:t>第八号 科创板上市公司开展新业务公告</w:t>
      </w:r>
    </w:p>
    <w:p w14:paraId="6CF6447A">
      <w:pPr>
        <w:adjustRightInd w:val="0"/>
        <w:snapToGrid w:val="0"/>
        <w:spacing w:line="600" w:lineRule="exact"/>
        <w:rPr>
          <w:rFonts w:ascii="仿宋_GB2312" w:eastAsia="仿宋_GB2312"/>
          <w:sz w:val="30"/>
          <w:szCs w:val="30"/>
        </w:rPr>
      </w:pPr>
    </w:p>
    <w:p w14:paraId="2E72837C">
      <w:pPr>
        <w:adjustRightInd w:val="0"/>
        <w:snapToGrid w:val="0"/>
        <w:spacing w:line="600" w:lineRule="exact"/>
        <w:rPr>
          <w:rFonts w:ascii="仿宋_GB2312" w:hAnsi="宋体" w:eastAsia="仿宋_GB2312"/>
          <w:b/>
          <w:sz w:val="30"/>
          <w:szCs w:val="30"/>
        </w:rPr>
      </w:pPr>
      <w:r>
        <w:rPr>
          <w:rFonts w:hint="eastAsia" w:ascii="仿宋_GB2312" w:hAnsi="宋体" w:eastAsia="仿宋_GB2312"/>
          <w:b/>
          <w:sz w:val="30"/>
          <w:szCs w:val="30"/>
        </w:rPr>
        <w:t>适用情形：</w:t>
      </w:r>
    </w:p>
    <w:p w14:paraId="690705F5">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1.科创板上市公司（以下简称上市公司）开展与主营业务行业不同的新业务，或者进行可能导致公司业务发生重大变化的收购或处置资产等交易，适</w:t>
      </w:r>
      <w:bookmarkStart w:id="0" w:name="_GoBack"/>
      <w:bookmarkEnd w:id="0"/>
      <w:r>
        <w:rPr>
          <w:rFonts w:hint="eastAsia" w:ascii="仿宋_GB2312" w:hAnsi="宋体" w:eastAsia="仿宋_GB2312"/>
          <w:sz w:val="30"/>
          <w:szCs w:val="30"/>
        </w:rPr>
        <w:t>用本公告格式指引。</w:t>
      </w:r>
    </w:p>
    <w:p w14:paraId="204169BB">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2.上市公司开展新业务涉及收购资产、对外投资等，达到《上海证券交易所科创板股票上市规则》规定披露标准的，适用相关公告格式指引，同时参照适用本公告格式指引。</w:t>
      </w:r>
    </w:p>
    <w:p w14:paraId="2A23F613">
      <w:pPr>
        <w:adjustRightInd w:val="0"/>
        <w:snapToGrid w:val="0"/>
        <w:spacing w:line="600" w:lineRule="exact"/>
        <w:ind w:firstLine="200"/>
        <w:rPr>
          <w:rFonts w:ascii="仿宋_GB2312" w:hAnsi="宋体" w:eastAsia="仿宋_GB2312"/>
          <w:sz w:val="30"/>
          <w:szCs w:val="30"/>
        </w:rPr>
      </w:pPr>
    </w:p>
    <w:p w14:paraId="5A4EE55A">
      <w:pPr>
        <w:adjustRightInd w:val="0"/>
        <w:snapToGrid w:val="0"/>
        <w:spacing w:line="600" w:lineRule="exact"/>
        <w:rPr>
          <w:rFonts w:ascii="仿宋_GB2312" w:eastAsia="仿宋_GB2312"/>
          <w:sz w:val="30"/>
          <w:szCs w:val="30"/>
        </w:rPr>
      </w:pPr>
      <w:r>
        <w:rPr>
          <w:rFonts w:hint="eastAsia" w:ascii="仿宋_GB2312" w:hAnsi="宋体" w:eastAsia="仿宋_GB2312"/>
          <w:sz w:val="30"/>
          <w:szCs w:val="30"/>
        </w:rPr>
        <w:t>证券代码：            证券简称：             公告编号：</w:t>
      </w:r>
    </w:p>
    <w:p w14:paraId="25CC5FAF">
      <w:pPr>
        <w:adjustRightInd w:val="0"/>
        <w:snapToGrid w:val="0"/>
        <w:spacing w:line="600" w:lineRule="exact"/>
        <w:rPr>
          <w:rFonts w:ascii="仿宋_GB2312" w:eastAsia="仿宋_GB2312"/>
          <w:sz w:val="30"/>
          <w:szCs w:val="30"/>
        </w:rPr>
      </w:pPr>
    </w:p>
    <w:p w14:paraId="64A4A7D4">
      <w:pPr>
        <w:spacing w:line="600" w:lineRule="exact"/>
        <w:jc w:val="center"/>
        <w:rPr>
          <w:rFonts w:hint="eastAsia" w:ascii="仿宋_GB2312" w:hAnsi="宋体" w:eastAsia="仿宋_GB2312"/>
          <w:bCs/>
          <w:sz w:val="30"/>
          <w:szCs w:val="30"/>
        </w:rPr>
      </w:pPr>
      <w:r>
        <w:rPr>
          <w:rFonts w:hint="eastAsia" w:ascii="仿宋_GB2312" w:hAnsi="宋体" w:eastAsia="仿宋_GB2312"/>
          <w:bCs/>
          <w:sz w:val="30"/>
          <w:szCs w:val="30"/>
        </w:rPr>
        <w:t>XXXX股份有限公司开展新业务公告</w:t>
      </w:r>
    </w:p>
    <w:p w14:paraId="70F7492A">
      <w:pPr>
        <w:spacing w:line="600" w:lineRule="exact"/>
        <w:jc w:val="center"/>
        <w:rPr>
          <w:rFonts w:ascii="仿宋_GB2312" w:hAnsi="宋体" w:eastAsia="仿宋_GB2312"/>
          <w:bCs/>
          <w:sz w:val="30"/>
          <w:szCs w:val="30"/>
        </w:rPr>
      </w:pPr>
    </w:p>
    <w:p w14:paraId="1318D75E">
      <w:pPr>
        <w:pBdr>
          <w:top w:val="single" w:color="auto" w:sz="4" w:space="1"/>
          <w:left w:val="single" w:color="auto" w:sz="4" w:space="4"/>
          <w:bottom w:val="single" w:color="auto" w:sz="4" w:space="0"/>
          <w:right w:val="single" w:color="auto" w:sz="4" w:space="4"/>
        </w:pBdr>
        <w:adjustRightInd w:val="0"/>
        <w:snapToGrid w:val="0"/>
        <w:spacing w:line="60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本公司董事会及全体董事保证本公告内容不存在任何虚假记载、误导性陈述或者重大遗漏，并对其内容的真实性、准确性和完整性依法承担法律责任。</w:t>
      </w:r>
    </w:p>
    <w:p w14:paraId="50A2CC71">
      <w:pPr>
        <w:pBdr>
          <w:top w:val="single" w:color="auto" w:sz="4" w:space="1"/>
          <w:left w:val="single" w:color="auto" w:sz="4" w:space="4"/>
          <w:bottom w:val="single" w:color="auto" w:sz="4" w:space="0"/>
          <w:right w:val="single" w:color="auto" w:sz="4" w:space="4"/>
        </w:pBdr>
        <w:adjustRightInd w:val="0"/>
        <w:snapToGrid w:val="0"/>
        <w:spacing w:line="60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如有董事对临时公告内容的真实性、准确性和完整性无法保证或存在异议的，公司应当在公告中作特别提示。</w:t>
      </w:r>
    </w:p>
    <w:p w14:paraId="7A46E367">
      <w:pPr>
        <w:adjustRightInd w:val="0"/>
        <w:snapToGrid w:val="0"/>
        <w:spacing w:line="600" w:lineRule="exact"/>
        <w:ind w:firstLine="600" w:firstLineChars="200"/>
        <w:rPr>
          <w:rFonts w:ascii="仿宋_GB2312" w:eastAsia="仿宋_GB2312"/>
          <w:sz w:val="30"/>
          <w:szCs w:val="30"/>
        </w:rPr>
      </w:pPr>
    </w:p>
    <w:p w14:paraId="5578F2D7">
      <w:pPr>
        <w:adjustRightInd w:val="0"/>
        <w:snapToGrid w:val="0"/>
        <w:spacing w:line="600" w:lineRule="exact"/>
        <w:ind w:firstLine="602" w:firstLineChars="200"/>
        <w:rPr>
          <w:rFonts w:ascii="仿宋_GB2312" w:eastAsia="仿宋_GB2312"/>
          <w:b/>
          <w:sz w:val="30"/>
          <w:szCs w:val="30"/>
        </w:rPr>
      </w:pPr>
      <w:r>
        <w:rPr>
          <w:rFonts w:hint="eastAsia" w:ascii="仿宋_GB2312" w:hAnsi="宋体" w:eastAsia="仿宋_GB2312"/>
          <w:b/>
          <w:sz w:val="30"/>
          <w:szCs w:val="30"/>
        </w:rPr>
        <w:t>重要内容提示：</w:t>
      </w:r>
    </w:p>
    <w:p w14:paraId="499C1785">
      <w:pPr>
        <w:numPr>
          <w:ilvl w:val="0"/>
          <w:numId w:val="1"/>
        </w:numPr>
        <w:adjustRightInd w:val="0"/>
        <w:snapToGrid w:val="0"/>
        <w:spacing w:line="600" w:lineRule="exact"/>
        <w:ind w:left="0" w:firstLine="600" w:firstLineChars="200"/>
        <w:rPr>
          <w:rFonts w:ascii="仿宋_GB2312" w:eastAsia="仿宋_GB2312"/>
          <w:sz w:val="30"/>
          <w:szCs w:val="30"/>
        </w:rPr>
      </w:pPr>
      <w:r>
        <w:rPr>
          <w:rFonts w:hint="eastAsia" w:ascii="仿宋_GB2312" w:eastAsia="仿宋_GB2312"/>
          <w:sz w:val="30"/>
          <w:szCs w:val="30"/>
        </w:rPr>
        <w:t>开展新业务的风险及不确定性</w:t>
      </w:r>
    </w:p>
    <w:p w14:paraId="72F852AE">
      <w:pPr>
        <w:adjustRightInd w:val="0"/>
        <w:snapToGrid w:val="0"/>
        <w:spacing w:line="600" w:lineRule="exact"/>
        <w:rPr>
          <w:rFonts w:ascii="仿宋_GB2312" w:eastAsia="仿宋_GB2312"/>
          <w:sz w:val="30"/>
          <w:szCs w:val="30"/>
        </w:rPr>
      </w:pPr>
    </w:p>
    <w:p w14:paraId="38FD45B1">
      <w:pPr>
        <w:adjustRightInd w:val="0"/>
        <w:snapToGrid w:val="0"/>
        <w:spacing w:line="600" w:lineRule="exact"/>
        <w:ind w:firstLine="643" w:firstLineChars="200"/>
        <w:rPr>
          <w:rFonts w:ascii="黑体" w:hAnsi="黑体" w:eastAsia="黑体"/>
          <w:b/>
          <w:sz w:val="32"/>
          <w:szCs w:val="32"/>
        </w:rPr>
      </w:pPr>
      <w:r>
        <w:rPr>
          <w:rFonts w:hint="eastAsia" w:ascii="黑体" w:hAnsi="黑体" w:eastAsia="黑体"/>
          <w:b/>
          <w:sz w:val="32"/>
          <w:szCs w:val="32"/>
        </w:rPr>
        <w:t>一、新业务基本情况</w:t>
      </w:r>
    </w:p>
    <w:p w14:paraId="731167BE">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（一）新业务的类型，新业务涉及交易对方或交易标的的，还应当披露相关情况，包括名称、</w:t>
      </w:r>
      <w:r>
        <w:rPr>
          <w:rFonts w:hint="eastAsia" w:ascii="仿宋_GB2312" w:hAnsi="宋体" w:eastAsia="仿宋_GB2312"/>
          <w:sz w:val="30"/>
          <w:szCs w:val="30"/>
        </w:rPr>
        <w:t>性质、法定代表人、注册资本、</w:t>
      </w:r>
      <w:r>
        <w:rPr>
          <w:rFonts w:hint="eastAsia" w:ascii="仿宋_GB2312" w:eastAsia="仿宋_GB2312"/>
          <w:sz w:val="30"/>
          <w:szCs w:val="30"/>
        </w:rPr>
        <w:t>主营业务、</w:t>
      </w:r>
      <w:r>
        <w:rPr>
          <w:rFonts w:hint="eastAsia" w:ascii="仿宋_GB2312" w:hAnsi="宋体" w:eastAsia="仿宋_GB2312"/>
          <w:sz w:val="30"/>
          <w:szCs w:val="30"/>
        </w:rPr>
        <w:t>主要股东或实际控制人、最近一个会计年度的主要财务数据（总资产、净资产、营业收入、净利润）等。</w:t>
      </w:r>
    </w:p>
    <w:p w14:paraId="78473405">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（二）新业务的行业情况，包括所依赖的技术水平、研发进展、商业化情况、市场成熟度、政策环境及市场竞争等。</w:t>
      </w:r>
    </w:p>
    <w:p w14:paraId="76F5B9C4">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（三）新业务的管理情况，包括开展新业务后，公司实际控制人对公司的控制情况是否发生变化，公司能否控制新业务。</w:t>
      </w:r>
    </w:p>
    <w:p w14:paraId="1A2DC092">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（四）审议程序情况，开展新业务提交董事会审议的，应当披露董事会的审议情况，董事反对或弃权的，应当披露反对或弃权理由。</w:t>
      </w:r>
    </w:p>
    <w:p w14:paraId="235C3CEF">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（五）新业务审批情况，包括已经取得或者尚待有关部门审批的说明（如适用）。</w:t>
      </w:r>
    </w:p>
    <w:p w14:paraId="1C42E07B">
      <w:pPr>
        <w:adjustRightInd w:val="0"/>
        <w:snapToGrid w:val="0"/>
        <w:spacing w:line="600" w:lineRule="exact"/>
        <w:ind w:firstLine="600" w:firstLineChars="200"/>
        <w:rPr>
          <w:rFonts w:ascii="仿宋_GB2312" w:eastAsia="仿宋_GB2312"/>
          <w:sz w:val="30"/>
          <w:szCs w:val="30"/>
        </w:rPr>
      </w:pPr>
    </w:p>
    <w:p w14:paraId="14908DB1">
      <w:pPr>
        <w:adjustRightInd w:val="0"/>
        <w:snapToGrid w:val="0"/>
        <w:spacing w:line="600" w:lineRule="exact"/>
        <w:ind w:firstLine="643" w:firstLineChars="200"/>
        <w:rPr>
          <w:rFonts w:ascii="黑体" w:hAnsi="黑体" w:eastAsia="黑体"/>
          <w:b/>
          <w:sz w:val="32"/>
          <w:szCs w:val="32"/>
        </w:rPr>
      </w:pPr>
      <w:r>
        <w:rPr>
          <w:rFonts w:hint="eastAsia" w:ascii="黑体" w:hAnsi="黑体" w:eastAsia="黑体"/>
          <w:b/>
          <w:sz w:val="32"/>
          <w:szCs w:val="32"/>
        </w:rPr>
        <w:t>二、开展新业务的合理性及必要性分析</w:t>
      </w:r>
    </w:p>
    <w:p w14:paraId="5A4BB0D7">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（一）开展新业务的原因、背景及合理性，包括但不限于现有业务基本情况及重大风险，新业务与上市公司主营业务是否具备协同性。</w:t>
      </w:r>
    </w:p>
    <w:p w14:paraId="5CF84FB6">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（二）公司的准备情况，包括在业务、资金、技术、人才等方面的储备，</w:t>
      </w:r>
      <w:r>
        <w:rPr>
          <w:rFonts w:hint="eastAsia" w:ascii="仿宋_GB2312" w:hAnsi="宋体" w:eastAsia="仿宋_GB2312"/>
          <w:sz w:val="30"/>
          <w:szCs w:val="30"/>
        </w:rPr>
        <w:t>是否已进行可行性论证等。</w:t>
      </w:r>
    </w:p>
    <w:p w14:paraId="35C2AD2D">
      <w:pPr>
        <w:adjustRightInd w:val="0"/>
        <w:snapToGrid w:val="0"/>
        <w:spacing w:line="600" w:lineRule="exact"/>
        <w:ind w:firstLine="600" w:firstLineChars="200"/>
        <w:rPr>
          <w:rFonts w:ascii="仿宋_GB2312" w:eastAsia="仿宋_GB2312"/>
          <w:sz w:val="30"/>
          <w:szCs w:val="30"/>
        </w:rPr>
      </w:pPr>
    </w:p>
    <w:p w14:paraId="068AFC29">
      <w:pPr>
        <w:adjustRightInd w:val="0"/>
        <w:snapToGrid w:val="0"/>
        <w:spacing w:line="600" w:lineRule="exact"/>
        <w:ind w:firstLine="643" w:firstLineChars="200"/>
        <w:rPr>
          <w:rFonts w:ascii="黑体" w:hAnsi="黑体" w:eastAsia="黑体"/>
          <w:b/>
          <w:sz w:val="32"/>
          <w:szCs w:val="32"/>
        </w:rPr>
      </w:pPr>
      <w:r>
        <w:rPr>
          <w:rFonts w:hint="eastAsia" w:ascii="黑体" w:hAnsi="黑体" w:eastAsia="黑体"/>
          <w:b/>
          <w:sz w:val="32"/>
          <w:szCs w:val="32"/>
        </w:rPr>
        <w:t>三、对上市公司的影响</w:t>
      </w:r>
    </w:p>
    <w:p w14:paraId="1B3B7157">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（一）对公司生产经营的影响，包括但不限于新业务对上市公司现有业务开展及主营业务构成的影响。</w:t>
      </w:r>
    </w:p>
    <w:p w14:paraId="65DE7F36">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（二）对公司财务状况和经营成果的影响，包括但不限于对当年及未来年度营业收入、净利润等主要财务指标的影响。</w:t>
      </w:r>
    </w:p>
    <w:p w14:paraId="72344BA8">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（三）开展新业务可能新增关联交易、同业竞争情形的，应当说明拟采取的解决措施及可行性。</w:t>
      </w:r>
    </w:p>
    <w:p w14:paraId="686077CD">
      <w:pPr>
        <w:adjustRightInd w:val="0"/>
        <w:snapToGrid w:val="0"/>
        <w:spacing w:line="600" w:lineRule="exact"/>
        <w:ind w:firstLine="600" w:firstLineChars="200"/>
        <w:rPr>
          <w:rFonts w:ascii="仿宋_GB2312" w:eastAsia="仿宋_GB2312"/>
          <w:sz w:val="30"/>
          <w:szCs w:val="30"/>
        </w:rPr>
      </w:pPr>
    </w:p>
    <w:p w14:paraId="3ED32782">
      <w:pPr>
        <w:adjustRightInd w:val="0"/>
        <w:snapToGrid w:val="0"/>
        <w:spacing w:line="600" w:lineRule="exact"/>
        <w:ind w:firstLine="643" w:firstLineChars="200"/>
        <w:rPr>
          <w:rFonts w:ascii="黑体" w:hAnsi="黑体" w:eastAsia="黑体"/>
          <w:b/>
          <w:sz w:val="32"/>
          <w:szCs w:val="32"/>
        </w:rPr>
      </w:pPr>
      <w:r>
        <w:rPr>
          <w:rFonts w:hint="eastAsia" w:ascii="黑体" w:hAnsi="黑体" w:eastAsia="黑体"/>
          <w:b/>
          <w:sz w:val="32"/>
          <w:szCs w:val="32"/>
        </w:rPr>
        <w:t>四、开展新业务的风险分析</w:t>
      </w:r>
    </w:p>
    <w:p w14:paraId="3D27E94E">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（一）经营风险，例如开展新业务可能未获得有关机构审批的风险，新业务发展未达预期的风险，开展新业务影响公司盈利能力的风险等。</w:t>
      </w:r>
    </w:p>
    <w:p w14:paraId="05D686C5">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（二）财务风险，例如开展新业务导致的资金紧张、资产负债率提高、财务成本提升等风险。</w:t>
      </w:r>
    </w:p>
    <w:p w14:paraId="41B56002">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（三）新业务风险，例如宏观环境、行业政策、技术更迭、竞争格局、经营管理等新业务发展的风险等。</w:t>
      </w:r>
    </w:p>
    <w:p w14:paraId="56DA1174">
      <w:pPr>
        <w:spacing w:line="600" w:lineRule="exact"/>
        <w:rPr>
          <w:rFonts w:ascii="仿宋_GB2312" w:eastAsia="仿宋_GB2312"/>
          <w:sz w:val="30"/>
          <w:szCs w:val="30"/>
        </w:rPr>
      </w:pPr>
    </w:p>
    <w:p w14:paraId="6A32C870">
      <w:pPr>
        <w:adjustRightInd w:val="0"/>
        <w:snapToGrid w:val="0"/>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特此公告。</w:t>
      </w:r>
    </w:p>
    <w:p w14:paraId="39E33D2A">
      <w:pPr>
        <w:adjustRightInd w:val="0"/>
        <w:snapToGrid w:val="0"/>
        <w:spacing w:line="600" w:lineRule="exact"/>
        <w:ind w:firstLine="600" w:firstLineChars="200"/>
        <w:jc w:val="right"/>
        <w:rPr>
          <w:rFonts w:hint="eastAsia" w:ascii="仿宋_GB2312" w:hAnsi="宋体" w:eastAsia="仿宋_GB2312"/>
          <w:sz w:val="30"/>
          <w:szCs w:val="30"/>
        </w:rPr>
      </w:pPr>
      <w:r>
        <w:rPr>
          <w:rFonts w:hint="eastAsia" w:ascii="仿宋_GB2312" w:hAnsi="宋体" w:eastAsia="仿宋_GB2312"/>
          <w:sz w:val="30"/>
          <w:szCs w:val="30"/>
        </w:rPr>
        <w:t>XXXX股份有限公司董事会</w:t>
      </w:r>
    </w:p>
    <w:p w14:paraId="2CCF159A">
      <w:pPr>
        <w:spacing w:line="600" w:lineRule="exact"/>
        <w:ind w:firstLine="600" w:firstLineChars="200"/>
        <w:jc w:val="right"/>
        <w:rPr>
          <w:rFonts w:ascii="仿宋_GB2312" w:hAnsi="宋体" w:eastAsia="仿宋_GB2312"/>
          <w:sz w:val="30"/>
          <w:szCs w:val="30"/>
        </w:rPr>
      </w:pPr>
      <w:r>
        <w:rPr>
          <w:rFonts w:hint="eastAsia" w:ascii="仿宋_GB2312" w:hAnsi="宋体" w:eastAsia="仿宋_GB2312"/>
          <w:sz w:val="30"/>
          <w:szCs w:val="30"/>
        </w:rPr>
        <w:t xml:space="preserve">  年  月  日</w:t>
      </w:r>
    </w:p>
    <w:p w14:paraId="75CF0095">
      <w:pPr>
        <w:adjustRightInd w:val="0"/>
        <w:snapToGrid w:val="0"/>
        <w:spacing w:line="600" w:lineRule="exact"/>
        <w:ind w:firstLine="600" w:firstLineChars="200"/>
        <w:jc w:val="right"/>
        <w:rPr>
          <w:rFonts w:ascii="仿宋_GB2312" w:hAnsi="宋体" w:eastAsia="仿宋_GB2312"/>
          <w:sz w:val="30"/>
          <w:szCs w:val="30"/>
        </w:rPr>
      </w:pPr>
    </w:p>
    <w:p w14:paraId="00CE7BD3">
      <w:pPr>
        <w:numPr>
          <w:ilvl w:val="0"/>
          <w:numId w:val="2"/>
        </w:numPr>
        <w:spacing w:line="600" w:lineRule="exact"/>
        <w:ind w:left="0" w:firstLine="602" w:firstLineChars="200"/>
        <w:rPr>
          <w:rFonts w:ascii="仿宋_GB2312" w:eastAsia="仿宋_GB2312"/>
          <w:b/>
          <w:sz w:val="30"/>
          <w:szCs w:val="30"/>
        </w:rPr>
      </w:pPr>
      <w:r>
        <w:rPr>
          <w:rFonts w:hint="eastAsia" w:ascii="仿宋_GB2312" w:eastAsia="仿宋_GB2312"/>
          <w:b/>
          <w:sz w:val="30"/>
          <w:szCs w:val="30"/>
        </w:rPr>
        <w:t>报备文件（如适用）</w:t>
      </w:r>
    </w:p>
    <w:p w14:paraId="292CE13C">
      <w:pPr>
        <w:spacing w:line="600" w:lineRule="exact"/>
        <w:ind w:firstLine="600" w:firstLineChars="200"/>
        <w:rPr>
          <w:rFonts w:ascii="仿宋_GB2312" w:eastAsia="仿宋_GB2312"/>
          <w:sz w:val="30"/>
          <w:szCs w:val="30"/>
        </w:rPr>
      </w:pPr>
      <w:r>
        <w:rPr>
          <w:rFonts w:hint="eastAsia" w:ascii="仿宋_GB2312" w:eastAsia="仿宋_GB2312"/>
          <w:sz w:val="30"/>
          <w:szCs w:val="30"/>
        </w:rPr>
        <w:t>开展新业务涉及的相关协议文本</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C50E9">
    <w:pPr>
      <w:pStyle w:val="6"/>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2</w:t>
    </w:r>
    <w:r>
      <w:rPr>
        <w:sz w:val="21"/>
        <w:szCs w:val="21"/>
      </w:rPr>
      <w:fldChar w:fldCharType="end"/>
    </w:r>
  </w:p>
  <w:p w14:paraId="7CB8625D">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FB1DCA"/>
    <w:multiLevelType w:val="multilevel"/>
    <w:tmpl w:val="01FB1DCA"/>
    <w:lvl w:ilvl="0" w:tentative="0">
      <w:start w:val="1"/>
      <w:numFmt w:val="bullet"/>
      <w:lvlText w:val=""/>
      <w:lvlJc w:val="left"/>
      <w:pPr>
        <w:ind w:left="846"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84F3A0C"/>
    <w:multiLevelType w:val="multilevel"/>
    <w:tmpl w:val="184F3A0C"/>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692"/>
    <w:rsid w:val="00004DA4"/>
    <w:rsid w:val="000111C5"/>
    <w:rsid w:val="00035AF0"/>
    <w:rsid w:val="000413F3"/>
    <w:rsid w:val="00043BED"/>
    <w:rsid w:val="000712C0"/>
    <w:rsid w:val="00072B24"/>
    <w:rsid w:val="00090F6E"/>
    <w:rsid w:val="00096B0C"/>
    <w:rsid w:val="000A5FB2"/>
    <w:rsid w:val="000B365D"/>
    <w:rsid w:val="000B5B92"/>
    <w:rsid w:val="000F156C"/>
    <w:rsid w:val="000F5216"/>
    <w:rsid w:val="000F7EAE"/>
    <w:rsid w:val="001107DA"/>
    <w:rsid w:val="00123B20"/>
    <w:rsid w:val="001372F6"/>
    <w:rsid w:val="001725B5"/>
    <w:rsid w:val="001802A6"/>
    <w:rsid w:val="001846BA"/>
    <w:rsid w:val="001D0DE1"/>
    <w:rsid w:val="001E03F7"/>
    <w:rsid w:val="00200848"/>
    <w:rsid w:val="00206DF9"/>
    <w:rsid w:val="0023664F"/>
    <w:rsid w:val="00247119"/>
    <w:rsid w:val="002527D3"/>
    <w:rsid w:val="00261590"/>
    <w:rsid w:val="002639BB"/>
    <w:rsid w:val="002677F4"/>
    <w:rsid w:val="00283F0D"/>
    <w:rsid w:val="002866A2"/>
    <w:rsid w:val="0029690E"/>
    <w:rsid w:val="002A08C7"/>
    <w:rsid w:val="002A55FB"/>
    <w:rsid w:val="002A6BA9"/>
    <w:rsid w:val="002D2B56"/>
    <w:rsid w:val="002D509A"/>
    <w:rsid w:val="002D572E"/>
    <w:rsid w:val="002E72BF"/>
    <w:rsid w:val="003129D0"/>
    <w:rsid w:val="00322787"/>
    <w:rsid w:val="00324376"/>
    <w:rsid w:val="0032735B"/>
    <w:rsid w:val="00332877"/>
    <w:rsid w:val="0034420B"/>
    <w:rsid w:val="00385987"/>
    <w:rsid w:val="003A77FB"/>
    <w:rsid w:val="003C0159"/>
    <w:rsid w:val="003C2443"/>
    <w:rsid w:val="003C42D4"/>
    <w:rsid w:val="003D0859"/>
    <w:rsid w:val="003D2C80"/>
    <w:rsid w:val="003E3EC4"/>
    <w:rsid w:val="004001F8"/>
    <w:rsid w:val="00400532"/>
    <w:rsid w:val="00424DCF"/>
    <w:rsid w:val="00454BA4"/>
    <w:rsid w:val="00494A2F"/>
    <w:rsid w:val="004A2BC0"/>
    <w:rsid w:val="004E0AF6"/>
    <w:rsid w:val="0050026E"/>
    <w:rsid w:val="005178E6"/>
    <w:rsid w:val="0052511E"/>
    <w:rsid w:val="00542D1C"/>
    <w:rsid w:val="0054768C"/>
    <w:rsid w:val="00563312"/>
    <w:rsid w:val="0057229E"/>
    <w:rsid w:val="0058292F"/>
    <w:rsid w:val="005B2A3E"/>
    <w:rsid w:val="005E66BB"/>
    <w:rsid w:val="005F6E01"/>
    <w:rsid w:val="006157E3"/>
    <w:rsid w:val="00633FED"/>
    <w:rsid w:val="00637D21"/>
    <w:rsid w:val="0065535B"/>
    <w:rsid w:val="00672197"/>
    <w:rsid w:val="00680869"/>
    <w:rsid w:val="00681600"/>
    <w:rsid w:val="006A003F"/>
    <w:rsid w:val="006A00C1"/>
    <w:rsid w:val="006C73F7"/>
    <w:rsid w:val="006E7FDC"/>
    <w:rsid w:val="00705FC1"/>
    <w:rsid w:val="007263A4"/>
    <w:rsid w:val="007347B9"/>
    <w:rsid w:val="00737A25"/>
    <w:rsid w:val="0079125B"/>
    <w:rsid w:val="007A1AD1"/>
    <w:rsid w:val="007A2F62"/>
    <w:rsid w:val="007A4076"/>
    <w:rsid w:val="008107AB"/>
    <w:rsid w:val="00822BB4"/>
    <w:rsid w:val="00831749"/>
    <w:rsid w:val="0087114B"/>
    <w:rsid w:val="00876014"/>
    <w:rsid w:val="008810E7"/>
    <w:rsid w:val="008A507F"/>
    <w:rsid w:val="008A7DDF"/>
    <w:rsid w:val="008B2B1F"/>
    <w:rsid w:val="008B5E21"/>
    <w:rsid w:val="008C351F"/>
    <w:rsid w:val="008D2189"/>
    <w:rsid w:val="008E07BB"/>
    <w:rsid w:val="008F35ED"/>
    <w:rsid w:val="008F755D"/>
    <w:rsid w:val="0094182C"/>
    <w:rsid w:val="00944517"/>
    <w:rsid w:val="00963B62"/>
    <w:rsid w:val="009900FF"/>
    <w:rsid w:val="009A6CEE"/>
    <w:rsid w:val="009B01E5"/>
    <w:rsid w:val="009B0869"/>
    <w:rsid w:val="009C229F"/>
    <w:rsid w:val="009C5E1B"/>
    <w:rsid w:val="009D3D5F"/>
    <w:rsid w:val="009E28A4"/>
    <w:rsid w:val="009F2A0C"/>
    <w:rsid w:val="009F6996"/>
    <w:rsid w:val="00A05B9C"/>
    <w:rsid w:val="00A1492B"/>
    <w:rsid w:val="00A272F0"/>
    <w:rsid w:val="00A3346C"/>
    <w:rsid w:val="00A4044C"/>
    <w:rsid w:val="00A90878"/>
    <w:rsid w:val="00AA64EF"/>
    <w:rsid w:val="00AD066B"/>
    <w:rsid w:val="00AD0EA0"/>
    <w:rsid w:val="00AD4B82"/>
    <w:rsid w:val="00AE334A"/>
    <w:rsid w:val="00AE6FB5"/>
    <w:rsid w:val="00AE7F96"/>
    <w:rsid w:val="00B00292"/>
    <w:rsid w:val="00B0158D"/>
    <w:rsid w:val="00B0535F"/>
    <w:rsid w:val="00B10EA8"/>
    <w:rsid w:val="00B244F4"/>
    <w:rsid w:val="00B25035"/>
    <w:rsid w:val="00B277B1"/>
    <w:rsid w:val="00B46ED2"/>
    <w:rsid w:val="00B544EE"/>
    <w:rsid w:val="00B81086"/>
    <w:rsid w:val="00B9032E"/>
    <w:rsid w:val="00BC2CE1"/>
    <w:rsid w:val="00BC365D"/>
    <w:rsid w:val="00BE4B03"/>
    <w:rsid w:val="00BE4B21"/>
    <w:rsid w:val="00C219DC"/>
    <w:rsid w:val="00C248D4"/>
    <w:rsid w:val="00C37B09"/>
    <w:rsid w:val="00C63239"/>
    <w:rsid w:val="00C66AE1"/>
    <w:rsid w:val="00C817C6"/>
    <w:rsid w:val="00C82059"/>
    <w:rsid w:val="00C871ED"/>
    <w:rsid w:val="00C8737B"/>
    <w:rsid w:val="00C93BE2"/>
    <w:rsid w:val="00CB799C"/>
    <w:rsid w:val="00CD2337"/>
    <w:rsid w:val="00CF12FD"/>
    <w:rsid w:val="00CF3692"/>
    <w:rsid w:val="00CF5A18"/>
    <w:rsid w:val="00D145FA"/>
    <w:rsid w:val="00D1577F"/>
    <w:rsid w:val="00D16383"/>
    <w:rsid w:val="00D20641"/>
    <w:rsid w:val="00D21D34"/>
    <w:rsid w:val="00D3284C"/>
    <w:rsid w:val="00D44E8B"/>
    <w:rsid w:val="00D458CC"/>
    <w:rsid w:val="00D779FE"/>
    <w:rsid w:val="00D77CB9"/>
    <w:rsid w:val="00D8582C"/>
    <w:rsid w:val="00D87C97"/>
    <w:rsid w:val="00D97C55"/>
    <w:rsid w:val="00DE7E5A"/>
    <w:rsid w:val="00E149FA"/>
    <w:rsid w:val="00E317F4"/>
    <w:rsid w:val="00E345DF"/>
    <w:rsid w:val="00E4254E"/>
    <w:rsid w:val="00E53377"/>
    <w:rsid w:val="00E55560"/>
    <w:rsid w:val="00E815CF"/>
    <w:rsid w:val="00E816DB"/>
    <w:rsid w:val="00E85BB2"/>
    <w:rsid w:val="00E92126"/>
    <w:rsid w:val="00EC0408"/>
    <w:rsid w:val="00EC1A77"/>
    <w:rsid w:val="00EE1588"/>
    <w:rsid w:val="00EE30A3"/>
    <w:rsid w:val="00EE3532"/>
    <w:rsid w:val="00F00340"/>
    <w:rsid w:val="00F018E8"/>
    <w:rsid w:val="00F15875"/>
    <w:rsid w:val="00F31F6B"/>
    <w:rsid w:val="00F33DE9"/>
    <w:rsid w:val="00F340B2"/>
    <w:rsid w:val="00F3461C"/>
    <w:rsid w:val="00F40A85"/>
    <w:rsid w:val="00F429AB"/>
    <w:rsid w:val="00F460EC"/>
    <w:rsid w:val="00F479E0"/>
    <w:rsid w:val="00F83D51"/>
    <w:rsid w:val="00F8420E"/>
    <w:rsid w:val="00FB2F4A"/>
    <w:rsid w:val="00FC3439"/>
    <w:rsid w:val="00FE5009"/>
    <w:rsid w:val="00FF709F"/>
    <w:rsid w:val="05801BB4"/>
    <w:rsid w:val="1C5A616E"/>
    <w:rsid w:val="1E010526"/>
    <w:rsid w:val="4E385BE1"/>
    <w:rsid w:val="5C3E0CBE"/>
    <w:rsid w:val="77E05D7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Document Map"/>
    <w:basedOn w:val="1"/>
    <w:link w:val="13"/>
    <w:unhideWhenUsed/>
    <w:qFormat/>
    <w:uiPriority w:val="99"/>
    <w:rPr>
      <w:rFonts w:ascii="宋体"/>
      <w:sz w:val="18"/>
      <w:szCs w:val="18"/>
    </w:rPr>
  </w:style>
  <w:style w:type="paragraph" w:styleId="4">
    <w:name w:val="annotation text"/>
    <w:basedOn w:val="1"/>
    <w:link w:val="14"/>
    <w:unhideWhenUsed/>
    <w:qFormat/>
    <w:uiPriority w:val="99"/>
    <w:pPr>
      <w:jc w:val="left"/>
    </w:pPr>
  </w:style>
  <w:style w:type="paragraph" w:styleId="5">
    <w:name w:val="Balloon Text"/>
    <w:basedOn w:val="1"/>
    <w:link w:val="15"/>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8"/>
    <w:unhideWhenUsed/>
    <w:qFormat/>
    <w:uiPriority w:val="99"/>
    <w:rPr>
      <w:b/>
      <w:bCs/>
    </w:rPr>
  </w:style>
  <w:style w:type="character" w:styleId="11">
    <w:name w:val="annotation reference"/>
    <w:unhideWhenUsed/>
    <w:qFormat/>
    <w:uiPriority w:val="99"/>
    <w:rPr>
      <w:sz w:val="21"/>
      <w:szCs w:val="21"/>
    </w:rPr>
  </w:style>
  <w:style w:type="character" w:customStyle="1" w:styleId="12">
    <w:name w:val="标题 1 Char"/>
    <w:link w:val="2"/>
    <w:uiPriority w:val="9"/>
    <w:rPr>
      <w:rFonts w:ascii="Times New Roman" w:hAnsi="Times New Roman"/>
      <w:b/>
      <w:bCs/>
      <w:kern w:val="44"/>
      <w:sz w:val="44"/>
      <w:szCs w:val="44"/>
    </w:rPr>
  </w:style>
  <w:style w:type="character" w:customStyle="1" w:styleId="13">
    <w:name w:val="文档结构图 Char"/>
    <w:link w:val="3"/>
    <w:semiHidden/>
    <w:uiPriority w:val="99"/>
    <w:rPr>
      <w:rFonts w:ascii="宋体" w:hAnsi="Times New Roman"/>
      <w:kern w:val="2"/>
      <w:sz w:val="18"/>
      <w:szCs w:val="18"/>
    </w:rPr>
  </w:style>
  <w:style w:type="character" w:customStyle="1" w:styleId="14">
    <w:name w:val="批注文字 Char"/>
    <w:link w:val="4"/>
    <w:semiHidden/>
    <w:uiPriority w:val="99"/>
    <w:rPr>
      <w:rFonts w:ascii="Times New Roman" w:hAnsi="Times New Roman" w:eastAsia="宋体" w:cs="Times New Roman"/>
      <w:szCs w:val="20"/>
    </w:rPr>
  </w:style>
  <w:style w:type="character" w:customStyle="1" w:styleId="15">
    <w:name w:val="批注框文本 Char"/>
    <w:link w:val="5"/>
    <w:semiHidden/>
    <w:uiPriority w:val="99"/>
    <w:rPr>
      <w:rFonts w:ascii="Times New Roman" w:hAnsi="Times New Roman" w:eastAsia="宋体" w:cs="Times New Roman"/>
      <w:sz w:val="18"/>
      <w:szCs w:val="18"/>
    </w:rPr>
  </w:style>
  <w:style w:type="character" w:customStyle="1" w:styleId="16">
    <w:name w:val="页脚 Char"/>
    <w:link w:val="6"/>
    <w:uiPriority w:val="99"/>
    <w:rPr>
      <w:rFonts w:ascii="Times New Roman" w:hAnsi="Times New Roman" w:eastAsia="宋体" w:cs="Times New Roman"/>
      <w:sz w:val="18"/>
      <w:szCs w:val="18"/>
    </w:rPr>
  </w:style>
  <w:style w:type="character" w:customStyle="1" w:styleId="17">
    <w:name w:val="页眉 Char"/>
    <w:link w:val="7"/>
    <w:uiPriority w:val="99"/>
    <w:rPr>
      <w:rFonts w:ascii="Times New Roman" w:hAnsi="Times New Roman" w:eastAsia="宋体" w:cs="Times New Roman"/>
      <w:sz w:val="18"/>
      <w:szCs w:val="18"/>
    </w:rPr>
  </w:style>
  <w:style w:type="character" w:customStyle="1" w:styleId="18">
    <w:name w:val="批注主题 Char"/>
    <w:link w:val="8"/>
    <w:semiHidden/>
    <w:uiPriority w:val="99"/>
    <w:rPr>
      <w:rFonts w:ascii="Times New Roman" w:hAnsi="Times New Roman" w:eastAsia="宋体" w:cs="Times New Roman"/>
      <w:b/>
      <w:bCs/>
      <w:szCs w:val="20"/>
    </w:rPr>
  </w:style>
  <w:style w:type="paragraph" w:styleId="19">
    <w:name w:val="List Paragraph"/>
    <w:basedOn w:val="1"/>
    <w:qFormat/>
    <w:uiPriority w:val="34"/>
    <w:pPr>
      <w:ind w:firstLine="420" w:firstLineChars="200"/>
    </w:pPr>
  </w:style>
  <w:style w:type="paragraph" w:customStyle="1" w:styleId="20">
    <w:name w:val="_Style 19"/>
    <w:semiHidden/>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195</Words>
  <Characters>1114</Characters>
  <Lines>9</Lines>
  <Paragraphs>2</Paragraphs>
  <TotalTime>0</TotalTime>
  <ScaleCrop>false</ScaleCrop>
  <LinksUpToDate>false</LinksUpToDate>
  <CharactersWithSpaces>1307</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2023-06-21T07:07:00Z</dcterms:created>
  <dc:creator>dsware</dc:creator>
  <cp:lastModifiedBy>yjqin</cp:lastModifiedBy>
  <dcterms:modified xsi:type="dcterms:W3CDTF">2025-08-21T12:29:06Z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5E006F3150484F3083C9FD16683EA1F7_13</vt:lpwstr>
  </property>
</Properties>
</file>