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4FDDB">
      <w:pPr>
        <w:spacing w:line="560" w:lineRule="exact"/>
        <w:jc w:val="center"/>
        <w:outlineLvl w:val="0"/>
        <w:rPr>
          <w:rFonts w:ascii="黑体" w:hAnsi="黑体" w:eastAsia="黑体"/>
          <w:b/>
          <w:sz w:val="36"/>
          <w:szCs w:val="36"/>
        </w:rPr>
      </w:pPr>
      <w:bookmarkStart w:id="0" w:name="_GoBack"/>
      <w:bookmarkEnd w:id="0"/>
      <w:r>
        <w:rPr>
          <w:rFonts w:hint="eastAsia" w:ascii="黑体" w:hAnsi="黑体" w:eastAsia="黑体"/>
          <w:b/>
          <w:sz w:val="36"/>
          <w:szCs w:val="36"/>
        </w:rPr>
        <w:t>第五号 上市公司提供财务资助公告</w:t>
      </w:r>
    </w:p>
    <w:p w14:paraId="157EE56E">
      <w:pPr>
        <w:autoSpaceDE w:val="0"/>
        <w:autoSpaceDN w:val="0"/>
        <w:adjustRightInd w:val="0"/>
        <w:snapToGrid w:val="0"/>
        <w:spacing w:line="560" w:lineRule="exact"/>
        <w:rPr>
          <w:rFonts w:ascii="宋体" w:hAnsi="宋体" w:cs="楷体_GB2312-WinCharSetFFFF-H"/>
          <w:color w:val="000000"/>
          <w:kern w:val="0"/>
          <w:sz w:val="32"/>
          <w:szCs w:val="32"/>
        </w:rPr>
      </w:pPr>
    </w:p>
    <w:p w14:paraId="62784674">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20425934">
      <w:pPr>
        <w:autoSpaceDE w:val="0"/>
        <w:autoSpaceDN w:val="0"/>
        <w:adjustRightInd w:val="0"/>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上市公司及其控股子公司对外提供财务资助触及本所《股票上市规则》等规定的信息披露义务的，适用本公告格式。</w:t>
      </w:r>
    </w:p>
    <w:p w14:paraId="29E23EF6">
      <w:pPr>
        <w:autoSpaceDE w:val="0"/>
        <w:autoSpaceDN w:val="0"/>
        <w:adjustRightInd w:val="0"/>
        <w:spacing w:line="560" w:lineRule="exact"/>
        <w:ind w:firstLine="600" w:firstLineChars="200"/>
        <w:jc w:val="left"/>
        <w:rPr>
          <w:rFonts w:ascii="仿宋_GB2312" w:hAnsi="宋体" w:eastAsia="仿宋_GB2312"/>
          <w:color w:val="000000"/>
          <w:sz w:val="30"/>
          <w:szCs w:val="30"/>
        </w:rPr>
      </w:pPr>
    </w:p>
    <w:p w14:paraId="197CA76B">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71C5379E">
      <w:pPr>
        <w:adjustRightInd w:val="0"/>
        <w:snapToGrid w:val="0"/>
        <w:spacing w:line="560" w:lineRule="exact"/>
        <w:jc w:val="center"/>
        <w:rPr>
          <w:rFonts w:ascii="仿宋_GB2312" w:hAnsi="宋体" w:eastAsia="仿宋_GB2312"/>
          <w:color w:val="000000"/>
          <w:sz w:val="30"/>
          <w:szCs w:val="30"/>
        </w:rPr>
      </w:pPr>
    </w:p>
    <w:p w14:paraId="6D3B4C1A">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w:t>
      </w:r>
      <w:r>
        <w:rPr>
          <w:rFonts w:hint="eastAsia" w:ascii="仿宋_GB2312" w:hAnsi="宋体" w:eastAsia="仿宋_GB2312" w:cs="黑体-WinCharSetFFFF-H"/>
          <w:kern w:val="0"/>
          <w:sz w:val="30"/>
          <w:szCs w:val="30"/>
        </w:rPr>
        <w:t>提供财务资助公告</w:t>
      </w:r>
    </w:p>
    <w:p w14:paraId="11ACC6D7">
      <w:pPr>
        <w:snapToGrid w:val="0"/>
        <w:spacing w:line="560" w:lineRule="exact"/>
        <w:jc w:val="center"/>
        <w:rPr>
          <w:rFonts w:ascii="仿宋_GB2312" w:hAnsi="宋体" w:eastAsia="仿宋_GB2312"/>
          <w:color w:val="000000"/>
          <w:sz w:val="30"/>
          <w:szCs w:val="30"/>
        </w:rPr>
      </w:pPr>
    </w:p>
    <w:p w14:paraId="54EA96E9">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282E0B17">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210C5977">
      <w:pPr>
        <w:adjustRightInd w:val="0"/>
        <w:snapToGrid w:val="0"/>
        <w:spacing w:line="560" w:lineRule="exact"/>
        <w:rPr>
          <w:rFonts w:ascii="仿宋_GB2312" w:hAnsi="宋体" w:eastAsia="仿宋_GB2312"/>
          <w:sz w:val="30"/>
          <w:szCs w:val="30"/>
        </w:rPr>
      </w:pPr>
    </w:p>
    <w:p w14:paraId="78DEAFD2">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646224C0">
      <w:pPr>
        <w:pStyle w:val="11"/>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资助对象、方式、金额、期限、利息等</w:t>
      </w:r>
    </w:p>
    <w:p w14:paraId="7B6A730B">
      <w:pPr>
        <w:pStyle w:val="11"/>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履行的审议程序</w:t>
      </w:r>
    </w:p>
    <w:p w14:paraId="26CA9F04">
      <w:pPr>
        <w:pStyle w:val="11"/>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特别风险提示</w:t>
      </w:r>
    </w:p>
    <w:p w14:paraId="110D7E49">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14:paraId="3F97D822">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一、财务资助事项概述</w:t>
      </w:r>
    </w:p>
    <w:p w14:paraId="797A958A">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简述本次财务资助的基本情况，包括协议签署日期、各方当事人名称及资助方式、金额、期限、利息、用途及担保措施等。</w:t>
      </w:r>
    </w:p>
    <w:p w14:paraId="343B82B3">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w:t>
      </w:r>
      <w:r>
        <w:rPr>
          <w:rFonts w:ascii="仿宋_GB2312" w:hAnsi="宋体" w:eastAsia="仿宋_GB2312"/>
          <w:color w:val="000000"/>
          <w:kern w:val="0"/>
          <w:sz w:val="30"/>
          <w:szCs w:val="30"/>
        </w:rPr>
        <w:t>.</w:t>
      </w:r>
      <w:r>
        <w:rPr>
          <w:rFonts w:hint="eastAsia"/>
        </w:rPr>
        <w:t xml:space="preserve"> </w:t>
      </w:r>
      <w:r>
        <w:rPr>
          <w:rFonts w:hint="eastAsia" w:ascii="仿宋_GB2312" w:hAnsi="宋体" w:eastAsia="仿宋_GB2312"/>
          <w:color w:val="000000"/>
          <w:kern w:val="0"/>
          <w:sz w:val="30"/>
          <w:szCs w:val="30"/>
        </w:rPr>
        <w:t>简要说明董事会审议财务资助议案的表决情况，交易生效所必需的审议程序，如是否需经过股东会或有关部门批准等。</w:t>
      </w:r>
    </w:p>
    <w:p w14:paraId="6D608AC3">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ascii="仿宋_GB2312" w:hAnsi="宋体" w:eastAsia="仿宋_GB2312"/>
          <w:color w:val="000000"/>
          <w:kern w:val="0"/>
          <w:sz w:val="30"/>
          <w:szCs w:val="30"/>
        </w:rPr>
        <w:t>3.</w:t>
      </w:r>
      <w:r>
        <w:rPr>
          <w:rFonts w:hint="eastAsia"/>
        </w:rPr>
        <w:t xml:space="preserve"> </w:t>
      </w:r>
      <w:r>
        <w:rPr>
          <w:rFonts w:hint="eastAsia" w:ascii="仿宋_GB2312" w:hAnsi="宋体" w:eastAsia="仿宋_GB2312"/>
          <w:color w:val="000000"/>
          <w:kern w:val="0"/>
          <w:sz w:val="30"/>
          <w:szCs w:val="30"/>
        </w:rPr>
        <w:t>简述本次提供财务资助的主要原因及考虑，是否影响公司正常业务开展及资金使用，明确披露是否不属于本所《股票上市规则》等规定的不得提供财务资助的情形。</w:t>
      </w:r>
    </w:p>
    <w:p w14:paraId="15A46644">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上市公司不得为关联人提供资金等财务资助，但向非由公司控股股东、实际控制人控制的关联参股公司提供财务资助，且该参股公司的其他股东按出资比例提供同等条件财务资助的情形除外。对于前述关联方财务资助，应当经独立董事专门会议审议通过后，提交董事会、股东会审议。董事会作出决议时，上市公司董事会审议财务资助事项，应当经全体非关联董事的过半数审议通过，还应当经出席董事会会议的非关联董事的三分之二以上董事审议通过）</w:t>
      </w:r>
    </w:p>
    <w:p w14:paraId="6FB05BC0">
      <w:pPr>
        <w:autoSpaceDE w:val="0"/>
        <w:autoSpaceDN w:val="0"/>
        <w:adjustRightInd w:val="0"/>
        <w:spacing w:line="560" w:lineRule="exact"/>
        <w:ind w:firstLine="460" w:firstLineChars="192"/>
        <w:jc w:val="left"/>
        <w:rPr>
          <w:rFonts w:ascii="楷体" w:hAnsi="楷体" w:eastAsia="楷体" w:cs="宋体-WinCharSetFFFF-H"/>
          <w:color w:val="000000"/>
          <w:kern w:val="0"/>
          <w:sz w:val="24"/>
          <w:szCs w:val="24"/>
        </w:rPr>
      </w:pPr>
    </w:p>
    <w:p w14:paraId="2F5AC43E">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二、被资助对象的基本情况</w:t>
      </w:r>
    </w:p>
    <w:p w14:paraId="2D892312">
      <w:pPr>
        <w:widowControl/>
        <w:adjustRightInd w:val="0"/>
        <w:snapToGrid w:val="0"/>
        <w:spacing w:line="560" w:lineRule="exact"/>
        <w:ind w:firstLine="600" w:firstLineChars="200"/>
        <w:rPr>
          <w:rFonts w:ascii="仿宋_GB2312" w:eastAsia="仿宋_GB2312"/>
          <w:sz w:val="30"/>
          <w:szCs w:val="30"/>
        </w:rPr>
      </w:pPr>
      <w:r>
        <w:rPr>
          <w:rFonts w:ascii="仿宋_GB2312" w:hAnsi="宋体" w:eastAsia="仿宋_GB2312"/>
          <w:color w:val="000000"/>
          <w:kern w:val="0"/>
          <w:sz w:val="30"/>
          <w:szCs w:val="30"/>
        </w:rPr>
        <w:t>1</w:t>
      </w:r>
      <w:r>
        <w:rPr>
          <w:rFonts w:hint="eastAsia" w:ascii="仿宋_GB2312" w:hAnsi="宋体" w:eastAsia="仿宋_GB2312"/>
          <w:color w:val="000000"/>
          <w:kern w:val="0"/>
          <w:sz w:val="30"/>
          <w:szCs w:val="30"/>
        </w:rPr>
        <w:t>．被</w:t>
      </w:r>
      <w:r>
        <w:rPr>
          <w:rFonts w:hint="eastAsia" w:ascii="仿宋_GB2312" w:eastAsia="仿宋_GB2312"/>
          <w:sz w:val="30"/>
          <w:szCs w:val="30"/>
        </w:rPr>
        <w:t>资助对象为法人或其他组织的，</w:t>
      </w:r>
      <w:r>
        <w:rPr>
          <w:rFonts w:hint="eastAsia" w:ascii="仿宋_GB2312" w:hAnsi="宋体" w:eastAsia="仿宋_GB2312"/>
          <w:color w:val="000000"/>
          <w:kern w:val="0"/>
          <w:sz w:val="30"/>
          <w:szCs w:val="30"/>
        </w:rPr>
        <w:t>说明被资助对象的基本法人信息，例如</w:t>
      </w:r>
      <w:r>
        <w:rPr>
          <w:rFonts w:hint="eastAsia" w:ascii="仿宋_GB2312" w:eastAsia="仿宋_GB2312"/>
          <w:sz w:val="30"/>
          <w:szCs w:val="30"/>
        </w:rPr>
        <w:t>名称、统一社会信用代码、成立时间、注册地、主要办公地点、法定代表人、注册资本、主营业务、主要股东或实际控制人，</w:t>
      </w:r>
      <w:r>
        <w:rPr>
          <w:rFonts w:hint="eastAsia" w:ascii="仿宋_GB2312" w:hAnsi="宋体" w:eastAsia="仿宋_GB2312"/>
          <w:color w:val="000000"/>
          <w:kern w:val="0"/>
          <w:sz w:val="30"/>
          <w:szCs w:val="30"/>
        </w:rPr>
        <w:t>最近一年又一期的资产总额、负债总额、净资产、营业收入、净利润、资产负债率、影响被资助人偿债能力的重大或有事项涉及的总额（包括担保、抵押、诉讼与仲裁事项）等。</w:t>
      </w:r>
    </w:p>
    <w:p w14:paraId="2EE8744C">
      <w:pPr>
        <w:widowControl/>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 xml:space="preserve"> 被资助对象为自然人的，披露其姓名</w:t>
      </w:r>
      <w:r>
        <w:rPr>
          <w:rFonts w:hint="eastAsia" w:ascii="仿宋_GB2312" w:hAnsi="仿宋_GB2312" w:eastAsia="仿宋_GB2312" w:cs="仿宋_GB2312"/>
          <w:sz w:val="30"/>
          <w:szCs w:val="30"/>
        </w:rPr>
        <w:t>、主要</w:t>
      </w:r>
      <w:r>
        <w:rPr>
          <w:rFonts w:hint="eastAsia" w:ascii="仿宋_GB2312" w:eastAsia="仿宋_GB2312"/>
          <w:color w:val="000000"/>
          <w:sz w:val="30"/>
          <w:szCs w:val="30"/>
        </w:rPr>
        <w:t>就职单位</w:t>
      </w:r>
      <w:r>
        <w:rPr>
          <w:rFonts w:hint="eastAsia" w:ascii="仿宋_GB2312" w:eastAsia="仿宋_GB2312"/>
          <w:sz w:val="30"/>
          <w:szCs w:val="30"/>
        </w:rPr>
        <w:t>等基本情况，以及具有</w:t>
      </w:r>
      <w:r>
        <w:rPr>
          <w:rFonts w:hint="eastAsia" w:ascii="仿宋_GB2312" w:hAnsi="宋体" w:eastAsia="仿宋_GB2312"/>
          <w:color w:val="000000"/>
          <w:kern w:val="0"/>
          <w:sz w:val="30"/>
          <w:szCs w:val="30"/>
        </w:rPr>
        <w:t>偿债能力的证明。</w:t>
      </w:r>
    </w:p>
    <w:p w14:paraId="651D992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 被资助对象的资信或信用等级状况，若被列为失信被执行人，</w:t>
      </w:r>
      <w:r>
        <w:rPr>
          <w:rFonts w:ascii="仿宋_GB2312" w:eastAsia="仿宋_GB2312"/>
          <w:sz w:val="30"/>
          <w:szCs w:val="30"/>
        </w:rPr>
        <w:t>应当</w:t>
      </w:r>
      <w:r>
        <w:rPr>
          <w:rFonts w:hint="eastAsia" w:ascii="仿宋_GB2312" w:eastAsia="仿宋_GB2312"/>
          <w:sz w:val="30"/>
          <w:szCs w:val="30"/>
        </w:rPr>
        <w:t>披露其失信情况，及对本次交易的影响。</w:t>
      </w:r>
    </w:p>
    <w:p w14:paraId="5F4F6BC2">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4．应当说明被资助对象与上市公司是否存在关联关系或其他业务联系，如存在，应当披露具体的情形。</w:t>
      </w:r>
    </w:p>
    <w:p w14:paraId="0CFB4F98">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5．为控股子公司或者参股公司提供财务资助的，应当披露被资助对象的其他股东的基本情况、与上市公司的关联关系及其按出资比例履行相应义务的情况。其他股东如未按同等条件、未按出资比例向该控股子公司或者参股公司相应提供财务资助的，应当说明原因以及上市公司利益未受到损害的理由。</w:t>
      </w:r>
    </w:p>
    <w:p w14:paraId="413FE07B">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6</w:t>
      </w:r>
      <w:r>
        <w:rPr>
          <w:rFonts w:ascii="仿宋_GB2312" w:hAnsi="宋体" w:eastAsia="仿宋_GB2312"/>
          <w:color w:val="000000"/>
          <w:kern w:val="0"/>
          <w:sz w:val="30"/>
          <w:szCs w:val="30"/>
        </w:rPr>
        <w:t>.</w:t>
      </w:r>
      <w:r>
        <w:rPr>
          <w:rFonts w:hint="eastAsia"/>
        </w:rPr>
        <w:t xml:space="preserve"> </w:t>
      </w:r>
      <w:r>
        <w:rPr>
          <w:rFonts w:hint="eastAsia" w:ascii="仿宋_GB2312" w:hAnsi="宋体" w:eastAsia="仿宋_GB2312"/>
          <w:color w:val="000000"/>
          <w:kern w:val="0"/>
          <w:sz w:val="30"/>
          <w:szCs w:val="30"/>
        </w:rPr>
        <w:t>应当说明上市公司在上一会计年度对该对象提供财务资助的情况，是否存在财务资助到期后未能及时清偿的情形。</w:t>
      </w:r>
    </w:p>
    <w:p w14:paraId="056BA33D">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62BA86D4">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三、财务资助协议的主要内容</w:t>
      </w:r>
    </w:p>
    <w:p w14:paraId="2E1F18F3">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主要介绍提供财务资助的方式、期限、金额、利息、资金用途、担保及反担保措施、被资助对象应遵守的条件、违约责任以及协议中的其他重要条款。</w:t>
      </w:r>
    </w:p>
    <w:p w14:paraId="393A4675">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p>
    <w:p w14:paraId="4C3C1D60">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四、财务资助风险分析及风控措施</w:t>
      </w:r>
    </w:p>
    <w:p w14:paraId="72736601">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上市公司应当充分披露所采取的风险防范措施，包括被资助对象或者其他第三方是否就财务资助事项提供担保等。第三方就财务资助事项提供担保的，公司应当披露该第三方的基本情况及其担保履约能力情况。</w:t>
      </w:r>
    </w:p>
    <w:p w14:paraId="7DCACC0C">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p>
    <w:p w14:paraId="65BF7C31">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五、董事会意见</w:t>
      </w:r>
    </w:p>
    <w:p w14:paraId="128D98A1">
      <w:pPr>
        <w:autoSpaceDE w:val="0"/>
        <w:autoSpaceDN w:val="0"/>
        <w:adjustRightIn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董事会在对被资助对象的资产质量、经营情况、行业前景、偿债能力、信用状况、第三方担保及履约能力情况等进行全面评估的基础上，披露该财务资助事项的风险和公允性，以及董事会对被资助对象偿还债务能力的判断。按出资比例向符合要求的关联参股公司提供同等条件财务资助的，还应当披露独立董事专门会议审议情况。</w:t>
      </w:r>
    </w:p>
    <w:p w14:paraId="3999322A">
      <w:pPr>
        <w:autoSpaceDE w:val="0"/>
        <w:autoSpaceDN w:val="0"/>
        <w:adjustRightInd w:val="0"/>
        <w:spacing w:line="560" w:lineRule="exact"/>
        <w:rPr>
          <w:rFonts w:ascii="仿宋_GB2312" w:hAnsi="宋体" w:eastAsia="仿宋_GB2312"/>
          <w:color w:val="000000"/>
          <w:kern w:val="0"/>
          <w:sz w:val="30"/>
          <w:szCs w:val="30"/>
        </w:rPr>
      </w:pPr>
    </w:p>
    <w:p w14:paraId="4547C427">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 、中介机构意见（如适用）</w:t>
      </w:r>
    </w:p>
    <w:p w14:paraId="2FA68374">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保荐人或独立财务顾问（如有）应当对财务资助事项的合法合规性、公允性及存在的风险等发表的意见。</w:t>
      </w:r>
    </w:p>
    <w:p w14:paraId="6B145BC4">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p>
    <w:p w14:paraId="263E0062">
      <w:pPr>
        <w:autoSpaceDE w:val="0"/>
        <w:autoSpaceDN w:val="0"/>
        <w:adjustRightInd w:val="0"/>
        <w:spacing w:line="560" w:lineRule="exact"/>
        <w:ind w:firstLine="602" w:firstLineChars="200"/>
        <w:jc w:val="left"/>
        <w:rPr>
          <w:rFonts w:ascii="仿宋_GB2312" w:hAnsi="宋体" w:eastAsia="仿宋_GB2312"/>
          <w:color w:val="000000"/>
          <w:kern w:val="0"/>
          <w:sz w:val="30"/>
          <w:szCs w:val="30"/>
        </w:rPr>
      </w:pPr>
      <w:r>
        <w:rPr>
          <w:rFonts w:hint="eastAsia" w:ascii="黑体" w:hAnsi="黑体" w:eastAsia="黑体" w:cs="宋体-WinCharSetFFFF-H"/>
          <w:b/>
          <w:color w:val="000000"/>
          <w:kern w:val="0"/>
          <w:sz w:val="30"/>
          <w:szCs w:val="30"/>
        </w:rPr>
        <w:t>七、累计提供财务资助金额及逾期金额</w:t>
      </w:r>
    </w:p>
    <w:p w14:paraId="4B32FF90">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本次提供财务资助后，上市公司提供财务资助总余额及占上市公司最近一期经审计净资产的比例；上市公司及其控股子公司对合并报表外单位提供财务资助总余额及占上市公司最近一期经审计净资产的比例；逾期未收回的金额及相关情况等。</w:t>
      </w:r>
    </w:p>
    <w:p w14:paraId="48CFE81D">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p>
    <w:p w14:paraId="2B422915">
      <w:pPr>
        <w:autoSpaceDE w:val="0"/>
        <w:autoSpaceDN w:val="0"/>
        <w:adjustRightInd w:val="0"/>
        <w:spacing w:line="560" w:lineRule="exact"/>
        <w:ind w:firstLine="602" w:firstLineChars="200"/>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八、财务</w:t>
      </w:r>
      <w:r>
        <w:rPr>
          <w:rFonts w:hint="eastAsia" w:ascii="黑体" w:hAnsi="黑体" w:eastAsia="黑体" w:cs="宋体-WinCharSetFFFF-H"/>
          <w:b/>
          <w:color w:val="000000"/>
          <w:kern w:val="0"/>
          <w:sz w:val="30"/>
          <w:szCs w:val="30"/>
          <w:lang w:eastAsia="zh-CN"/>
        </w:rPr>
        <w:t>资助</w:t>
      </w:r>
      <w:r>
        <w:rPr>
          <w:rFonts w:hint="eastAsia" w:ascii="黑体" w:hAnsi="黑体" w:eastAsia="黑体" w:cs="宋体-WinCharSetFFFF-H"/>
          <w:b/>
          <w:color w:val="000000"/>
          <w:kern w:val="0"/>
          <w:sz w:val="30"/>
          <w:szCs w:val="30"/>
        </w:rPr>
        <w:t>预计（如适用）</w:t>
      </w:r>
    </w:p>
    <w:p w14:paraId="68809424">
      <w:pPr>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 xml:space="preserve">按照中国证监会行业分类，属于房地产行业的上市公司，及其控股子公司向其为开展房地产业务而成立的项目公司提供财务资助，满足相关条件的，上市公司可以对未来12个月内拟新增资助总额度进行合理预计，并提交股东会审议。 </w:t>
      </w:r>
    </w:p>
    <w:p w14:paraId="431215B3">
      <w:pPr>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前述资助事项实际发生时，上市公司应当及时披露，任一时点的资助余额不得超过股东会审议通过的资助额度。</w:t>
      </w:r>
    </w:p>
    <w:p w14:paraId="06E40DC9">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14:paraId="712C5695">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同时符合下列条件的房地产行业上市公司及其控股子公司可以就其为开展房地产业务而成立的项目公司提供财务资助进行预计：</w:t>
      </w:r>
    </w:p>
    <w:p w14:paraId="32E6059C">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 xml:space="preserve">1.被资助对象符合《股票上市规则》规定的对象范围，且不是上市公司的董事、高级管理人员、持股 5%以上的股东控制的法人或其他组织； </w:t>
      </w:r>
    </w:p>
    <w:p w14:paraId="2B584216">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 xml:space="preserve">2.被资助对象从事单一主营业务且为房地产开发业务，且资助资金仅用于主营业务； </w:t>
      </w:r>
    </w:p>
    <w:p w14:paraId="633677C1">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3.被资助对象的其他股东或者其他合作方按出资比例提供同等条件的财务资助，包括资助金额、期限、利率</w:t>
      </w:r>
      <w:r>
        <w:rPr>
          <w:rFonts w:hint="eastAsia" w:ascii="楷体" w:hAnsi="楷体" w:eastAsia="楷体" w:cs="宋体-WinCharSetFFFF-H"/>
          <w:color w:val="000000"/>
          <w:kern w:val="0"/>
          <w:sz w:val="24"/>
          <w:szCs w:val="24"/>
          <w:lang w:eastAsia="zh-CN"/>
        </w:rPr>
        <w:t>、违</w:t>
      </w:r>
      <w:r>
        <w:rPr>
          <w:rFonts w:hint="eastAsia" w:ascii="楷体" w:hAnsi="楷体" w:eastAsia="楷体" w:cs="宋体-WinCharSetFFFF-H"/>
          <w:color w:val="000000"/>
          <w:kern w:val="0"/>
          <w:sz w:val="24"/>
          <w:szCs w:val="24"/>
        </w:rPr>
        <w:t xml:space="preserve">约责任、担保措施等； </w:t>
      </w:r>
    </w:p>
    <w:p w14:paraId="24625FB9">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4.拟新增资助总额度不超过上市公司最近一期经审计净资产的 50%，对单个被资助对象的资助额度不超过上市公司最近一期经审计净资产的 10%。）</w:t>
      </w:r>
    </w:p>
    <w:p w14:paraId="0ED366B5">
      <w:pPr>
        <w:autoSpaceDE w:val="0"/>
        <w:autoSpaceDN w:val="0"/>
        <w:adjustRightInd w:val="0"/>
        <w:spacing w:line="560" w:lineRule="exact"/>
        <w:jc w:val="left"/>
        <w:rPr>
          <w:rFonts w:ascii="黑体" w:hAnsi="黑体" w:eastAsia="黑体" w:cs="宋体-WinCharSetFFFF-H"/>
          <w:b/>
          <w:color w:val="000000"/>
          <w:kern w:val="0"/>
          <w:sz w:val="30"/>
          <w:szCs w:val="30"/>
        </w:rPr>
      </w:pPr>
    </w:p>
    <w:p w14:paraId="5E5872A2">
      <w:pPr>
        <w:autoSpaceDE w:val="0"/>
        <w:autoSpaceDN w:val="0"/>
        <w:adjustRightInd w:val="0"/>
        <w:spacing w:line="560" w:lineRule="exact"/>
        <w:ind w:firstLine="602" w:firstLineChars="200"/>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九、其他</w:t>
      </w:r>
    </w:p>
    <w:p w14:paraId="2157470F">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1．提供财务资助公告首次披露后，上市公司应及时披露提供财务资助事项的审议、协议签署和其他进展或变化情况；</w:t>
      </w:r>
    </w:p>
    <w:p w14:paraId="47078C3D">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对于已披露的财务资助事项，上市公司还应当在出现本所《上市公司自律监管指引第1号——规范运作》等规定的风险情形时，及时披露相关情况及拟采取的补救措施，并充分说明董事会关于被资助对象偿债能力和该项财务资助收回风险的判断。</w:t>
      </w:r>
    </w:p>
    <w:p w14:paraId="03036ECB">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p>
    <w:p w14:paraId="0C7300A1">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6A5AF79C">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7F8D23B0">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65319856">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0F03DB56">
      <w:pPr>
        <w:spacing w:line="560" w:lineRule="exact"/>
        <w:jc w:val="right"/>
        <w:rPr>
          <w:rFonts w:ascii="仿宋_GB2312" w:hAnsi="宋体" w:eastAsia="仿宋_GB2312" w:cs="宋体-WinCharSetFFFF-H"/>
          <w:color w:val="000000"/>
          <w:kern w:val="0"/>
          <w:sz w:val="30"/>
          <w:szCs w:val="30"/>
        </w:rPr>
      </w:pPr>
    </w:p>
    <w:p w14:paraId="0E34BB4C">
      <w:pPr>
        <w:spacing w:line="560" w:lineRule="exact"/>
        <w:jc w:val="right"/>
        <w:rPr>
          <w:rFonts w:ascii="仿宋_GB2312" w:hAnsi="宋体" w:eastAsia="仿宋_GB2312" w:cs="宋体-WinCharSetFFFF-H"/>
          <w:color w:val="000000"/>
          <w:kern w:val="0"/>
          <w:sz w:val="30"/>
          <w:szCs w:val="30"/>
        </w:rPr>
      </w:pPr>
    </w:p>
    <w:p w14:paraId="6D2D0D25">
      <w:pPr>
        <w:pStyle w:val="11"/>
        <w:widowControl/>
        <w:numPr>
          <w:ilvl w:val="0"/>
          <w:numId w:val="2"/>
        </w:numPr>
        <w:adjustRightInd w:val="0"/>
        <w:snapToGrid w:val="0"/>
        <w:spacing w:line="560" w:lineRule="exact"/>
        <w:ind w:firstLineChars="0"/>
        <w:rPr>
          <w:rFonts w:ascii="仿宋_GB2312" w:hAnsi="Times New Roman" w:eastAsia="仿宋_GB2312"/>
          <w:b/>
          <w:bCs/>
          <w:sz w:val="30"/>
          <w:szCs w:val="30"/>
        </w:rPr>
      </w:pPr>
      <w:r>
        <w:rPr>
          <w:rFonts w:hint="eastAsia" w:ascii="仿宋_GB2312" w:hAnsi="Times New Roman" w:eastAsia="仿宋_GB2312"/>
          <w:b/>
          <w:bCs/>
          <w:sz w:val="30"/>
          <w:szCs w:val="30"/>
        </w:rPr>
        <w:t>报备文件</w:t>
      </w:r>
    </w:p>
    <w:p w14:paraId="6DD7B7F6">
      <w:pPr>
        <w:widowControl/>
        <w:adjustRightInd w:val="0"/>
        <w:snapToGrid w:val="0"/>
        <w:spacing w:line="560" w:lineRule="exact"/>
        <w:ind w:firstLine="900" w:firstLineChars="3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财务资助协议</w:t>
      </w:r>
    </w:p>
    <w:p w14:paraId="643F68D4">
      <w:pPr>
        <w:spacing w:line="560" w:lineRule="exact"/>
        <w:jc w:val="right"/>
        <w:rPr>
          <w:rFonts w:ascii="仿宋_GB2312" w:hAnsi="宋体" w:eastAsia="仿宋_GB2312" w:cs="宋体-WinCharSetFFFF-H"/>
          <w:color w:val="000000"/>
          <w:kern w:val="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WinCharSetFFFF-H">
    <w:altName w:val="楷体_GB2312"/>
    <w:panose1 w:val="00000000000000000000"/>
    <w:charset w:val="86"/>
    <w:family w:val="auto"/>
    <w:pitch w:val="default"/>
    <w:sig w:usb0="00000000" w:usb1="00000000" w:usb2="00000010" w:usb3="00000000" w:csb0="00040000" w:csb1="00000000"/>
  </w:font>
  <w:font w:name="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docPartObj>
        <w:docPartGallery w:val="autotext"/>
      </w:docPartObj>
    </w:sdtPr>
    <w:sdtContent>
      <w:p w14:paraId="5F030C8D">
        <w:pPr>
          <w:pStyle w:val="4"/>
          <w:jc w:val="center"/>
        </w:pPr>
        <w:r>
          <w:fldChar w:fldCharType="begin"/>
        </w:r>
        <w:r>
          <w:instrText xml:space="preserve"> PAGE   \* MERGEFORMAT </w:instrText>
        </w:r>
        <w:r>
          <w:fldChar w:fldCharType="separate"/>
        </w:r>
        <w:r>
          <w:rPr>
            <w:lang w:val="zh-CN"/>
          </w:rPr>
          <w:t>6</w:t>
        </w:r>
        <w:r>
          <w:fldChar w:fldCharType="end"/>
        </w:r>
      </w:p>
    </w:sdtContent>
  </w:sdt>
  <w:p w14:paraId="0F01D9A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345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854AA"/>
    <w:multiLevelType w:val="multilevel"/>
    <w:tmpl w:val="524854AA"/>
    <w:lvl w:ilvl="0" w:tentative="0">
      <w:start w:val="1"/>
      <w:numFmt w:val="bullet"/>
      <w:lvlText w:val=""/>
      <w:lvlJc w:val="left"/>
      <w:pPr>
        <w:ind w:left="1271" w:hanging="420"/>
      </w:pPr>
      <w:rPr>
        <w:rFonts w:hint="default" w:ascii="Wingdings" w:hAnsi="Wingdings"/>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42CB2"/>
    <w:rsid w:val="00076DF0"/>
    <w:rsid w:val="000C4169"/>
    <w:rsid w:val="000C596D"/>
    <w:rsid w:val="000E7FC7"/>
    <w:rsid w:val="000F70FC"/>
    <w:rsid w:val="00112568"/>
    <w:rsid w:val="001132D2"/>
    <w:rsid w:val="00115763"/>
    <w:rsid w:val="00126188"/>
    <w:rsid w:val="00131901"/>
    <w:rsid w:val="001368F4"/>
    <w:rsid w:val="00171992"/>
    <w:rsid w:val="00172689"/>
    <w:rsid w:val="001C112E"/>
    <w:rsid w:val="001C5E3C"/>
    <w:rsid w:val="001E0CA9"/>
    <w:rsid w:val="002275F7"/>
    <w:rsid w:val="002317AE"/>
    <w:rsid w:val="00236848"/>
    <w:rsid w:val="00267E1D"/>
    <w:rsid w:val="002E7CF6"/>
    <w:rsid w:val="00310CD9"/>
    <w:rsid w:val="003111D2"/>
    <w:rsid w:val="00313A26"/>
    <w:rsid w:val="00320A89"/>
    <w:rsid w:val="003351AE"/>
    <w:rsid w:val="00357875"/>
    <w:rsid w:val="00364B6E"/>
    <w:rsid w:val="003660B0"/>
    <w:rsid w:val="00375B84"/>
    <w:rsid w:val="0039024B"/>
    <w:rsid w:val="003A5AFD"/>
    <w:rsid w:val="003C0678"/>
    <w:rsid w:val="003D52A6"/>
    <w:rsid w:val="003E05E1"/>
    <w:rsid w:val="003F11E0"/>
    <w:rsid w:val="00412966"/>
    <w:rsid w:val="00432CBD"/>
    <w:rsid w:val="00450486"/>
    <w:rsid w:val="00484D96"/>
    <w:rsid w:val="004B266E"/>
    <w:rsid w:val="004D700B"/>
    <w:rsid w:val="004F12D0"/>
    <w:rsid w:val="0050105A"/>
    <w:rsid w:val="005125CB"/>
    <w:rsid w:val="0052017B"/>
    <w:rsid w:val="005239D3"/>
    <w:rsid w:val="0052783A"/>
    <w:rsid w:val="00532663"/>
    <w:rsid w:val="0054554E"/>
    <w:rsid w:val="0054627B"/>
    <w:rsid w:val="00557C3E"/>
    <w:rsid w:val="00561CC0"/>
    <w:rsid w:val="00575211"/>
    <w:rsid w:val="00575D7D"/>
    <w:rsid w:val="005762A0"/>
    <w:rsid w:val="00590C36"/>
    <w:rsid w:val="00594AC3"/>
    <w:rsid w:val="005A170C"/>
    <w:rsid w:val="005E6612"/>
    <w:rsid w:val="005E7DB1"/>
    <w:rsid w:val="00600533"/>
    <w:rsid w:val="00617ABF"/>
    <w:rsid w:val="00622EEA"/>
    <w:rsid w:val="00631267"/>
    <w:rsid w:val="00641BE3"/>
    <w:rsid w:val="006754DD"/>
    <w:rsid w:val="0068174A"/>
    <w:rsid w:val="00690B69"/>
    <w:rsid w:val="006B45CE"/>
    <w:rsid w:val="006E4809"/>
    <w:rsid w:val="006E6DF6"/>
    <w:rsid w:val="00701647"/>
    <w:rsid w:val="00717AF2"/>
    <w:rsid w:val="00721253"/>
    <w:rsid w:val="007508E3"/>
    <w:rsid w:val="0077236C"/>
    <w:rsid w:val="00775848"/>
    <w:rsid w:val="007A7C41"/>
    <w:rsid w:val="007C16C0"/>
    <w:rsid w:val="007C41F8"/>
    <w:rsid w:val="007F434E"/>
    <w:rsid w:val="0080126D"/>
    <w:rsid w:val="00857298"/>
    <w:rsid w:val="008723D0"/>
    <w:rsid w:val="0089016F"/>
    <w:rsid w:val="008E0A17"/>
    <w:rsid w:val="008E2FF0"/>
    <w:rsid w:val="00904E8F"/>
    <w:rsid w:val="009212F3"/>
    <w:rsid w:val="00933E74"/>
    <w:rsid w:val="00947E5C"/>
    <w:rsid w:val="00952ACC"/>
    <w:rsid w:val="009641A7"/>
    <w:rsid w:val="00985004"/>
    <w:rsid w:val="009A4AD1"/>
    <w:rsid w:val="009A5698"/>
    <w:rsid w:val="009D7F94"/>
    <w:rsid w:val="009E69C2"/>
    <w:rsid w:val="00A07F36"/>
    <w:rsid w:val="00A10620"/>
    <w:rsid w:val="00A1145A"/>
    <w:rsid w:val="00A14D3B"/>
    <w:rsid w:val="00A317FA"/>
    <w:rsid w:val="00A52A73"/>
    <w:rsid w:val="00A67D30"/>
    <w:rsid w:val="00AA1DF6"/>
    <w:rsid w:val="00AC6182"/>
    <w:rsid w:val="00AF26B0"/>
    <w:rsid w:val="00AF5F5D"/>
    <w:rsid w:val="00B01444"/>
    <w:rsid w:val="00B26D4E"/>
    <w:rsid w:val="00B3338B"/>
    <w:rsid w:val="00B4222C"/>
    <w:rsid w:val="00B844CB"/>
    <w:rsid w:val="00B875C2"/>
    <w:rsid w:val="00BB4C60"/>
    <w:rsid w:val="00BF2ECD"/>
    <w:rsid w:val="00C0789A"/>
    <w:rsid w:val="00C13FC2"/>
    <w:rsid w:val="00C22841"/>
    <w:rsid w:val="00C578DC"/>
    <w:rsid w:val="00C83F71"/>
    <w:rsid w:val="00CA5606"/>
    <w:rsid w:val="00CD0630"/>
    <w:rsid w:val="00CE5C18"/>
    <w:rsid w:val="00CF08B2"/>
    <w:rsid w:val="00CF749F"/>
    <w:rsid w:val="00D14999"/>
    <w:rsid w:val="00D53385"/>
    <w:rsid w:val="00D70DBF"/>
    <w:rsid w:val="00D74002"/>
    <w:rsid w:val="00DD5045"/>
    <w:rsid w:val="00DD5D73"/>
    <w:rsid w:val="00E0137B"/>
    <w:rsid w:val="00E0788E"/>
    <w:rsid w:val="00E479F4"/>
    <w:rsid w:val="00E660F3"/>
    <w:rsid w:val="00E70493"/>
    <w:rsid w:val="00EE17C8"/>
    <w:rsid w:val="00EE43B7"/>
    <w:rsid w:val="00EE53CD"/>
    <w:rsid w:val="00F14C65"/>
    <w:rsid w:val="00F54EC4"/>
    <w:rsid w:val="00F91E15"/>
    <w:rsid w:val="00FD5ED9"/>
    <w:rsid w:val="00FE2EED"/>
    <w:rsid w:val="321B7C44"/>
    <w:rsid w:val="445F10F5"/>
    <w:rsid w:val="64176F45"/>
    <w:rsid w:val="77EE1842"/>
    <w:rsid w:val="7D6BEC92"/>
    <w:rsid w:val="EFF58319"/>
    <w:rsid w:val="FE3E8889"/>
    <w:rsid w:val="FEA51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0"/>
    <w:pPr>
      <w:jc w:val="left"/>
    </w:pPr>
    <w:rPr>
      <w:rFonts w:ascii="Times New Roman" w:hAnsi="Times New Roman"/>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rFonts w:ascii="Calibri" w:hAnsi="Calibri"/>
      <w:b/>
      <w:bCs/>
      <w:szCs w:val="22"/>
    </w:rPr>
  </w:style>
  <w:style w:type="character" w:styleId="9">
    <w:name w:val="annotation reference"/>
    <w:semiHidden/>
    <w:qFormat/>
    <w:uiPriority w:val="0"/>
    <w:rPr>
      <w:sz w:val="21"/>
      <w:szCs w:val="21"/>
    </w:rPr>
  </w:style>
  <w:style w:type="character" w:customStyle="1" w:styleId="10">
    <w:name w:val="页脚 Char"/>
    <w:basedOn w:val="8"/>
    <w:link w:val="4"/>
    <w:qFormat/>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rFonts w:ascii="Calibri" w:hAnsi="Calibri" w:eastAsia="宋体" w:cs="Times New Roman"/>
      <w:sz w:val="18"/>
      <w:szCs w:val="18"/>
    </w:rPr>
  </w:style>
  <w:style w:type="character" w:customStyle="1" w:styleId="13">
    <w:name w:val="批注文字 Char"/>
    <w:basedOn w:val="8"/>
    <w:link w:val="2"/>
    <w:semiHidden/>
    <w:qFormat/>
    <w:uiPriority w:val="0"/>
    <w:rPr>
      <w:rFonts w:ascii="Times New Roman" w:hAnsi="Times New Roman" w:eastAsia="宋体" w:cs="Times New Roman"/>
      <w:szCs w:val="24"/>
    </w:rPr>
  </w:style>
  <w:style w:type="character" w:customStyle="1" w:styleId="14">
    <w:name w:val="批注框文本 Char"/>
    <w:basedOn w:val="8"/>
    <w:link w:val="3"/>
    <w:semiHidden/>
    <w:qFormat/>
    <w:uiPriority w:val="99"/>
    <w:rPr>
      <w:rFonts w:ascii="Calibri" w:hAnsi="Calibri" w:eastAsia="宋体" w:cs="Times New Roman"/>
      <w:sz w:val="18"/>
      <w:szCs w:val="18"/>
    </w:rPr>
  </w:style>
  <w:style w:type="character" w:customStyle="1" w:styleId="15">
    <w:name w:val="批注主题 Char"/>
    <w:basedOn w:val="13"/>
    <w:link w:val="6"/>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380</Words>
  <Characters>2169</Characters>
  <Lines>18</Lines>
  <Paragraphs>5</Paragraphs>
  <TotalTime>110</TotalTime>
  <ScaleCrop>false</ScaleCrop>
  <LinksUpToDate>false</LinksUpToDate>
  <CharactersWithSpaces>2544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2022-04-25T05:43:00Z</dcterms:created>
  <dc:creator>whzhou</dc:creator>
  <cp:lastModifiedBy>wentinglou</cp:lastModifiedBy>
  <dcterms:modified xsi:type="dcterms:W3CDTF">2025-08-27T08:52:46Z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D24E6A4E11704C9C81984F6C2AFBEAED_13</vt:lpwstr>
  </property>
</Properties>
</file>