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D221E">
      <w:pPr>
        <w:pStyle w:val="2"/>
        <w:spacing w:before="0" w:after="0" w:line="600" w:lineRule="exact"/>
        <w:jc w:val="center"/>
        <w:rPr>
          <w:rFonts w:ascii="黑体" w:hAnsi="黑体" w:eastAsia="黑体"/>
          <w:sz w:val="36"/>
          <w:szCs w:val="36"/>
        </w:rPr>
      </w:pPr>
      <w:r>
        <w:rPr>
          <w:rFonts w:hint="eastAsia" w:ascii="黑体" w:hAnsi="黑体" w:eastAsia="黑体"/>
          <w:sz w:val="36"/>
          <w:szCs w:val="36"/>
        </w:rPr>
        <w:t>第九号 科创板上市公司行业及经营风险的提示公告</w:t>
      </w:r>
    </w:p>
    <w:p w14:paraId="1167EBFA">
      <w:pPr>
        <w:adjustRightInd w:val="0"/>
        <w:snapToGrid w:val="0"/>
        <w:spacing w:line="600" w:lineRule="exact"/>
        <w:rPr>
          <w:rFonts w:ascii="仿宋_GB2312" w:eastAsia="仿宋_GB2312"/>
          <w:sz w:val="30"/>
          <w:szCs w:val="30"/>
        </w:rPr>
      </w:pPr>
    </w:p>
    <w:p w14:paraId="38CFFF40">
      <w:pPr>
        <w:adjustRightInd w:val="0"/>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61785F42">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科创板上市公司出现《上海证券交易所科创板股票上市规则》（以下简称《科创板上市规则》）规定的下述情形，应当及时履行信息披露义务，适用本公告格式指引。</w:t>
      </w:r>
      <w:bookmarkStart w:id="0" w:name="_GoBack"/>
      <w:bookmarkEnd w:id="0"/>
    </w:p>
    <w:p w14:paraId="6FF1DEB7">
      <w:pPr>
        <w:ind w:firstLine="600" w:firstLineChars="200"/>
        <w:rPr>
          <w:rFonts w:hint="eastAsia" w:ascii="仿宋_GB2312" w:eastAsia="仿宋_GB2312"/>
          <w:sz w:val="30"/>
          <w:szCs w:val="30"/>
        </w:rPr>
      </w:pPr>
      <w:r>
        <w:rPr>
          <w:rFonts w:hint="eastAsia" w:ascii="仿宋_GB2312" w:eastAsia="仿宋_GB2312"/>
          <w:sz w:val="30"/>
          <w:szCs w:val="30"/>
        </w:rPr>
        <w:t>1.行业及业务发生重大变化的，应当及时披露：</w:t>
      </w:r>
    </w:p>
    <w:p w14:paraId="056C9EBA">
      <w:pPr>
        <w:ind w:firstLine="600" w:firstLineChars="200"/>
        <w:rPr>
          <w:rFonts w:hint="eastAsia" w:ascii="仿宋_GB2312" w:eastAsia="仿宋_GB2312"/>
          <w:sz w:val="30"/>
          <w:szCs w:val="30"/>
        </w:rPr>
      </w:pPr>
      <w:r>
        <w:rPr>
          <w:rFonts w:hint="eastAsia" w:ascii="仿宋_GB2312" w:eastAsia="仿宋_GB2312"/>
          <w:sz w:val="30"/>
          <w:szCs w:val="30"/>
        </w:rPr>
        <w:t>（1）所处行业的基本特点、主要技术门槛，报告期内新技术、新产业、新业态、新模式的发展情况和未来发展趋势；</w:t>
      </w:r>
    </w:p>
    <w:p w14:paraId="182155A0">
      <w:pPr>
        <w:ind w:firstLine="600" w:firstLineChars="200"/>
        <w:rPr>
          <w:rFonts w:hint="eastAsia" w:ascii="仿宋_GB2312" w:eastAsia="仿宋_GB2312"/>
          <w:sz w:val="30"/>
          <w:szCs w:val="30"/>
        </w:rPr>
      </w:pPr>
      <w:r>
        <w:rPr>
          <w:rFonts w:hint="eastAsia" w:ascii="仿宋_GB2312" w:eastAsia="仿宋_GB2312"/>
          <w:sz w:val="30"/>
          <w:szCs w:val="30"/>
        </w:rPr>
        <w:t>（2）核心竞争优势，核心经营团队和技术团队的竞争力分析，以及报告期内获得相关权利证书或者批准文件的核心技术储备；</w:t>
      </w:r>
    </w:p>
    <w:p w14:paraId="19CEA733">
      <w:pPr>
        <w:ind w:firstLine="600" w:firstLineChars="200"/>
        <w:rPr>
          <w:rFonts w:hint="eastAsia" w:ascii="仿宋_GB2312" w:eastAsia="仿宋_GB2312"/>
          <w:sz w:val="30"/>
          <w:szCs w:val="30"/>
        </w:rPr>
      </w:pPr>
      <w:r>
        <w:rPr>
          <w:rFonts w:hint="eastAsia" w:ascii="仿宋_GB2312" w:eastAsia="仿宋_GB2312"/>
          <w:sz w:val="30"/>
          <w:szCs w:val="30"/>
        </w:rPr>
        <w:t>（3）当期研发支出金额及占销售收入的比例、研发支出的构成项目、费用化及资本化的金额及比重；</w:t>
      </w:r>
    </w:p>
    <w:p w14:paraId="681EC197">
      <w:pPr>
        <w:ind w:firstLine="600" w:firstLineChars="200"/>
        <w:rPr>
          <w:rFonts w:hint="eastAsia" w:ascii="仿宋_GB2312" w:eastAsia="仿宋_GB2312"/>
          <w:sz w:val="30"/>
          <w:szCs w:val="30"/>
        </w:rPr>
      </w:pPr>
      <w:r>
        <w:rPr>
          <w:rFonts w:hint="eastAsia" w:ascii="仿宋_GB2312" w:eastAsia="仿宋_GB2312"/>
          <w:sz w:val="30"/>
          <w:szCs w:val="30"/>
        </w:rPr>
        <w:t>（4）在研产品或项目的进展或阶段性成果；研发项目预计总投资规模、应用前景以及可能存在的重大风险；</w:t>
      </w:r>
    </w:p>
    <w:p w14:paraId="4C68E2E5">
      <w:pPr>
        <w:ind w:firstLine="600" w:firstLineChars="200"/>
        <w:rPr>
          <w:rFonts w:hint="eastAsia" w:ascii="仿宋_GB2312" w:eastAsia="仿宋_GB2312"/>
          <w:sz w:val="30"/>
          <w:szCs w:val="30"/>
        </w:rPr>
      </w:pPr>
      <w:r>
        <w:rPr>
          <w:rFonts w:hint="eastAsia" w:ascii="仿宋_GB2312" w:eastAsia="仿宋_GB2312"/>
          <w:sz w:val="30"/>
          <w:szCs w:val="30"/>
        </w:rPr>
        <w:t>（5</w:t>
      </w:r>
      <w:bookmarkStart w:id="1" w:name="_GoBack"/>
      <w:bookmarkEnd w:id="1"/>
      <w:r>
        <w:rPr>
          <w:rFonts w:hint="eastAsia" w:ascii="仿宋_GB2312" w:eastAsia="仿宋_GB2312"/>
          <w:sz w:val="30"/>
          <w:szCs w:val="30"/>
        </w:rPr>
        <w:t>）其他有助于投资者决策的行业信息。</w:t>
      </w:r>
    </w:p>
    <w:p w14:paraId="60CA14D7">
      <w:pPr>
        <w:ind w:firstLine="600" w:firstLineChars="200"/>
        <w:rPr>
          <w:rFonts w:hint="eastAsia" w:ascii="仿宋_GB2312" w:eastAsia="仿宋_GB2312"/>
          <w:snapToGrid w:val="0"/>
          <w:sz w:val="30"/>
          <w:szCs w:val="30"/>
        </w:rPr>
      </w:pPr>
      <w:r>
        <w:rPr>
          <w:rFonts w:hint="eastAsia" w:ascii="仿宋_GB2312" w:eastAsia="仿宋_GB2312"/>
          <w:sz w:val="30"/>
          <w:szCs w:val="30"/>
        </w:rPr>
        <w:t>2.</w:t>
      </w:r>
      <w:r>
        <w:rPr>
          <w:rFonts w:hint="eastAsia" w:ascii="仿宋_GB2312" w:eastAsia="仿宋_GB2312"/>
          <w:snapToGrid w:val="0"/>
          <w:sz w:val="30"/>
          <w:szCs w:val="30"/>
        </w:rPr>
        <w:t>上市公司发生下列重大风险事项的，应当及时披露其对公司核心竞争力和持续经营能力的具体影响：</w:t>
      </w:r>
    </w:p>
    <w:p w14:paraId="433EB8F1">
      <w:pPr>
        <w:ind w:firstLine="600" w:firstLineChars="200"/>
        <w:rPr>
          <w:rFonts w:hint="eastAsia" w:ascii="仿宋_GB2312" w:eastAsia="仿宋_GB2312"/>
          <w:sz w:val="30"/>
          <w:szCs w:val="30"/>
        </w:rPr>
      </w:pPr>
      <w:r>
        <w:rPr>
          <w:rFonts w:hint="eastAsia" w:ascii="仿宋_GB2312" w:eastAsia="仿宋_GB2312"/>
          <w:sz w:val="30"/>
          <w:szCs w:val="30"/>
        </w:rPr>
        <w:t>（1）国家政策、市场环境、贸易条件等外部宏观环境发生重大不利变化；</w:t>
      </w:r>
    </w:p>
    <w:p w14:paraId="1642B13D">
      <w:pPr>
        <w:ind w:firstLine="600" w:firstLineChars="200"/>
        <w:rPr>
          <w:rFonts w:hint="eastAsia" w:ascii="仿宋_GB2312" w:eastAsia="仿宋_GB2312"/>
          <w:sz w:val="30"/>
          <w:szCs w:val="30"/>
        </w:rPr>
      </w:pPr>
      <w:r>
        <w:rPr>
          <w:rFonts w:hint="eastAsia" w:ascii="仿宋_GB2312" w:eastAsia="仿宋_GB2312"/>
          <w:sz w:val="30"/>
          <w:szCs w:val="30"/>
        </w:rPr>
        <w:t>（2）原材料采购价格、产品售价或市场容量出现重大不利变化，或者供销渠道、重要供应商或客户发生重大不利变化；</w:t>
      </w:r>
    </w:p>
    <w:p w14:paraId="76E13427">
      <w:pPr>
        <w:ind w:firstLine="600" w:firstLineChars="200"/>
        <w:rPr>
          <w:rFonts w:hint="eastAsia" w:ascii="仿宋_GB2312" w:eastAsia="仿宋_GB2312"/>
          <w:sz w:val="30"/>
          <w:szCs w:val="30"/>
        </w:rPr>
      </w:pPr>
      <w:r>
        <w:rPr>
          <w:rFonts w:hint="eastAsia" w:ascii="仿宋_GB2312" w:eastAsia="仿宋_GB2312"/>
          <w:sz w:val="30"/>
          <w:szCs w:val="30"/>
        </w:rPr>
        <w:t>（3）核心技术人员离职；</w:t>
      </w:r>
    </w:p>
    <w:p w14:paraId="21453BBB">
      <w:pPr>
        <w:ind w:firstLine="600" w:firstLineChars="200"/>
        <w:rPr>
          <w:rFonts w:hint="eastAsia" w:ascii="仿宋_GB2312" w:eastAsia="仿宋_GB2312"/>
          <w:sz w:val="30"/>
          <w:szCs w:val="30"/>
        </w:rPr>
      </w:pPr>
      <w:r>
        <w:rPr>
          <w:rFonts w:hint="eastAsia" w:ascii="仿宋_GB2312" w:eastAsia="仿宋_GB2312"/>
          <w:sz w:val="30"/>
          <w:szCs w:val="30"/>
        </w:rPr>
        <w:t>（4）核心商标、专利、专有技术、特许经营权或者核心技术许可丧失、到期或者出现重大纠纷；</w:t>
      </w:r>
    </w:p>
    <w:p w14:paraId="7C5D625D">
      <w:pPr>
        <w:ind w:firstLine="600" w:firstLineChars="200"/>
        <w:rPr>
          <w:rFonts w:hint="eastAsia" w:ascii="仿宋_GB2312" w:eastAsia="仿宋_GB2312"/>
          <w:sz w:val="30"/>
          <w:szCs w:val="30"/>
        </w:rPr>
      </w:pPr>
      <w:r>
        <w:rPr>
          <w:rFonts w:hint="eastAsia" w:ascii="仿宋_GB2312" w:eastAsia="仿宋_GB2312"/>
          <w:sz w:val="30"/>
          <w:szCs w:val="30"/>
        </w:rPr>
        <w:t>（5）主要产品、业务或者所依赖的基础技术研发失败或者被禁止使用；</w:t>
      </w:r>
    </w:p>
    <w:p w14:paraId="332AE90B">
      <w:pPr>
        <w:ind w:firstLine="600" w:firstLineChars="200"/>
        <w:rPr>
          <w:rFonts w:hint="eastAsia" w:ascii="仿宋_GB2312" w:eastAsia="仿宋_GB2312"/>
          <w:sz w:val="30"/>
          <w:szCs w:val="30"/>
        </w:rPr>
      </w:pPr>
      <w:r>
        <w:rPr>
          <w:rFonts w:hint="eastAsia" w:ascii="仿宋_GB2312" w:eastAsia="仿宋_GB2312"/>
          <w:sz w:val="30"/>
          <w:szCs w:val="30"/>
        </w:rPr>
        <w:t>（6）主要产品或核心技术丧失竞争优势；</w:t>
      </w:r>
    </w:p>
    <w:p w14:paraId="6780F3E8">
      <w:pPr>
        <w:ind w:firstLine="600" w:firstLineChars="200"/>
        <w:rPr>
          <w:rFonts w:hint="eastAsia" w:ascii="仿宋_GB2312" w:eastAsia="仿宋_GB2312"/>
          <w:sz w:val="30"/>
          <w:szCs w:val="30"/>
        </w:rPr>
      </w:pPr>
      <w:r>
        <w:rPr>
          <w:rFonts w:hint="eastAsia" w:ascii="仿宋_GB2312" w:eastAsia="仿宋_GB2312"/>
          <w:sz w:val="30"/>
          <w:szCs w:val="30"/>
        </w:rPr>
        <w:t>（7）其他重大风险事项。</w:t>
      </w:r>
    </w:p>
    <w:p w14:paraId="4B599396">
      <w:pPr>
        <w:ind w:firstLine="600" w:firstLineChars="200"/>
        <w:rPr>
          <w:rFonts w:hint="eastAsia" w:ascii="仿宋_GB2312" w:eastAsia="仿宋_GB2312"/>
          <w:sz w:val="30"/>
          <w:szCs w:val="30"/>
        </w:rPr>
      </w:pPr>
      <w:r>
        <w:rPr>
          <w:rFonts w:hint="eastAsia" w:ascii="仿宋_GB2312" w:eastAsia="仿宋_GB2312"/>
          <w:snapToGrid w:val="0"/>
          <w:sz w:val="30"/>
          <w:szCs w:val="30"/>
        </w:rPr>
        <w:t>3.出现下列重大事故或负面事件的，应当及时披露具体情况及其影响：</w:t>
      </w:r>
    </w:p>
    <w:p w14:paraId="6B4E2B4F">
      <w:pPr>
        <w:ind w:firstLine="600" w:firstLineChars="200"/>
        <w:rPr>
          <w:rFonts w:hint="eastAsia" w:ascii="仿宋_GB2312" w:eastAsia="仿宋_GB2312"/>
          <w:sz w:val="30"/>
          <w:szCs w:val="30"/>
        </w:rPr>
      </w:pPr>
      <w:r>
        <w:rPr>
          <w:rFonts w:hint="eastAsia" w:ascii="仿宋_GB2312" w:eastAsia="仿宋_GB2312"/>
          <w:sz w:val="30"/>
          <w:szCs w:val="30"/>
        </w:rPr>
        <w:t>（1）发生重大环境、生产及产品安全事故；</w:t>
      </w:r>
    </w:p>
    <w:p w14:paraId="2D3B60C5">
      <w:pPr>
        <w:ind w:firstLine="600" w:firstLineChars="200"/>
        <w:rPr>
          <w:rFonts w:hint="eastAsia" w:ascii="仿宋_GB2312" w:eastAsia="仿宋_GB2312"/>
          <w:sz w:val="30"/>
          <w:szCs w:val="30"/>
        </w:rPr>
      </w:pPr>
      <w:r>
        <w:rPr>
          <w:rFonts w:hint="eastAsia" w:ascii="仿宋_GB2312" w:eastAsia="仿宋_GB2312"/>
          <w:sz w:val="30"/>
          <w:szCs w:val="30"/>
        </w:rPr>
        <w:t>（2）收到政府部门限期治理、停产、搬迁、关闭的决定通知；</w:t>
      </w:r>
    </w:p>
    <w:p w14:paraId="651392A3">
      <w:pPr>
        <w:ind w:firstLine="600" w:firstLineChars="200"/>
        <w:rPr>
          <w:rFonts w:hint="eastAsia" w:ascii="仿宋_GB2312" w:eastAsia="仿宋_GB2312"/>
          <w:sz w:val="30"/>
          <w:szCs w:val="30"/>
        </w:rPr>
      </w:pPr>
      <w:r>
        <w:rPr>
          <w:rFonts w:hint="eastAsia" w:ascii="仿宋_GB2312" w:eastAsia="仿宋_GB2312"/>
          <w:sz w:val="30"/>
          <w:szCs w:val="30"/>
        </w:rPr>
        <w:t>（3）不当使用科学技术或违反科学伦理；</w:t>
      </w:r>
    </w:p>
    <w:p w14:paraId="752FA271">
      <w:pPr>
        <w:ind w:firstLine="600" w:firstLineChars="200"/>
        <w:rPr>
          <w:rFonts w:hint="eastAsia" w:ascii="仿宋_GB2312" w:eastAsia="仿宋_GB2312"/>
          <w:sz w:val="30"/>
          <w:szCs w:val="30"/>
        </w:rPr>
      </w:pPr>
      <w:r>
        <w:rPr>
          <w:rFonts w:hint="eastAsia" w:ascii="仿宋_GB2312" w:eastAsia="仿宋_GB2312"/>
          <w:sz w:val="30"/>
          <w:szCs w:val="30"/>
        </w:rPr>
        <w:t>（4）其他不当履行社会责任的重大事故或负面事件。</w:t>
      </w:r>
    </w:p>
    <w:p w14:paraId="79658C4B">
      <w:pPr>
        <w:ind w:firstLine="600" w:firstLineChars="200"/>
        <w:rPr>
          <w:rFonts w:hint="eastAsia" w:ascii="仿宋_GB2312" w:eastAsia="仿宋_GB2312"/>
          <w:sz w:val="30"/>
          <w:szCs w:val="30"/>
        </w:rPr>
      </w:pPr>
      <w:r>
        <w:rPr>
          <w:rFonts w:hint="eastAsia" w:ascii="仿宋_GB2312" w:eastAsia="仿宋_GB2312"/>
          <w:sz w:val="30"/>
          <w:szCs w:val="30"/>
        </w:rPr>
        <w:t>4.上市公司出现下列重大风险事项之一，应当及时披露具体情况及其影响：</w:t>
      </w:r>
    </w:p>
    <w:p w14:paraId="1DB41B4D">
      <w:pPr>
        <w:ind w:firstLine="600" w:firstLineChars="200"/>
        <w:rPr>
          <w:rFonts w:hint="eastAsia" w:ascii="仿宋_GB2312" w:eastAsia="仿宋_GB2312"/>
          <w:sz w:val="30"/>
          <w:szCs w:val="30"/>
        </w:rPr>
      </w:pPr>
      <w:r>
        <w:rPr>
          <w:rFonts w:hint="eastAsia" w:ascii="仿宋_GB2312" w:eastAsia="仿宋_GB2312"/>
          <w:sz w:val="30"/>
          <w:szCs w:val="30"/>
        </w:rPr>
        <w:t>（1）可能发生重大亏损或者遭受重大损失；</w:t>
      </w:r>
    </w:p>
    <w:p w14:paraId="1095C968">
      <w:pPr>
        <w:ind w:firstLine="600" w:firstLineChars="200"/>
        <w:rPr>
          <w:rFonts w:hint="eastAsia" w:ascii="仿宋_GB2312" w:eastAsia="仿宋_GB2312"/>
          <w:sz w:val="30"/>
          <w:szCs w:val="30"/>
        </w:rPr>
      </w:pPr>
      <w:r>
        <w:rPr>
          <w:rFonts w:hint="eastAsia" w:ascii="仿宋_GB2312" w:eastAsia="仿宋_GB2312"/>
          <w:sz w:val="30"/>
          <w:szCs w:val="30"/>
        </w:rPr>
        <w:t>（2）发生重大债务或者重大债权到期未获清偿；</w:t>
      </w:r>
    </w:p>
    <w:p w14:paraId="5604B779">
      <w:pPr>
        <w:ind w:firstLine="600" w:firstLineChars="200"/>
        <w:rPr>
          <w:rFonts w:hint="eastAsia" w:ascii="仿宋_GB2312" w:eastAsia="仿宋_GB2312"/>
          <w:sz w:val="30"/>
          <w:szCs w:val="30"/>
        </w:rPr>
      </w:pPr>
      <w:r>
        <w:rPr>
          <w:rFonts w:hint="eastAsia" w:ascii="仿宋_GB2312" w:eastAsia="仿宋_GB2312"/>
          <w:sz w:val="30"/>
          <w:szCs w:val="30"/>
        </w:rPr>
        <w:t>（3）可能依法承担重大违约责任或者大额赔偿责任；</w:t>
      </w:r>
    </w:p>
    <w:p w14:paraId="27D50F88">
      <w:pPr>
        <w:ind w:firstLine="600" w:firstLineChars="200"/>
        <w:rPr>
          <w:rFonts w:hint="eastAsia" w:ascii="仿宋_GB2312" w:eastAsia="仿宋_GB2312"/>
          <w:sz w:val="30"/>
          <w:szCs w:val="30"/>
        </w:rPr>
      </w:pPr>
      <w:r>
        <w:rPr>
          <w:rFonts w:hint="eastAsia" w:ascii="仿宋_GB2312" w:eastAsia="仿宋_GB2312"/>
          <w:sz w:val="30"/>
          <w:szCs w:val="30"/>
        </w:rPr>
        <w:t>（4）计提大额资产减值准备；</w:t>
      </w:r>
    </w:p>
    <w:p w14:paraId="291CEECA">
      <w:pPr>
        <w:ind w:firstLine="600" w:firstLineChars="200"/>
        <w:rPr>
          <w:rFonts w:hint="eastAsia" w:ascii="仿宋_GB2312" w:eastAsia="仿宋_GB2312"/>
          <w:sz w:val="30"/>
          <w:szCs w:val="30"/>
        </w:rPr>
      </w:pPr>
      <w:r>
        <w:rPr>
          <w:rFonts w:hint="eastAsia" w:ascii="仿宋_GB2312" w:eastAsia="仿宋_GB2312"/>
          <w:sz w:val="30"/>
          <w:szCs w:val="30"/>
        </w:rPr>
        <w:t>（5）公司决定解散或者被有权机关依法吊销营业执照、责令关闭或者被撤销；</w:t>
      </w:r>
    </w:p>
    <w:p w14:paraId="4C0E2759">
      <w:pPr>
        <w:ind w:firstLine="600" w:firstLineChars="200"/>
        <w:rPr>
          <w:rFonts w:hint="eastAsia" w:ascii="仿宋_GB2312" w:eastAsia="仿宋_GB2312"/>
          <w:sz w:val="30"/>
          <w:szCs w:val="30"/>
        </w:rPr>
      </w:pPr>
      <w:r>
        <w:rPr>
          <w:rFonts w:hint="eastAsia" w:ascii="仿宋_GB2312" w:eastAsia="仿宋_GB2312"/>
          <w:sz w:val="30"/>
          <w:szCs w:val="30"/>
        </w:rPr>
        <w:t>（6）预计出现股东权益为负值；</w:t>
      </w:r>
    </w:p>
    <w:p w14:paraId="10B9855D">
      <w:pPr>
        <w:ind w:firstLine="600" w:firstLineChars="200"/>
        <w:rPr>
          <w:rFonts w:hint="eastAsia" w:ascii="仿宋_GB2312" w:eastAsia="仿宋_GB2312"/>
          <w:sz w:val="30"/>
          <w:szCs w:val="30"/>
        </w:rPr>
      </w:pPr>
      <w:r>
        <w:rPr>
          <w:rFonts w:hint="eastAsia" w:ascii="仿宋_GB2312" w:eastAsia="仿宋_GB2312"/>
          <w:sz w:val="30"/>
          <w:szCs w:val="30"/>
        </w:rPr>
        <w:t>（7）主要债务人出现资不抵债，公司对相应债权未提取足额坏账准备；</w:t>
      </w:r>
    </w:p>
    <w:p w14:paraId="0339F725">
      <w:pPr>
        <w:ind w:firstLine="600" w:firstLineChars="200"/>
        <w:rPr>
          <w:rFonts w:hint="eastAsia" w:ascii="仿宋_GB2312" w:eastAsia="仿宋_GB2312"/>
          <w:sz w:val="30"/>
          <w:szCs w:val="30"/>
        </w:rPr>
      </w:pPr>
      <w:r>
        <w:rPr>
          <w:rFonts w:hint="eastAsia" w:ascii="仿宋_GB2312" w:eastAsia="仿宋_GB2312"/>
          <w:sz w:val="30"/>
          <w:szCs w:val="30"/>
        </w:rPr>
        <w:t>（8）主要资产被查封、扣押、冻结或者被抵押、质押；</w:t>
      </w:r>
    </w:p>
    <w:p w14:paraId="6F78B48F">
      <w:pPr>
        <w:ind w:firstLine="600" w:firstLineChars="200"/>
        <w:rPr>
          <w:rFonts w:hint="eastAsia" w:ascii="仿宋_GB2312" w:eastAsia="仿宋_GB2312"/>
          <w:sz w:val="30"/>
          <w:szCs w:val="30"/>
        </w:rPr>
      </w:pPr>
      <w:r>
        <w:rPr>
          <w:rFonts w:hint="eastAsia" w:ascii="仿宋_GB2312" w:eastAsia="仿宋_GB2312"/>
          <w:sz w:val="30"/>
          <w:szCs w:val="30"/>
        </w:rPr>
        <w:t>（9）主要银行账户被查封、冻结；</w:t>
      </w:r>
    </w:p>
    <w:p w14:paraId="2383A4D1">
      <w:pPr>
        <w:ind w:firstLine="600" w:firstLineChars="200"/>
        <w:rPr>
          <w:rFonts w:hint="eastAsia" w:ascii="仿宋_GB2312" w:eastAsia="仿宋_GB2312"/>
          <w:sz w:val="30"/>
          <w:szCs w:val="30"/>
        </w:rPr>
      </w:pPr>
      <w:r>
        <w:rPr>
          <w:rFonts w:hint="eastAsia" w:ascii="仿宋_GB2312" w:eastAsia="仿宋_GB2312"/>
          <w:sz w:val="30"/>
          <w:szCs w:val="30"/>
        </w:rPr>
        <w:t>（10）主要业务陷入停顿；</w:t>
      </w:r>
    </w:p>
    <w:p w14:paraId="12D94A3C">
      <w:pPr>
        <w:ind w:firstLine="600" w:firstLineChars="200"/>
        <w:rPr>
          <w:rFonts w:hint="eastAsia" w:ascii="仿宋_GB2312" w:eastAsia="仿宋_GB2312"/>
          <w:sz w:val="30"/>
          <w:szCs w:val="30"/>
        </w:rPr>
      </w:pPr>
      <w:r>
        <w:rPr>
          <w:rFonts w:hint="eastAsia" w:ascii="仿宋_GB2312" w:eastAsia="仿宋_GB2312"/>
          <w:sz w:val="30"/>
          <w:szCs w:val="30"/>
        </w:rPr>
        <w:t>（11）董事会会议无法正常召开并形成决议；</w:t>
      </w:r>
    </w:p>
    <w:p w14:paraId="4C63AD3A">
      <w:pPr>
        <w:ind w:firstLine="600" w:firstLineChars="200"/>
        <w:rPr>
          <w:rFonts w:hint="eastAsia" w:ascii="仿宋_GB2312" w:eastAsia="仿宋_GB2312"/>
          <w:sz w:val="30"/>
          <w:szCs w:val="30"/>
        </w:rPr>
      </w:pPr>
      <w:r>
        <w:rPr>
          <w:rFonts w:hint="eastAsia" w:ascii="仿宋_GB2312" w:eastAsia="仿宋_GB2312"/>
          <w:sz w:val="30"/>
          <w:szCs w:val="30"/>
        </w:rPr>
        <w:t>（12）被控股股东及其关联方非经营性占用资金或违规对外担保；</w:t>
      </w:r>
    </w:p>
    <w:p w14:paraId="7C614A41">
      <w:pPr>
        <w:ind w:firstLine="600" w:firstLineChars="200"/>
        <w:rPr>
          <w:rFonts w:hint="eastAsia" w:ascii="仿宋_GB2312" w:eastAsia="仿宋_GB2312"/>
          <w:sz w:val="30"/>
          <w:szCs w:val="30"/>
        </w:rPr>
      </w:pPr>
      <w:r>
        <w:rPr>
          <w:rFonts w:hint="eastAsia" w:ascii="仿宋_GB2312" w:eastAsia="仿宋_GB2312"/>
          <w:sz w:val="30"/>
          <w:szCs w:val="30"/>
        </w:rPr>
        <w:t>（13）控股股东、实际控制人或者上市公司因涉嫌违法违规被有权机关调查，或者受到重大行政、刑事处罚；</w:t>
      </w:r>
    </w:p>
    <w:p w14:paraId="0F00DE59">
      <w:pPr>
        <w:ind w:firstLine="600" w:firstLineChars="200"/>
        <w:rPr>
          <w:rFonts w:hint="eastAsia" w:ascii="仿宋_GB2312" w:eastAsia="仿宋_GB2312"/>
          <w:sz w:val="30"/>
          <w:szCs w:val="30"/>
        </w:rPr>
      </w:pPr>
      <w:r>
        <w:rPr>
          <w:rFonts w:hint="eastAsia" w:ascii="仿宋_GB2312" w:eastAsia="仿宋_GB2312"/>
          <w:sz w:val="30"/>
          <w:szCs w:val="30"/>
        </w:rPr>
        <w:t>（14）实际控制人、公司法定代表人或者经理无法履行职责，董事、高级管理人员、核心技术人员因涉嫌违法违纪被有权机关调查或者采取强制措施，或者受到重大行政、刑事处罚；</w:t>
      </w:r>
    </w:p>
    <w:p w14:paraId="32745B3D">
      <w:pPr>
        <w:ind w:firstLine="600" w:firstLineChars="200"/>
        <w:rPr>
          <w:rFonts w:hint="eastAsia" w:ascii="仿宋_GB2312" w:eastAsia="仿宋_GB2312"/>
          <w:sz w:val="30"/>
          <w:szCs w:val="30"/>
        </w:rPr>
      </w:pPr>
      <w:r>
        <w:rPr>
          <w:rFonts w:hint="eastAsia" w:ascii="仿宋_GB2312" w:eastAsia="仿宋_GB2312"/>
          <w:sz w:val="30"/>
          <w:szCs w:val="30"/>
        </w:rPr>
        <w:t>（15）本所或者公司认定的其他重大风险情况。</w:t>
      </w:r>
    </w:p>
    <w:p w14:paraId="3BEE1279">
      <w:pPr>
        <w:adjustRightInd w:val="0"/>
        <w:snapToGrid w:val="0"/>
        <w:spacing w:line="600" w:lineRule="exact"/>
        <w:ind w:firstLine="200"/>
        <w:rPr>
          <w:rFonts w:ascii="仿宋_GB2312" w:hAnsi="宋体" w:eastAsia="仿宋_GB2312"/>
          <w:sz w:val="30"/>
          <w:szCs w:val="30"/>
        </w:rPr>
      </w:pPr>
    </w:p>
    <w:p w14:paraId="4EF6F250">
      <w:pPr>
        <w:adjustRightInd w:val="0"/>
        <w:snapToGrid w:val="0"/>
        <w:spacing w:line="600" w:lineRule="exact"/>
        <w:rPr>
          <w:rFonts w:ascii="仿宋_GB2312" w:eastAsia="仿宋_GB2312"/>
          <w:sz w:val="30"/>
          <w:szCs w:val="30"/>
        </w:rPr>
      </w:pPr>
      <w:r>
        <w:rPr>
          <w:rFonts w:hint="eastAsia" w:ascii="仿宋_GB2312" w:hAnsi="宋体" w:eastAsia="仿宋_GB2312"/>
          <w:sz w:val="30"/>
          <w:szCs w:val="30"/>
        </w:rPr>
        <w:t>证券代码：            证券简称：             公告编号：</w:t>
      </w:r>
    </w:p>
    <w:p w14:paraId="555DD420">
      <w:pPr>
        <w:adjustRightInd w:val="0"/>
        <w:snapToGrid w:val="0"/>
        <w:spacing w:line="600" w:lineRule="exact"/>
        <w:rPr>
          <w:rFonts w:ascii="仿宋_GB2312" w:eastAsia="仿宋_GB2312"/>
          <w:sz w:val="30"/>
          <w:szCs w:val="30"/>
        </w:rPr>
      </w:pPr>
    </w:p>
    <w:p w14:paraId="7D257829">
      <w:pPr>
        <w:spacing w:line="600" w:lineRule="exact"/>
        <w:jc w:val="center"/>
        <w:rPr>
          <w:rFonts w:hint="eastAsia" w:ascii="仿宋_GB2312" w:hAnsi="宋体" w:eastAsia="仿宋_GB2312"/>
          <w:bCs/>
          <w:sz w:val="30"/>
          <w:szCs w:val="30"/>
        </w:rPr>
      </w:pPr>
      <w:r>
        <w:rPr>
          <w:rFonts w:hint="eastAsia" w:ascii="仿宋_GB2312" w:hAnsi="宋体" w:eastAsia="仿宋_GB2312"/>
          <w:bCs/>
          <w:sz w:val="30"/>
          <w:szCs w:val="30"/>
        </w:rPr>
        <w:t>XXXX股份有限公司关于XX事项的风险提示公告</w:t>
      </w:r>
    </w:p>
    <w:p w14:paraId="2E353D2E">
      <w:pPr>
        <w:spacing w:line="600" w:lineRule="exact"/>
        <w:jc w:val="center"/>
        <w:rPr>
          <w:rFonts w:ascii="仿宋_GB2312" w:hAnsi="宋体" w:eastAsia="仿宋_GB2312"/>
          <w:bCs/>
          <w:sz w:val="30"/>
          <w:szCs w:val="30"/>
        </w:rPr>
      </w:pPr>
    </w:p>
    <w:p w14:paraId="6CA52CE1">
      <w:pPr>
        <w:pBdr>
          <w:top w:val="single" w:color="auto" w:sz="4" w:space="1"/>
          <w:left w:val="single" w:color="auto" w:sz="4" w:space="4"/>
          <w:bottom w:val="single" w:color="auto" w:sz="4" w:space="0"/>
          <w:right w:val="single" w:color="auto" w:sz="4" w:space="4"/>
        </w:pBdr>
        <w:adjustRightInd w:val="0"/>
        <w:snapToGrid w:val="0"/>
        <w:spacing w:line="60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5E9BB29C">
      <w:pPr>
        <w:pBdr>
          <w:top w:val="single" w:color="auto" w:sz="4" w:space="1"/>
          <w:left w:val="single" w:color="auto" w:sz="4" w:space="4"/>
          <w:bottom w:val="single" w:color="auto" w:sz="4" w:space="0"/>
          <w:right w:val="single" w:color="auto" w:sz="4" w:space="4"/>
        </w:pBdr>
        <w:adjustRightInd w:val="0"/>
        <w:snapToGrid w:val="0"/>
        <w:spacing w:line="60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222823BA">
      <w:pPr>
        <w:adjustRightInd w:val="0"/>
        <w:snapToGrid w:val="0"/>
        <w:spacing w:line="600" w:lineRule="exact"/>
        <w:rPr>
          <w:rFonts w:hint="eastAsia" w:ascii="仿宋_GB2312" w:eastAsia="仿宋_GB2312"/>
          <w:sz w:val="30"/>
          <w:szCs w:val="30"/>
        </w:rPr>
      </w:pPr>
    </w:p>
    <w:p w14:paraId="353507CC">
      <w:pPr>
        <w:adjustRightInd w:val="0"/>
        <w:snapToGrid w:val="0"/>
        <w:spacing w:line="6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重要风险提示：</w:t>
      </w:r>
    </w:p>
    <w:p w14:paraId="26315393">
      <w:pPr>
        <w:numPr>
          <w:ilvl w:val="3"/>
          <w:numId w:val="1"/>
        </w:numPr>
        <w:tabs>
          <w:tab w:val="left" w:pos="1080"/>
          <w:tab w:val="clear" w:pos="2218"/>
        </w:tabs>
        <w:adjustRightInd w:val="0"/>
        <w:snapToGrid w:val="0"/>
        <w:spacing w:line="600" w:lineRule="exact"/>
        <w:ind w:left="0" w:firstLine="600" w:firstLineChars="200"/>
        <w:rPr>
          <w:rFonts w:hint="eastAsia" w:ascii="仿宋_GB2312" w:hAnsi="宋体" w:eastAsia="仿宋_GB2312"/>
          <w:sz w:val="30"/>
          <w:szCs w:val="30"/>
        </w:rPr>
      </w:pPr>
      <w:r>
        <w:rPr>
          <w:rFonts w:hint="eastAsia" w:ascii="仿宋_GB2312" w:hAnsi="宋体" w:eastAsia="仿宋_GB2312" w:cs="宋体"/>
          <w:color w:val="000000"/>
          <w:kern w:val="0"/>
          <w:sz w:val="30"/>
          <w:szCs w:val="30"/>
        </w:rPr>
        <w:t>简述风险事项</w:t>
      </w:r>
    </w:p>
    <w:p w14:paraId="5229E44E">
      <w:pPr>
        <w:numPr>
          <w:ilvl w:val="3"/>
          <w:numId w:val="1"/>
        </w:numPr>
        <w:tabs>
          <w:tab w:val="left" w:pos="1080"/>
          <w:tab w:val="clear" w:pos="2218"/>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简述风险事项对</w:t>
      </w:r>
      <w:r>
        <w:rPr>
          <w:rFonts w:hint="eastAsia" w:ascii="仿宋_GB2312" w:eastAsia="仿宋_GB2312"/>
          <w:sz w:val="30"/>
          <w:szCs w:val="30"/>
        </w:rPr>
        <w:t>上市公司生产经营、财务状况和经营成果的影响</w:t>
      </w:r>
    </w:p>
    <w:p w14:paraId="6183C2B6">
      <w:pPr>
        <w:adjustRightInd w:val="0"/>
        <w:snapToGrid w:val="0"/>
        <w:spacing w:line="600" w:lineRule="exact"/>
        <w:rPr>
          <w:rFonts w:ascii="仿宋_GB2312" w:eastAsia="仿宋_GB2312"/>
          <w:sz w:val="30"/>
          <w:szCs w:val="30"/>
        </w:rPr>
      </w:pPr>
    </w:p>
    <w:p w14:paraId="57C73620">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一、风险事项的具体情况</w:t>
      </w:r>
    </w:p>
    <w:p w14:paraId="26EF6A17">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（一）说明公司发生的经营风险事项的具体情况，包括涉及主体、发生时间、发生过程、发生原因等。</w:t>
      </w:r>
    </w:p>
    <w:p w14:paraId="4B57A27A">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例如：</w:t>
      </w:r>
    </w:p>
    <w:p w14:paraId="082E39BB">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核心技术人员离职的，应当披露离职的核心技术人员的具体情况（职务，入职时间，工龄，研究领域，负责的研发项目等）；是否拥有与公司主营业务相关的知识产权或技术成果；离职原因及日期；离职后是否前往竞争对手工作；是否签署竞业禁止和保密协议及主要内容。</w:t>
      </w:r>
    </w:p>
    <w:p w14:paraId="2381977D">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发生重大环境、生产及产品安全事故的，应当披露事故的具体情况（类型，发生时间，地点，原因，等级等）；涉及的公司产品或技术、产生后果、涉及人员；应对本次事故负责的主要人员；负责事故处理与责任追究的相关行政部门及相关调查；处理进展情况等。</w:t>
      </w:r>
    </w:p>
    <w:p w14:paraId="2BF00726">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计提大额资产减值准备的，应当披露各项资产减值准备的计提金额及计提比例；减值测试过程、依据和合理性，减值准备计提是否充分；结合相关资产发生减值迹象的时间，说明是否及时披露资产减值事项及计提减值准备，是否存在通过计提大额减值准备进行盈余管理的情况。</w:t>
      </w:r>
    </w:p>
    <w:p w14:paraId="11805569">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银行账户被查封、冻结的，应当披露被冻结账户的基本信息（开户名，账号，开户行，账户余额等）；是否为基本账户</w:t>
      </w:r>
      <w:r>
        <w:rPr>
          <w:rFonts w:hint="eastAsia" w:ascii="Calibri" w:hAnsi="Calibri" w:eastAsia="仿宋_GB2312"/>
          <w:sz w:val="30"/>
          <w:szCs w:val="30"/>
        </w:rPr>
        <w:t>、</w:t>
      </w:r>
      <w:r>
        <w:rPr>
          <w:rFonts w:hint="eastAsia" w:ascii="仿宋_GB2312" w:eastAsia="仿宋_GB2312"/>
          <w:sz w:val="30"/>
          <w:szCs w:val="30"/>
        </w:rPr>
        <w:t>主要账户或募集资金专用账户；被冻结金额、被冻结日期以及被冻结原因等内容；其他账户是否存在使用限制等异常情况。</w:t>
      </w:r>
    </w:p>
    <w:p w14:paraId="256AA490">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（二）说明公司是否存在其他未披露重大风险事项。</w:t>
      </w:r>
    </w:p>
    <w:p w14:paraId="51D81F42">
      <w:pPr>
        <w:adjustRightInd w:val="0"/>
        <w:snapToGrid w:val="0"/>
        <w:spacing w:line="600" w:lineRule="exact"/>
        <w:ind w:firstLine="600" w:firstLineChars="200"/>
        <w:rPr>
          <w:rFonts w:ascii="仿宋_GB2312" w:eastAsia="仿宋_GB2312"/>
          <w:sz w:val="30"/>
          <w:szCs w:val="30"/>
        </w:rPr>
      </w:pPr>
    </w:p>
    <w:p w14:paraId="499C50D5">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二、风险事项对上市公司的影响</w:t>
      </w:r>
    </w:p>
    <w:p w14:paraId="71F830B4">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（一）对上市公司生产经营的影响，包括但不限于对公司日常经营、</w:t>
      </w:r>
      <w:r>
        <w:rPr>
          <w:rFonts w:hint="eastAsia" w:ascii="仿宋_GB2312" w:hAnsi="宋体" w:eastAsia="仿宋_GB2312"/>
          <w:sz w:val="30"/>
          <w:szCs w:val="30"/>
        </w:rPr>
        <w:t>核心竞争力、业务模式</w:t>
      </w:r>
      <w:r>
        <w:rPr>
          <w:rFonts w:hint="eastAsia" w:ascii="仿宋_GB2312" w:eastAsia="仿宋_GB2312"/>
          <w:sz w:val="30"/>
          <w:szCs w:val="30"/>
        </w:rPr>
        <w:t>的影响。</w:t>
      </w:r>
    </w:p>
    <w:p w14:paraId="306475A5">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例如：</w:t>
      </w:r>
    </w:p>
    <w:p w14:paraId="521622BA">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核心技术人员离职的，应当披露是否严重降低公司的技术优势和核心竞争力；是否存在涉及职务发明的纠纷或潜在纠纷；目前研发队伍的人数和具体构成；对业务发展和产品创新是否存在重大不利影响；结合近三年研发人员变动的具体情况，包括离职和新聘的员工数量和岗位类别，说明核心技术人员的流失是否持续。</w:t>
      </w:r>
    </w:p>
    <w:p w14:paraId="780B6577">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发生重大环境、生产及产品安全事故的，应当披露本次事故引起的停工业务范围、停工时间及停工损失；事故对产品生产、销售或核心技术研发、相关经营资质、相关责任人员任职等的影响。</w:t>
      </w:r>
    </w:p>
    <w:p w14:paraId="55F62097">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主要银行账户被查封、冻结的，应当披露账户冻结对公司资金使用、日常经营管理、资信状况的影响；是否存在其他未披露冻结事项或冻结风险等内容。如涉及募集资金专用账户，应披露查封、冻结事项对募投项目的影响，是否可能导致募投项目进展停顿或其他不利影响。</w:t>
      </w:r>
    </w:p>
    <w:p w14:paraId="4D055295">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（二）对上市公司财务状况和经营成果的影响，包括但不限于对公司当年及未来年度营业收入、净利润等主要财务指标以及对公司</w:t>
      </w:r>
      <w:r>
        <w:rPr>
          <w:rFonts w:hint="eastAsia" w:ascii="仿宋_GB2312" w:hAnsi="宋体" w:eastAsia="仿宋_GB2312"/>
          <w:sz w:val="30"/>
          <w:szCs w:val="30"/>
        </w:rPr>
        <w:t>持续经营能力</w:t>
      </w:r>
      <w:r>
        <w:rPr>
          <w:rFonts w:hint="eastAsia" w:ascii="仿宋_GB2312" w:eastAsia="仿宋_GB2312"/>
          <w:sz w:val="30"/>
          <w:szCs w:val="30"/>
        </w:rPr>
        <w:t>的影响。</w:t>
      </w:r>
    </w:p>
    <w:p w14:paraId="6EC7262E">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例如：</w:t>
      </w:r>
    </w:p>
    <w:p w14:paraId="64142932">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计提大额资产减值准备的，应当披露对公司当期损益的影响，是否可能导致公司当年度盈亏状况发生变化。</w:t>
      </w:r>
    </w:p>
    <w:p w14:paraId="0C0F442E">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发生重大环境、生产及产品安全事故的，应当披露本次事故及所引起的停工停产对公司当年及未来一个会计年度营业收入、净利润等主要财务指标的影响。</w:t>
      </w:r>
    </w:p>
    <w:p w14:paraId="65E09D7E">
      <w:pPr>
        <w:adjustRightInd w:val="0"/>
        <w:snapToGrid w:val="0"/>
        <w:spacing w:line="600" w:lineRule="exact"/>
        <w:ind w:firstLine="600" w:firstLineChars="200"/>
        <w:rPr>
          <w:rFonts w:ascii="仿宋_GB2312" w:eastAsia="仿宋_GB2312"/>
          <w:sz w:val="30"/>
          <w:szCs w:val="30"/>
        </w:rPr>
      </w:pPr>
    </w:p>
    <w:p w14:paraId="2ED48AFE">
      <w:pPr>
        <w:adjustRightInd w:val="0"/>
        <w:snapToGrid w:val="0"/>
        <w:spacing w:line="600" w:lineRule="exact"/>
        <w:ind w:firstLine="643" w:firstLineChars="200"/>
        <w:rPr>
          <w:rFonts w:hint="eastAsia" w:ascii="黑体" w:hAnsi="黑体" w:eastAsia="黑体"/>
          <w:b/>
          <w:sz w:val="32"/>
          <w:szCs w:val="32"/>
        </w:rPr>
      </w:pPr>
      <w:r>
        <w:rPr>
          <w:rFonts w:hint="eastAsia" w:ascii="黑体" w:hAnsi="黑体" w:eastAsia="黑体"/>
          <w:b/>
          <w:sz w:val="32"/>
          <w:szCs w:val="32"/>
        </w:rPr>
        <w:t>三、上市公司采取的措施</w:t>
      </w:r>
    </w:p>
    <w:p w14:paraId="092C9959">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说明公司就经营风险事项已采取及拟采取的应对措施，</w:t>
      </w:r>
      <w:r>
        <w:rPr>
          <w:rFonts w:hint="eastAsia" w:ascii="仿宋_GB2312" w:hAnsi="宋体" w:eastAsia="仿宋_GB2312"/>
          <w:sz w:val="30"/>
          <w:szCs w:val="30"/>
        </w:rPr>
        <w:t>董事会应当对措施的可行性发表意见</w:t>
      </w:r>
      <w:r>
        <w:rPr>
          <w:rFonts w:hint="eastAsia" w:ascii="仿宋_GB2312" w:eastAsia="仿宋_GB2312"/>
          <w:sz w:val="30"/>
          <w:szCs w:val="30"/>
        </w:rPr>
        <w:t>。</w:t>
      </w:r>
    </w:p>
    <w:p w14:paraId="0FC292B1">
      <w:pPr>
        <w:adjustRightInd w:val="0"/>
        <w:snapToGrid w:val="0"/>
        <w:spacing w:line="600" w:lineRule="exact"/>
        <w:ind w:firstLine="600" w:firstLineChars="200"/>
        <w:rPr>
          <w:rFonts w:hint="eastAsia" w:ascii="仿宋_GB2312" w:eastAsia="仿宋_GB2312"/>
          <w:sz w:val="30"/>
          <w:szCs w:val="30"/>
        </w:rPr>
      </w:pPr>
    </w:p>
    <w:p w14:paraId="6245D06A">
      <w:pPr>
        <w:adjustRightInd w:val="0"/>
        <w:snapToGrid w:val="0"/>
        <w:spacing w:line="600" w:lineRule="exact"/>
        <w:ind w:firstLine="643" w:firstLineChars="200"/>
        <w:rPr>
          <w:rFonts w:hint="eastAsia" w:ascii="黑体" w:hAnsi="黑体" w:eastAsia="黑体"/>
          <w:b/>
          <w:sz w:val="32"/>
          <w:szCs w:val="32"/>
        </w:rPr>
      </w:pPr>
      <w:r>
        <w:rPr>
          <w:rFonts w:hint="eastAsia" w:ascii="黑体" w:hAnsi="黑体" w:eastAsia="黑体"/>
          <w:b/>
          <w:sz w:val="32"/>
          <w:szCs w:val="32"/>
        </w:rPr>
        <w:t>四、保荐机构的意见（如适用）</w:t>
      </w:r>
    </w:p>
    <w:p w14:paraId="340DF256">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上市公司处于持续督导期的，保荐机构、保荐代表人应当关注上市公司是否存在下列风险情形：</w:t>
      </w:r>
    </w:p>
    <w:p w14:paraId="4D78FCA8">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1.主要业务停滞或出现可能导致主要业务停滞的重大风险事件；</w:t>
      </w:r>
    </w:p>
    <w:p w14:paraId="096F6BEF">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2.资产被查封、扣押或冻结；</w:t>
      </w:r>
    </w:p>
    <w:p w14:paraId="0B13F48A">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 xml:space="preserve">3.未能清偿到期债务； </w:t>
      </w:r>
    </w:p>
    <w:p w14:paraId="6AE1E4F5">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4.实际控制人、董事长、总经理、财务负责人或核心技术人员涉嫌犯罪被司法机关采取强制措施；</w:t>
      </w:r>
    </w:p>
    <w:p w14:paraId="6215A59B">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5.涉及关联交易、为他人提供担保等重大事项；</w:t>
      </w:r>
    </w:p>
    <w:p w14:paraId="61CE52C9">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6.主要原材料供应或者产品销售出现重大不利变化；</w:t>
      </w:r>
    </w:p>
    <w:p w14:paraId="79C194BD">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7.核心技术人员离职；</w:t>
      </w:r>
    </w:p>
    <w:p w14:paraId="32B4F447">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8.核心知识产权、特许经营权或者核心技术许可丧失、不能续期或者出现重大纠纷；</w:t>
      </w:r>
    </w:p>
    <w:p w14:paraId="2EF10406">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9.主要产品研发失败；</w:t>
      </w:r>
    </w:p>
    <w:p w14:paraId="126F0D2A">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10.核心竞争力丧失竞争优势或者市场出现具有明显优势的竞争者；</w:t>
      </w:r>
    </w:p>
    <w:p w14:paraId="3FF8DD7C">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11.本所或者保荐机构认为应当发表意见的其他情形。</w:t>
      </w:r>
    </w:p>
    <w:p w14:paraId="6F8F9FBB">
      <w:pPr>
        <w:adjustRightInd w:val="0"/>
        <w:snapToGrid w:val="0"/>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核实上市公司上述重大风险披露是否真实、准确、完整，并就相关事项对公司核心竞争力和日常经营的影响，以及是否存在其他未披露重大风险发表意见并披露。</w:t>
      </w:r>
    </w:p>
    <w:p w14:paraId="6052C443">
      <w:pPr>
        <w:adjustRightInd w:val="0"/>
        <w:snapToGrid w:val="0"/>
        <w:spacing w:line="600" w:lineRule="exact"/>
        <w:ind w:firstLine="600" w:firstLineChars="200"/>
        <w:rPr>
          <w:rFonts w:ascii="仿宋_GB2312" w:eastAsia="仿宋_GB2312"/>
          <w:sz w:val="30"/>
          <w:szCs w:val="30"/>
        </w:rPr>
      </w:pPr>
    </w:p>
    <w:p w14:paraId="7AB5787D">
      <w:pPr>
        <w:spacing w:line="600" w:lineRule="exact"/>
        <w:ind w:firstLine="643" w:firstLineChars="200"/>
        <w:rPr>
          <w:rFonts w:ascii="黑体" w:hAnsi="黑体" w:eastAsia="黑体"/>
          <w:b/>
          <w:sz w:val="32"/>
          <w:szCs w:val="32"/>
        </w:rPr>
      </w:pPr>
      <w:r>
        <w:rPr>
          <w:rFonts w:hint="eastAsia" w:ascii="黑体" w:hAnsi="黑体" w:eastAsia="黑体"/>
          <w:b/>
          <w:sz w:val="32"/>
          <w:szCs w:val="32"/>
        </w:rPr>
        <w:t>五、上网公告附件（如适用）</w:t>
      </w:r>
    </w:p>
    <w:p w14:paraId="51938299">
      <w:pPr>
        <w:adjustRightInd w:val="0"/>
        <w:snapToGrid w:val="0"/>
        <w:spacing w:line="600" w:lineRule="exact"/>
        <w:ind w:firstLine="600" w:firstLineChars="2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保荐机构意见。</w:t>
      </w:r>
    </w:p>
    <w:p w14:paraId="10059503">
      <w:pPr>
        <w:adjustRightInd w:val="0"/>
        <w:snapToGrid w:val="0"/>
        <w:spacing w:line="600" w:lineRule="exact"/>
        <w:ind w:firstLine="600" w:firstLineChars="200"/>
        <w:jc w:val="left"/>
        <w:rPr>
          <w:rFonts w:hint="eastAsia" w:ascii="仿宋_GB2312" w:hAnsi="宋体" w:eastAsia="仿宋_GB2312" w:cs="宋体"/>
          <w:kern w:val="0"/>
          <w:sz w:val="30"/>
          <w:szCs w:val="30"/>
        </w:rPr>
      </w:pPr>
    </w:p>
    <w:p w14:paraId="29686849">
      <w:pPr>
        <w:adjustRightInd w:val="0"/>
        <w:snapToGrid w:val="0"/>
        <w:spacing w:line="600" w:lineRule="exact"/>
        <w:ind w:firstLine="600" w:firstLineChars="2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特此公告。</w:t>
      </w:r>
    </w:p>
    <w:p w14:paraId="1352CE19">
      <w:pPr>
        <w:adjustRightInd w:val="0"/>
        <w:snapToGrid w:val="0"/>
        <w:spacing w:line="600" w:lineRule="exact"/>
        <w:ind w:firstLine="600" w:firstLineChars="200"/>
        <w:jc w:val="left"/>
        <w:rPr>
          <w:rFonts w:ascii="仿宋_GB2312" w:hAnsi="宋体" w:eastAsia="仿宋_GB2312" w:cs="宋体"/>
          <w:kern w:val="0"/>
          <w:sz w:val="30"/>
          <w:szCs w:val="30"/>
        </w:rPr>
      </w:pPr>
    </w:p>
    <w:p w14:paraId="58FF2BC4">
      <w:pPr>
        <w:adjustRightInd w:val="0"/>
        <w:snapToGrid w:val="0"/>
        <w:spacing w:line="600" w:lineRule="exact"/>
        <w:ind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XXXX股份有限公司董事会</w:t>
      </w:r>
    </w:p>
    <w:p w14:paraId="6090AC1D">
      <w:pPr>
        <w:spacing w:line="600" w:lineRule="exact"/>
        <w:ind w:firstLine="600" w:firstLineChars="200"/>
        <w:jc w:val="right"/>
        <w:rPr>
          <w:rFonts w:ascii="仿宋_GB2312" w:eastAsia="仿宋_GB2312"/>
          <w:sz w:val="30"/>
          <w:szCs w:val="30"/>
        </w:rPr>
      </w:pPr>
      <w:r>
        <w:rPr>
          <w:rFonts w:hint="eastAsia" w:ascii="仿宋_GB2312" w:hAnsi="宋体" w:eastAsia="仿宋_GB2312"/>
          <w:sz w:val="30"/>
          <w:szCs w:val="30"/>
        </w:rPr>
        <w:t xml:space="preserve">  年  月  日</w:t>
      </w:r>
    </w:p>
    <w:sectPr>
      <w:footerReference r:id="rId3" w:type="default"/>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54A65">
    <w:pPr>
      <w:pStyle w:val="6"/>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4</w:t>
    </w:r>
    <w:r>
      <w:rPr>
        <w:sz w:val="21"/>
        <w:szCs w:val="21"/>
      </w:rPr>
      <w:fldChar w:fldCharType="end"/>
    </w:r>
  </w:p>
  <w:p w14:paraId="65993030">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86009"/>
    <w:multiLevelType w:val="multilevel"/>
    <w:tmpl w:val="23286009"/>
    <w:lvl w:ilvl="0" w:tentative="0">
      <w:start w:val="0"/>
      <w:numFmt w:val="bullet"/>
      <w:lvlText w:val=""/>
      <w:lvlJc w:val="left"/>
      <w:pPr>
        <w:tabs>
          <w:tab w:val="left" w:pos="1318"/>
        </w:tabs>
        <w:ind w:left="1318" w:hanging="780"/>
      </w:pPr>
      <w:rPr>
        <w:rFonts w:hint="default" w:ascii="Wingdings" w:hAnsi="Wingdings" w:eastAsia="仿宋_GB2312" w:cs="Times New Roman"/>
        <w:b w:val="0"/>
      </w:rPr>
    </w:lvl>
    <w:lvl w:ilvl="1" w:tentative="0">
      <w:start w:val="1"/>
      <w:numFmt w:val="bullet"/>
      <w:lvlText w:val=""/>
      <w:lvlJc w:val="left"/>
      <w:pPr>
        <w:tabs>
          <w:tab w:val="left" w:pos="1378"/>
        </w:tabs>
        <w:ind w:left="1378" w:hanging="420"/>
      </w:pPr>
      <w:rPr>
        <w:rFonts w:hint="default" w:ascii="Wingdings" w:hAnsi="Wingdings"/>
      </w:rPr>
    </w:lvl>
    <w:lvl w:ilvl="2" w:tentative="0">
      <w:start w:val="1"/>
      <w:numFmt w:val="bullet"/>
      <w:lvlText w:val=""/>
      <w:lvlJc w:val="left"/>
      <w:pPr>
        <w:tabs>
          <w:tab w:val="left" w:pos="1798"/>
        </w:tabs>
        <w:ind w:left="1798" w:hanging="420"/>
      </w:pPr>
      <w:rPr>
        <w:rFonts w:hint="default" w:ascii="Wingdings" w:hAnsi="Wingdings"/>
      </w:rPr>
    </w:lvl>
    <w:lvl w:ilvl="3" w:tentative="0">
      <w:start w:val="1"/>
      <w:numFmt w:val="bullet"/>
      <w:lvlText w:val=""/>
      <w:lvlJc w:val="left"/>
      <w:pPr>
        <w:tabs>
          <w:tab w:val="left" w:pos="2218"/>
        </w:tabs>
        <w:ind w:left="2218" w:hanging="420"/>
      </w:pPr>
      <w:rPr>
        <w:rFonts w:hint="default" w:ascii="Wingdings" w:hAnsi="Wingdings"/>
        <w:b w:val="0"/>
      </w:rPr>
    </w:lvl>
    <w:lvl w:ilvl="4" w:tentative="0">
      <w:start w:val="1"/>
      <w:numFmt w:val="bullet"/>
      <w:lvlText w:val=""/>
      <w:lvlJc w:val="left"/>
      <w:pPr>
        <w:tabs>
          <w:tab w:val="left" w:pos="2638"/>
        </w:tabs>
        <w:ind w:left="2638" w:hanging="420"/>
      </w:pPr>
      <w:rPr>
        <w:rFonts w:hint="default" w:ascii="Wingdings" w:hAnsi="Wingdings"/>
      </w:rPr>
    </w:lvl>
    <w:lvl w:ilvl="5" w:tentative="0">
      <w:start w:val="1"/>
      <w:numFmt w:val="bullet"/>
      <w:lvlText w:val=""/>
      <w:lvlJc w:val="left"/>
      <w:pPr>
        <w:tabs>
          <w:tab w:val="left" w:pos="3058"/>
        </w:tabs>
        <w:ind w:left="3058" w:hanging="420"/>
      </w:pPr>
      <w:rPr>
        <w:rFonts w:hint="default" w:ascii="Wingdings" w:hAnsi="Wingdings"/>
      </w:rPr>
    </w:lvl>
    <w:lvl w:ilvl="6" w:tentative="0">
      <w:start w:val="1"/>
      <w:numFmt w:val="bullet"/>
      <w:lvlText w:val=""/>
      <w:lvlJc w:val="left"/>
      <w:pPr>
        <w:tabs>
          <w:tab w:val="left" w:pos="3478"/>
        </w:tabs>
        <w:ind w:left="3478" w:hanging="420"/>
      </w:pPr>
      <w:rPr>
        <w:rFonts w:hint="default" w:ascii="Wingdings" w:hAnsi="Wingdings"/>
      </w:rPr>
    </w:lvl>
    <w:lvl w:ilvl="7" w:tentative="0">
      <w:start w:val="1"/>
      <w:numFmt w:val="bullet"/>
      <w:lvlText w:val=""/>
      <w:lvlJc w:val="left"/>
      <w:pPr>
        <w:tabs>
          <w:tab w:val="left" w:pos="3898"/>
        </w:tabs>
        <w:ind w:left="3898" w:hanging="420"/>
      </w:pPr>
      <w:rPr>
        <w:rFonts w:hint="default" w:ascii="Wingdings" w:hAnsi="Wingdings"/>
      </w:rPr>
    </w:lvl>
    <w:lvl w:ilvl="8" w:tentative="0">
      <w:start w:val="1"/>
      <w:numFmt w:val="bullet"/>
      <w:lvlText w:val=""/>
      <w:lvlJc w:val="left"/>
      <w:pPr>
        <w:tabs>
          <w:tab w:val="left" w:pos="4318"/>
        </w:tabs>
        <w:ind w:left="4318"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92"/>
    <w:rsid w:val="00004B63"/>
    <w:rsid w:val="00004DA4"/>
    <w:rsid w:val="000057FA"/>
    <w:rsid w:val="000171B8"/>
    <w:rsid w:val="00026E76"/>
    <w:rsid w:val="00034F4C"/>
    <w:rsid w:val="00035AF0"/>
    <w:rsid w:val="00037698"/>
    <w:rsid w:val="000413F3"/>
    <w:rsid w:val="00043BED"/>
    <w:rsid w:val="00072B24"/>
    <w:rsid w:val="00096B0C"/>
    <w:rsid w:val="000A699D"/>
    <w:rsid w:val="000B365D"/>
    <w:rsid w:val="000B5B92"/>
    <w:rsid w:val="000F156C"/>
    <w:rsid w:val="000F5216"/>
    <w:rsid w:val="000F7EAE"/>
    <w:rsid w:val="001107DA"/>
    <w:rsid w:val="00123B20"/>
    <w:rsid w:val="001372F6"/>
    <w:rsid w:val="00144FC4"/>
    <w:rsid w:val="00171977"/>
    <w:rsid w:val="001725B5"/>
    <w:rsid w:val="001763C9"/>
    <w:rsid w:val="001846BA"/>
    <w:rsid w:val="001D0682"/>
    <w:rsid w:val="001D0DE1"/>
    <w:rsid w:val="001E03F7"/>
    <w:rsid w:val="001E56EB"/>
    <w:rsid w:val="00200848"/>
    <w:rsid w:val="00206DF9"/>
    <w:rsid w:val="002241D8"/>
    <w:rsid w:val="002326DE"/>
    <w:rsid w:val="00235412"/>
    <w:rsid w:val="0023664F"/>
    <w:rsid w:val="0024511F"/>
    <w:rsid w:val="00247119"/>
    <w:rsid w:val="00247D90"/>
    <w:rsid w:val="002527D3"/>
    <w:rsid w:val="00261590"/>
    <w:rsid w:val="002639BB"/>
    <w:rsid w:val="002677F4"/>
    <w:rsid w:val="00283F0D"/>
    <w:rsid w:val="002866A2"/>
    <w:rsid w:val="002963E8"/>
    <w:rsid w:val="002A55FB"/>
    <w:rsid w:val="002A6BA9"/>
    <w:rsid w:val="002B38E1"/>
    <w:rsid w:val="002D509A"/>
    <w:rsid w:val="002D572E"/>
    <w:rsid w:val="002E72BF"/>
    <w:rsid w:val="003008BD"/>
    <w:rsid w:val="003129D0"/>
    <w:rsid w:val="00322787"/>
    <w:rsid w:val="00324376"/>
    <w:rsid w:val="0032735B"/>
    <w:rsid w:val="00332877"/>
    <w:rsid w:val="00346E1B"/>
    <w:rsid w:val="00354291"/>
    <w:rsid w:val="00385987"/>
    <w:rsid w:val="003A6E03"/>
    <w:rsid w:val="003A6FAE"/>
    <w:rsid w:val="003A77FB"/>
    <w:rsid w:val="003B5E0E"/>
    <w:rsid w:val="003C0159"/>
    <w:rsid w:val="003C2443"/>
    <w:rsid w:val="003C331E"/>
    <w:rsid w:val="003C41C8"/>
    <w:rsid w:val="003C42D4"/>
    <w:rsid w:val="003C5644"/>
    <w:rsid w:val="003D0859"/>
    <w:rsid w:val="003D2C80"/>
    <w:rsid w:val="003E3EC4"/>
    <w:rsid w:val="003E47EC"/>
    <w:rsid w:val="00400532"/>
    <w:rsid w:val="00421F7A"/>
    <w:rsid w:val="00424DCF"/>
    <w:rsid w:val="00440533"/>
    <w:rsid w:val="00454BA4"/>
    <w:rsid w:val="00494A2F"/>
    <w:rsid w:val="004A2BC0"/>
    <w:rsid w:val="004A79DD"/>
    <w:rsid w:val="004D05DF"/>
    <w:rsid w:val="004D2052"/>
    <w:rsid w:val="004E0AF6"/>
    <w:rsid w:val="0050026E"/>
    <w:rsid w:val="00506701"/>
    <w:rsid w:val="005178E6"/>
    <w:rsid w:val="0052511E"/>
    <w:rsid w:val="005301EB"/>
    <w:rsid w:val="00542D1C"/>
    <w:rsid w:val="0054768C"/>
    <w:rsid w:val="00560F96"/>
    <w:rsid w:val="00563312"/>
    <w:rsid w:val="0057229E"/>
    <w:rsid w:val="0058292F"/>
    <w:rsid w:val="005B2A3E"/>
    <w:rsid w:val="005C6CF1"/>
    <w:rsid w:val="005D5112"/>
    <w:rsid w:val="005E66BB"/>
    <w:rsid w:val="005F6E01"/>
    <w:rsid w:val="00600ADC"/>
    <w:rsid w:val="00613E50"/>
    <w:rsid w:val="00615229"/>
    <w:rsid w:val="006157E3"/>
    <w:rsid w:val="00633FED"/>
    <w:rsid w:val="00637D21"/>
    <w:rsid w:val="0065535B"/>
    <w:rsid w:val="00666EA7"/>
    <w:rsid w:val="00680869"/>
    <w:rsid w:val="00681600"/>
    <w:rsid w:val="006A003F"/>
    <w:rsid w:val="006A00C1"/>
    <w:rsid w:val="006A3389"/>
    <w:rsid w:val="006B50D9"/>
    <w:rsid w:val="006C65CA"/>
    <w:rsid w:val="006E4639"/>
    <w:rsid w:val="0070002A"/>
    <w:rsid w:val="00701BAC"/>
    <w:rsid w:val="007347B9"/>
    <w:rsid w:val="007373FD"/>
    <w:rsid w:val="00737A25"/>
    <w:rsid w:val="00747625"/>
    <w:rsid w:val="007715D3"/>
    <w:rsid w:val="00775FB2"/>
    <w:rsid w:val="00784F75"/>
    <w:rsid w:val="0079125B"/>
    <w:rsid w:val="007A1AD1"/>
    <w:rsid w:val="007A2F62"/>
    <w:rsid w:val="007A4076"/>
    <w:rsid w:val="00822BB4"/>
    <w:rsid w:val="0084023D"/>
    <w:rsid w:val="00854D71"/>
    <w:rsid w:val="0087114B"/>
    <w:rsid w:val="00876014"/>
    <w:rsid w:val="00882755"/>
    <w:rsid w:val="00884D74"/>
    <w:rsid w:val="008A7DDF"/>
    <w:rsid w:val="008B043A"/>
    <w:rsid w:val="008B2B1F"/>
    <w:rsid w:val="008B5DF9"/>
    <w:rsid w:val="008D2189"/>
    <w:rsid w:val="008E07BB"/>
    <w:rsid w:val="008F2D7A"/>
    <w:rsid w:val="008F35ED"/>
    <w:rsid w:val="008F755D"/>
    <w:rsid w:val="00903C44"/>
    <w:rsid w:val="00910344"/>
    <w:rsid w:val="00926BF6"/>
    <w:rsid w:val="0094182C"/>
    <w:rsid w:val="00944517"/>
    <w:rsid w:val="00963B62"/>
    <w:rsid w:val="009669E5"/>
    <w:rsid w:val="00966FFB"/>
    <w:rsid w:val="00981636"/>
    <w:rsid w:val="009900FF"/>
    <w:rsid w:val="009B01E5"/>
    <w:rsid w:val="009B0869"/>
    <w:rsid w:val="009B5A30"/>
    <w:rsid w:val="009C229F"/>
    <w:rsid w:val="009D10A0"/>
    <w:rsid w:val="009D3D5F"/>
    <w:rsid w:val="009D453D"/>
    <w:rsid w:val="009E49A8"/>
    <w:rsid w:val="009F2A0C"/>
    <w:rsid w:val="009F6996"/>
    <w:rsid w:val="00A05B9C"/>
    <w:rsid w:val="00A1492B"/>
    <w:rsid w:val="00A30A02"/>
    <w:rsid w:val="00A3346C"/>
    <w:rsid w:val="00A4044C"/>
    <w:rsid w:val="00A522AA"/>
    <w:rsid w:val="00A61E08"/>
    <w:rsid w:val="00A647C3"/>
    <w:rsid w:val="00A90878"/>
    <w:rsid w:val="00A9493C"/>
    <w:rsid w:val="00AA451F"/>
    <w:rsid w:val="00AA64EF"/>
    <w:rsid w:val="00AB563F"/>
    <w:rsid w:val="00AD066B"/>
    <w:rsid w:val="00AD0EA0"/>
    <w:rsid w:val="00AD330B"/>
    <w:rsid w:val="00AD4B82"/>
    <w:rsid w:val="00AE094F"/>
    <w:rsid w:val="00AE334A"/>
    <w:rsid w:val="00AE4B75"/>
    <w:rsid w:val="00AE6FB5"/>
    <w:rsid w:val="00AE7F96"/>
    <w:rsid w:val="00B00292"/>
    <w:rsid w:val="00B0158D"/>
    <w:rsid w:val="00B0535F"/>
    <w:rsid w:val="00B10EA8"/>
    <w:rsid w:val="00B159A5"/>
    <w:rsid w:val="00B244F4"/>
    <w:rsid w:val="00B25035"/>
    <w:rsid w:val="00B277B1"/>
    <w:rsid w:val="00B303B5"/>
    <w:rsid w:val="00B46ED2"/>
    <w:rsid w:val="00B544EE"/>
    <w:rsid w:val="00B56200"/>
    <w:rsid w:val="00B65A26"/>
    <w:rsid w:val="00B75454"/>
    <w:rsid w:val="00B81086"/>
    <w:rsid w:val="00B87E0C"/>
    <w:rsid w:val="00B9032E"/>
    <w:rsid w:val="00BC365D"/>
    <w:rsid w:val="00BC720B"/>
    <w:rsid w:val="00BE4B03"/>
    <w:rsid w:val="00BE4B21"/>
    <w:rsid w:val="00BE6638"/>
    <w:rsid w:val="00C219DC"/>
    <w:rsid w:val="00C22E47"/>
    <w:rsid w:val="00C248D4"/>
    <w:rsid w:val="00C27B0E"/>
    <w:rsid w:val="00C476E3"/>
    <w:rsid w:val="00C63239"/>
    <w:rsid w:val="00C643D9"/>
    <w:rsid w:val="00C64D5C"/>
    <w:rsid w:val="00C66AE1"/>
    <w:rsid w:val="00C66B57"/>
    <w:rsid w:val="00C817C6"/>
    <w:rsid w:val="00C82059"/>
    <w:rsid w:val="00C871ED"/>
    <w:rsid w:val="00C8737B"/>
    <w:rsid w:val="00C93BE2"/>
    <w:rsid w:val="00CA6118"/>
    <w:rsid w:val="00CA6E27"/>
    <w:rsid w:val="00CB76EC"/>
    <w:rsid w:val="00CC0646"/>
    <w:rsid w:val="00CD2337"/>
    <w:rsid w:val="00CF12FD"/>
    <w:rsid w:val="00CF3692"/>
    <w:rsid w:val="00CF5533"/>
    <w:rsid w:val="00CF5A18"/>
    <w:rsid w:val="00D071C7"/>
    <w:rsid w:val="00D07FF9"/>
    <w:rsid w:val="00D117CF"/>
    <w:rsid w:val="00D145FA"/>
    <w:rsid w:val="00D1577F"/>
    <w:rsid w:val="00D16383"/>
    <w:rsid w:val="00D17575"/>
    <w:rsid w:val="00D20641"/>
    <w:rsid w:val="00D21D34"/>
    <w:rsid w:val="00D3284C"/>
    <w:rsid w:val="00D4388C"/>
    <w:rsid w:val="00D44E8B"/>
    <w:rsid w:val="00D458CC"/>
    <w:rsid w:val="00D50FE9"/>
    <w:rsid w:val="00D5498B"/>
    <w:rsid w:val="00D62207"/>
    <w:rsid w:val="00D7429D"/>
    <w:rsid w:val="00D779FE"/>
    <w:rsid w:val="00D77CB9"/>
    <w:rsid w:val="00D8582C"/>
    <w:rsid w:val="00D87C97"/>
    <w:rsid w:val="00D97C55"/>
    <w:rsid w:val="00DA1DAC"/>
    <w:rsid w:val="00DB7C29"/>
    <w:rsid w:val="00DC7C59"/>
    <w:rsid w:val="00DD57EF"/>
    <w:rsid w:val="00DE7E5A"/>
    <w:rsid w:val="00DF7CCA"/>
    <w:rsid w:val="00E0728F"/>
    <w:rsid w:val="00E149FA"/>
    <w:rsid w:val="00E22104"/>
    <w:rsid w:val="00E26297"/>
    <w:rsid w:val="00E317F4"/>
    <w:rsid w:val="00E345DF"/>
    <w:rsid w:val="00E40094"/>
    <w:rsid w:val="00E4254E"/>
    <w:rsid w:val="00E511E3"/>
    <w:rsid w:val="00E53377"/>
    <w:rsid w:val="00E55560"/>
    <w:rsid w:val="00E55A2F"/>
    <w:rsid w:val="00E6538B"/>
    <w:rsid w:val="00E720FC"/>
    <w:rsid w:val="00E815CF"/>
    <w:rsid w:val="00E816DB"/>
    <w:rsid w:val="00E91564"/>
    <w:rsid w:val="00E92126"/>
    <w:rsid w:val="00EC0408"/>
    <w:rsid w:val="00EC1A77"/>
    <w:rsid w:val="00EE1588"/>
    <w:rsid w:val="00EE30A3"/>
    <w:rsid w:val="00EE3532"/>
    <w:rsid w:val="00F15875"/>
    <w:rsid w:val="00F33DE9"/>
    <w:rsid w:val="00F340B2"/>
    <w:rsid w:val="00F3461C"/>
    <w:rsid w:val="00F40A85"/>
    <w:rsid w:val="00F429AB"/>
    <w:rsid w:val="00F460EC"/>
    <w:rsid w:val="00F479E0"/>
    <w:rsid w:val="00F8104F"/>
    <w:rsid w:val="00F83D51"/>
    <w:rsid w:val="00F8420E"/>
    <w:rsid w:val="00F868F5"/>
    <w:rsid w:val="00F87BEF"/>
    <w:rsid w:val="00FC3439"/>
    <w:rsid w:val="00FE5009"/>
    <w:rsid w:val="00FF170E"/>
    <w:rsid w:val="00FF709F"/>
    <w:rsid w:val="6DFD6E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Style w:val="9"/>
      <w:tblCellMar>
        <w:top w:w="0" w:type="dxa"/>
        <w:left w:w="108" w:type="dxa"/>
        <w:bottom w:w="0" w:type="dxa"/>
        <w:right w:w="108" w:type="dxa"/>
      </w:tblCellMar>
    </w:tblPr>
    <w:trPr>
      <w:wBefore w:w="0" w:type="dxa"/>
    </w:trPr>
  </w:style>
  <w:style w:type="paragraph" w:styleId="3">
    <w:name w:val="Document Map"/>
    <w:basedOn w:val="1"/>
    <w:link w:val="18"/>
    <w:semiHidden/>
    <w:unhideWhenUsed/>
    <w:uiPriority w:val="99"/>
    <w:rPr>
      <w:rFonts w:ascii="宋体"/>
      <w:sz w:val="18"/>
      <w:szCs w:val="18"/>
    </w:rPr>
  </w:style>
  <w:style w:type="paragraph" w:styleId="4">
    <w:name w:val="annotation text"/>
    <w:basedOn w:val="1"/>
    <w:link w:val="12"/>
    <w:semiHidden/>
    <w:unhideWhenUsed/>
    <w:uiPriority w:val="99"/>
    <w:pPr>
      <w:jc w:val="left"/>
    </w:pPr>
  </w:style>
  <w:style w:type="paragraph" w:styleId="5">
    <w:name w:val="Balloon Text"/>
    <w:basedOn w:val="1"/>
    <w:link w:val="13"/>
    <w:semiHidden/>
    <w:unhideWhenUsed/>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semiHidden/>
    <w:unhideWhenUsed/>
    <w:uiPriority w:val="99"/>
    <w:rPr>
      <w:b/>
      <w:bCs/>
    </w:rPr>
  </w:style>
  <w:style w:type="character" w:styleId="11">
    <w:name w:val="annotation reference"/>
    <w:semiHidden/>
    <w:unhideWhenUsed/>
    <w:uiPriority w:val="99"/>
    <w:rPr>
      <w:sz w:val="21"/>
      <w:szCs w:val="21"/>
    </w:rPr>
  </w:style>
  <w:style w:type="character" w:customStyle="1" w:styleId="12">
    <w:name w:val="批注文字 Char"/>
    <w:link w:val="4"/>
    <w:semiHidden/>
    <w:uiPriority w:val="99"/>
    <w:rPr>
      <w:rFonts w:ascii="Times New Roman" w:hAnsi="Times New Roman" w:eastAsia="宋体" w:cs="Times New Roman"/>
      <w:szCs w:val="20"/>
    </w:rPr>
  </w:style>
  <w:style w:type="character" w:customStyle="1" w:styleId="13">
    <w:name w:val="批注框文本 Char"/>
    <w:link w:val="5"/>
    <w:semiHidden/>
    <w:uiPriority w:val="99"/>
    <w:rPr>
      <w:rFonts w:ascii="Times New Roman" w:hAnsi="Times New Roman" w:eastAsia="宋体" w:cs="Times New Roman"/>
      <w:sz w:val="18"/>
      <w:szCs w:val="18"/>
    </w:rPr>
  </w:style>
  <w:style w:type="character" w:customStyle="1" w:styleId="14">
    <w:name w:val="批注主题 Char"/>
    <w:link w:val="8"/>
    <w:semiHidden/>
    <w:uiPriority w:val="99"/>
    <w:rPr>
      <w:rFonts w:ascii="Times New Roman" w:hAnsi="Times New Roman" w:eastAsia="宋体" w:cs="Times New Roman"/>
      <w:b/>
      <w:bCs/>
      <w:szCs w:val="20"/>
    </w:rPr>
  </w:style>
  <w:style w:type="paragraph" w:styleId="15">
    <w:name w:val="List Paragraph"/>
    <w:basedOn w:val="1"/>
    <w:qFormat/>
    <w:uiPriority w:val="34"/>
    <w:pPr>
      <w:ind w:firstLine="420" w:firstLineChars="200"/>
    </w:pPr>
  </w:style>
  <w:style w:type="character" w:customStyle="1" w:styleId="16">
    <w:name w:val="页眉 Char"/>
    <w:link w:val="7"/>
    <w:uiPriority w:val="99"/>
    <w:rPr>
      <w:rFonts w:ascii="Times New Roman" w:hAnsi="Times New Roman" w:eastAsia="宋体" w:cs="Times New Roman"/>
      <w:sz w:val="18"/>
      <w:szCs w:val="18"/>
    </w:rPr>
  </w:style>
  <w:style w:type="character" w:customStyle="1" w:styleId="17">
    <w:name w:val="页脚 Char"/>
    <w:link w:val="6"/>
    <w:uiPriority w:val="99"/>
    <w:rPr>
      <w:rFonts w:ascii="Times New Roman" w:hAnsi="Times New Roman" w:eastAsia="宋体" w:cs="Times New Roman"/>
      <w:sz w:val="18"/>
      <w:szCs w:val="18"/>
    </w:rPr>
  </w:style>
  <w:style w:type="character" w:customStyle="1" w:styleId="18">
    <w:name w:val="文档结构图 Char"/>
    <w:link w:val="3"/>
    <w:semiHidden/>
    <w:uiPriority w:val="99"/>
    <w:rPr>
      <w:rFonts w:ascii="宋体" w:hAnsi="Times New Roman"/>
      <w:kern w:val="2"/>
      <w:sz w:val="18"/>
      <w:szCs w:val="18"/>
    </w:rPr>
  </w:style>
  <w:style w:type="character" w:customStyle="1" w:styleId="19">
    <w:name w:val="标题 1 Char"/>
    <w:link w:val="2"/>
    <w:uiPriority w:val="9"/>
    <w:rPr>
      <w:rFonts w:ascii="Times New Roman" w:hAnsi="Times New Roman"/>
      <w:b/>
      <w:bCs/>
      <w:kern w:val="44"/>
      <w:sz w:val="44"/>
      <w:szCs w:val="44"/>
    </w:rPr>
  </w:style>
  <w:style w:type="paragraph" w:customStyle="1" w:styleId="20">
    <w:name w:val="Default"/>
    <w:uiPriority w:val="0"/>
    <w:pPr>
      <w:widowControl w:val="0"/>
      <w:autoSpaceDE w:val="0"/>
      <w:autoSpaceDN w:val="0"/>
      <w:adjustRightInd w:val="0"/>
    </w:pPr>
    <w:rPr>
      <w:rFonts w:ascii="仿宋_GB2312" w:eastAsia="仿宋_GB2312" w:cs="仿宋_GB2312"/>
      <w:color w:val="000000"/>
      <w:sz w:val="24"/>
      <w:szCs w:val="24"/>
      <w:lang w:val="en-US" w:eastAsia="zh-CN" w:bidi="ar-SA"/>
    </w:rPr>
  </w:style>
  <w:style w:type="paragraph" w:styleId="21">
    <w:name w:val=""/>
    <w:hidden/>
    <w:semiHidden/>
    <w:uiPriority w:val="99"/>
    <w:rPr>
      <w:rFonts w:ascii="Times New Roman" w:hAnsi="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463</Words>
  <Characters>2644</Characters>
  <Lines>22</Lines>
  <Paragraphs>6</Paragraphs>
  <TotalTime>0</TotalTime>
  <ScaleCrop>false</ScaleCrop>
  <LinksUpToDate>false</LinksUpToDate>
  <CharactersWithSpaces>3101</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2025-02-19T06:52:00Z</dcterms:created>
  <dc:creator>dsware</dc:creator>
  <cp:lastModifiedBy>黄文怡</cp:lastModifiedBy>
  <dcterms:modified xsi:type="dcterms:W3CDTF">2025-04-25T09:39:16Z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18AE59845EBC4EA7B010D6E860AE34A0_13</vt:lpwstr>
  </property>
</Properties>
</file>