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C212B">
      <w:pPr>
        <w:spacing w:line="560" w:lineRule="exact"/>
        <w:jc w:val="center"/>
        <w:rPr>
          <w:rFonts w:ascii="黑体" w:hAnsi="黑体" w:eastAsia="黑体"/>
          <w:bCs/>
          <w:sz w:val="36"/>
          <w:szCs w:val="36"/>
        </w:rPr>
      </w:pPr>
      <w:r>
        <w:rPr>
          <w:rFonts w:hint="eastAsia" w:ascii="黑体" w:hAnsi="黑体" w:eastAsia="黑体"/>
          <w:bCs/>
          <w:sz w:val="36"/>
          <w:szCs w:val="36"/>
        </w:rPr>
        <w:t>第</w:t>
      </w:r>
      <w:r>
        <w:rPr>
          <w:rFonts w:hint="eastAsia" w:ascii="黑体" w:hAnsi="黑体" w:eastAsia="黑体" w:cs="Times New Roman"/>
          <w:bCs/>
          <w:sz w:val="36"/>
          <w:szCs w:val="36"/>
        </w:rPr>
        <w:t>三十五</w:t>
      </w:r>
      <w:r>
        <w:rPr>
          <w:rFonts w:hint="eastAsia" w:ascii="黑体" w:hAnsi="黑体" w:eastAsia="黑体"/>
          <w:bCs/>
          <w:sz w:val="36"/>
          <w:szCs w:val="36"/>
        </w:rPr>
        <w:t xml:space="preserve">号 </w:t>
      </w:r>
      <w:r>
        <w:rPr>
          <w:rFonts w:hint="eastAsia" w:ascii="黑体" w:hAnsi="黑体" w:eastAsia="黑体"/>
          <w:bCs/>
          <w:sz w:val="36"/>
          <w:szCs w:val="36"/>
          <w:lang w:eastAsia="zh-CN"/>
        </w:rPr>
        <w:t>科创板</w:t>
      </w:r>
      <w:r>
        <w:rPr>
          <w:rFonts w:hint="eastAsia" w:ascii="黑体" w:hAnsi="黑体" w:eastAsia="黑体"/>
          <w:bCs/>
          <w:sz w:val="36"/>
          <w:szCs w:val="36"/>
        </w:rPr>
        <w:t>上市公司股东</w:t>
      </w:r>
      <w:r>
        <w:rPr>
          <w:rFonts w:hint="eastAsia" w:ascii="黑体" w:hAnsi="黑体" w:eastAsia="黑体"/>
          <w:bCs/>
          <w:sz w:val="36"/>
          <w:szCs w:val="36"/>
          <w:lang w:eastAsia="zh-CN"/>
        </w:rPr>
        <w:t>股份被司法拍卖（变卖）、司法扣划、</w:t>
      </w:r>
      <w:r>
        <w:rPr>
          <w:rFonts w:hint="eastAsia" w:ascii="黑体" w:hAnsi="黑体" w:eastAsia="黑体"/>
          <w:bCs/>
          <w:sz w:val="36"/>
          <w:szCs w:val="36"/>
        </w:rPr>
        <w:t>过户完成公告</w:t>
      </w:r>
    </w:p>
    <w:p w14:paraId="17DE5C15">
      <w:pPr>
        <w:autoSpaceDE w:val="0"/>
        <w:autoSpaceDN w:val="0"/>
        <w:adjustRightInd w:val="0"/>
        <w:spacing w:line="560" w:lineRule="exact"/>
        <w:rPr>
          <w:rFonts w:ascii="宋体" w:hAnsi="宋体"/>
          <w:color w:val="000000"/>
          <w:sz w:val="28"/>
          <w:szCs w:val="28"/>
        </w:rPr>
      </w:pPr>
    </w:p>
    <w:p w14:paraId="15E6ACC0">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089D8FAC">
      <w:pPr>
        <w:numPr>
          <w:ilvl w:val="0"/>
          <w:numId w:val="1"/>
        </w:numPr>
        <w:autoSpaceDE w:val="0"/>
        <w:autoSpaceDN w:val="0"/>
        <w:adjustRightInd w:val="0"/>
        <w:snapToGrid w:val="0"/>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lang w:val="en-US" w:eastAsia="zh-CN"/>
        </w:rPr>
        <w:t>科创板</w:t>
      </w:r>
      <w:r>
        <w:rPr>
          <w:rFonts w:hint="eastAsia" w:ascii="仿宋_GB2312" w:hAnsi="宋体" w:eastAsia="仿宋_GB2312"/>
          <w:bCs/>
          <w:sz w:val="30"/>
          <w:szCs w:val="30"/>
        </w:rPr>
        <w:t>上市公司</w:t>
      </w:r>
      <w:r>
        <w:rPr>
          <w:rFonts w:hint="eastAsia" w:ascii="仿宋_GB2312" w:hAnsi="宋体" w:eastAsia="仿宋_GB2312"/>
          <w:bCs/>
          <w:sz w:val="30"/>
          <w:szCs w:val="30"/>
          <w:lang w:eastAsia="zh-CN"/>
        </w:rPr>
        <w:t>（</w:t>
      </w:r>
      <w:r>
        <w:rPr>
          <w:rFonts w:hint="eastAsia" w:ascii="仿宋_GB2312" w:hAnsi="宋体" w:eastAsia="仿宋_GB2312" w:cs="Times New Roman"/>
          <w:bCs/>
          <w:sz w:val="30"/>
          <w:szCs w:val="30"/>
        </w:rPr>
        <w:t>以下简称上市公司</w:t>
      </w:r>
      <w:r>
        <w:rPr>
          <w:rFonts w:hint="eastAsia" w:ascii="仿宋_GB2312" w:hAnsi="宋体" w:eastAsia="仿宋_GB2312"/>
          <w:bCs/>
          <w:sz w:val="30"/>
          <w:szCs w:val="30"/>
          <w:lang w:eastAsia="zh-CN"/>
        </w:rPr>
        <w:t>）</w:t>
      </w:r>
      <w:r>
        <w:rPr>
          <w:rFonts w:hint="eastAsia" w:ascii="仿宋_GB2312" w:hAnsi="宋体" w:eastAsia="仿宋_GB2312"/>
          <w:bCs/>
          <w:sz w:val="30"/>
          <w:szCs w:val="30"/>
        </w:rPr>
        <w:t>股东</w:t>
      </w:r>
      <w:r>
        <w:rPr>
          <w:rFonts w:hint="eastAsia" w:ascii="仿宋_GB2312" w:hAnsi="宋体" w:eastAsia="仿宋_GB2312"/>
          <w:bCs/>
          <w:sz w:val="30"/>
          <w:szCs w:val="30"/>
          <w:lang w:eastAsia="zh-CN"/>
        </w:rPr>
        <w:t>及其一致行动人所持</w:t>
      </w:r>
      <w:r>
        <w:rPr>
          <w:rFonts w:hint="eastAsia" w:ascii="仿宋_GB2312" w:hAnsi="宋体" w:eastAsia="仿宋_GB2312"/>
          <w:bCs/>
          <w:sz w:val="30"/>
          <w:szCs w:val="30"/>
          <w:lang w:val="en-US" w:eastAsia="zh-CN"/>
        </w:rPr>
        <w:t>5%以上</w:t>
      </w:r>
      <w:r>
        <w:rPr>
          <w:rFonts w:hint="eastAsia" w:ascii="仿宋_GB2312" w:hAnsi="宋体" w:eastAsia="仿宋_GB2312"/>
          <w:bCs/>
          <w:sz w:val="30"/>
          <w:szCs w:val="30"/>
        </w:rPr>
        <w:t>股份被司法拍卖</w:t>
      </w:r>
      <w:bookmarkStart w:id="0" w:name="_GoBack"/>
      <w:bookmarkEnd w:id="0"/>
      <w:r>
        <w:rPr>
          <w:rFonts w:hint="eastAsia" w:ascii="仿宋_GB2312" w:hAnsi="宋体" w:eastAsia="仿宋_GB2312"/>
          <w:bCs/>
          <w:sz w:val="30"/>
          <w:szCs w:val="30"/>
        </w:rPr>
        <w:t>（变卖），适用本公告格式</w:t>
      </w:r>
      <w:r>
        <w:rPr>
          <w:rFonts w:hint="eastAsia" w:ascii="仿宋_GB2312" w:hAnsi="宋体" w:eastAsia="仿宋_GB2312"/>
          <w:bCs/>
          <w:sz w:val="30"/>
          <w:szCs w:val="30"/>
          <w:lang w:eastAsia="zh-CN"/>
        </w:rPr>
        <w:t>，</w:t>
      </w:r>
      <w:r>
        <w:rPr>
          <w:rFonts w:hint="eastAsia" w:ascii="仿宋_GB2312" w:hAnsi="宋体" w:eastAsia="仿宋_GB2312"/>
          <w:bCs/>
          <w:sz w:val="30"/>
          <w:szCs w:val="30"/>
        </w:rPr>
        <w:t>披露司法拍卖（变卖）</w:t>
      </w:r>
      <w:r>
        <w:rPr>
          <w:rFonts w:hint="eastAsia" w:ascii="仿宋_GB2312" w:hAnsi="宋体" w:eastAsia="仿宋_GB2312"/>
          <w:bCs/>
          <w:sz w:val="30"/>
          <w:szCs w:val="30"/>
          <w:lang w:eastAsia="zh-CN"/>
        </w:rPr>
        <w:t>、司法扣划、</w:t>
      </w:r>
      <w:r>
        <w:rPr>
          <w:rFonts w:hint="eastAsia" w:ascii="仿宋_GB2312" w:hAnsi="宋体" w:eastAsia="仿宋_GB2312"/>
          <w:bCs/>
          <w:sz w:val="30"/>
          <w:szCs w:val="30"/>
        </w:rPr>
        <w:t>过户完成</w:t>
      </w:r>
      <w:r>
        <w:rPr>
          <w:rFonts w:hint="eastAsia" w:ascii="仿宋_GB2312" w:hAnsi="宋体" w:eastAsia="仿宋_GB2312"/>
          <w:bCs/>
          <w:sz w:val="30"/>
          <w:szCs w:val="30"/>
          <w:lang w:eastAsia="zh-CN"/>
        </w:rPr>
        <w:t>相关</w:t>
      </w:r>
      <w:r>
        <w:rPr>
          <w:rFonts w:hint="eastAsia" w:ascii="仿宋_GB2312" w:hAnsi="宋体" w:eastAsia="仿宋_GB2312"/>
          <w:bCs/>
          <w:sz w:val="30"/>
          <w:szCs w:val="30"/>
        </w:rPr>
        <w:t>公告</w:t>
      </w:r>
      <w:r>
        <w:rPr>
          <w:rFonts w:hint="eastAsia" w:ascii="仿宋_GB2312" w:hAnsi="宋体" w:eastAsia="仿宋_GB2312"/>
          <w:sz w:val="30"/>
          <w:szCs w:val="30"/>
        </w:rPr>
        <w:t>。</w:t>
      </w:r>
    </w:p>
    <w:p w14:paraId="11D207C1">
      <w:pPr>
        <w:pStyle w:val="6"/>
        <w:numPr>
          <w:ilvl w:val="0"/>
          <w:numId w:val="2"/>
        </w:numPr>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lang w:eastAsia="zh-CN"/>
        </w:rPr>
        <w:t>上市公司股东</w:t>
      </w:r>
      <w:r>
        <w:rPr>
          <w:rFonts w:hint="eastAsia" w:ascii="仿宋_GB2312" w:hAnsi="宋体" w:eastAsia="仿宋_GB2312"/>
          <w:bCs/>
          <w:sz w:val="30"/>
          <w:szCs w:val="30"/>
          <w:highlight w:val="none"/>
          <w:lang w:eastAsia="zh-CN"/>
        </w:rPr>
        <w:t>所持</w:t>
      </w:r>
      <w:r>
        <w:rPr>
          <w:rFonts w:hint="eastAsia" w:ascii="仿宋_GB2312" w:hAnsi="宋体" w:eastAsia="仿宋_GB2312"/>
          <w:bCs/>
          <w:sz w:val="30"/>
          <w:szCs w:val="30"/>
          <w:highlight w:val="none"/>
        </w:rPr>
        <w:t>股份因其他</w:t>
      </w:r>
      <w:r>
        <w:rPr>
          <w:rFonts w:hint="eastAsia" w:ascii="仿宋_GB2312" w:hAnsi="宋体" w:eastAsia="仿宋_GB2312"/>
          <w:bCs/>
          <w:sz w:val="30"/>
          <w:szCs w:val="30"/>
          <w:highlight w:val="none"/>
          <w:lang w:eastAsia="zh-CN"/>
        </w:rPr>
        <w:t>原因</w:t>
      </w:r>
      <w:r>
        <w:rPr>
          <w:rFonts w:hint="eastAsia" w:ascii="仿宋_GB2312" w:hAnsi="宋体" w:eastAsia="仿宋_GB2312"/>
          <w:bCs/>
          <w:sz w:val="30"/>
          <w:szCs w:val="30"/>
          <w:highlight w:val="none"/>
        </w:rPr>
        <w:t>被司法扣划、</w:t>
      </w:r>
      <w:r>
        <w:rPr>
          <w:rFonts w:hint="eastAsia" w:ascii="仿宋_GB2312" w:hAnsi="宋体" w:eastAsia="仿宋_GB2312"/>
          <w:bCs/>
          <w:sz w:val="30"/>
          <w:szCs w:val="30"/>
          <w:highlight w:val="none"/>
          <w:lang w:eastAsia="zh-CN"/>
        </w:rPr>
        <w:t>划转</w:t>
      </w:r>
      <w:r>
        <w:rPr>
          <w:rFonts w:hint="eastAsia" w:ascii="仿宋_GB2312" w:hAnsi="宋体" w:eastAsia="仿宋_GB2312"/>
          <w:bCs/>
          <w:sz w:val="30"/>
          <w:szCs w:val="30"/>
        </w:rPr>
        <w:t>，</w:t>
      </w:r>
      <w:r>
        <w:rPr>
          <w:rFonts w:hint="eastAsia" w:ascii="仿宋_GB2312" w:hAnsi="宋体" w:eastAsia="仿宋_GB2312"/>
          <w:bCs/>
          <w:sz w:val="30"/>
          <w:szCs w:val="30"/>
          <w:lang w:eastAsia="zh-CN"/>
        </w:rPr>
        <w:t>披露相关公告的，</w:t>
      </w:r>
      <w:r>
        <w:rPr>
          <w:rFonts w:hint="eastAsia" w:ascii="仿宋_GB2312" w:hAnsi="宋体" w:eastAsia="仿宋_GB2312"/>
          <w:bCs/>
          <w:sz w:val="30"/>
          <w:szCs w:val="30"/>
        </w:rPr>
        <w:t>参照适用本公告格式。</w:t>
      </w:r>
    </w:p>
    <w:p w14:paraId="220568FF">
      <w:pPr>
        <w:pStyle w:val="6"/>
        <w:spacing w:line="560" w:lineRule="exact"/>
        <w:rPr>
          <w:rFonts w:hint="eastAsia" w:ascii="仿宋_GB2312" w:hAnsi="宋体" w:eastAsia="仿宋_GB2312"/>
          <w:bCs/>
          <w:sz w:val="30"/>
          <w:szCs w:val="30"/>
          <w:lang w:eastAsia="zh-CN"/>
        </w:rPr>
      </w:pPr>
    </w:p>
    <w:p w14:paraId="67D48CCA">
      <w:pPr>
        <w:pStyle w:val="6"/>
        <w:rPr>
          <w:rFonts w:hint="eastAsia" w:ascii="仿宋_GB2312" w:hAnsi="宋体" w:eastAsia="仿宋_GB2312"/>
          <w:bCs/>
          <w:sz w:val="30"/>
          <w:szCs w:val="30"/>
          <w:lang w:eastAsia="zh-CN"/>
        </w:rPr>
      </w:pPr>
    </w:p>
    <w:p w14:paraId="7FEB9894">
      <w:pPr>
        <w:pStyle w:val="6"/>
        <w:rPr>
          <w:rFonts w:ascii="仿宋_GB2312" w:hAnsi="宋体" w:eastAsia="仿宋_GB2312"/>
          <w:bCs/>
          <w:sz w:val="30"/>
          <w:szCs w:val="30"/>
        </w:rPr>
      </w:pPr>
    </w:p>
    <w:p w14:paraId="648D528A">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31E53074">
      <w:pPr>
        <w:adjustRightInd w:val="0"/>
        <w:snapToGrid w:val="0"/>
        <w:spacing w:line="560" w:lineRule="exact"/>
        <w:jc w:val="center"/>
        <w:rPr>
          <w:rFonts w:ascii="仿宋_GB2312" w:hAnsi="宋体" w:eastAsia="仿宋_GB2312"/>
          <w:sz w:val="30"/>
          <w:szCs w:val="30"/>
        </w:rPr>
      </w:pPr>
    </w:p>
    <w:p w14:paraId="443A14DB">
      <w:pPr>
        <w:adjustRightInd/>
        <w:snapToGrid/>
        <w:spacing w:line="560" w:lineRule="exact"/>
        <w:jc w:val="center"/>
        <w:outlineLvl w:val="9"/>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股份有限公司股东股份被司法拍卖（变卖）</w:t>
      </w:r>
      <w:r>
        <w:rPr>
          <w:rFonts w:hint="eastAsia" w:ascii="仿宋_GB2312" w:hAnsi="宋体" w:eastAsia="仿宋_GB2312"/>
          <w:sz w:val="30"/>
          <w:szCs w:val="30"/>
          <w:lang w:eastAsia="zh-CN"/>
        </w:rPr>
        <w:t>、司法扣划、</w:t>
      </w:r>
      <w:r>
        <w:rPr>
          <w:rFonts w:hint="eastAsia" w:ascii="仿宋_GB2312" w:hAnsi="宋体" w:eastAsia="仿宋_GB2312"/>
          <w:sz w:val="30"/>
          <w:szCs w:val="30"/>
        </w:rPr>
        <w:t>过户完成公告</w:t>
      </w:r>
    </w:p>
    <w:p w14:paraId="7B581803">
      <w:pPr>
        <w:snapToGrid w:val="0"/>
        <w:spacing w:line="560" w:lineRule="exact"/>
        <w:jc w:val="center"/>
        <w:rPr>
          <w:rFonts w:ascii="仿宋_GB2312" w:hAnsi="宋体" w:eastAsia="仿宋_GB2312"/>
          <w:color w:val="000000"/>
          <w:sz w:val="28"/>
          <w:szCs w:val="28"/>
        </w:rPr>
      </w:pPr>
    </w:p>
    <w:p w14:paraId="6409E71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5CAAFB0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151BE2A7">
      <w:pPr>
        <w:adjustRightInd w:val="0"/>
        <w:snapToGrid w:val="0"/>
        <w:spacing w:line="560" w:lineRule="exact"/>
        <w:ind w:firstLine="602" w:firstLineChars="200"/>
        <w:rPr>
          <w:rFonts w:ascii="仿宋_GB2312" w:hAnsi="宋体" w:eastAsia="仿宋_GB2312"/>
          <w:b/>
          <w:sz w:val="30"/>
          <w:szCs w:val="30"/>
        </w:rPr>
      </w:pPr>
    </w:p>
    <w:p w14:paraId="00CC26BC">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5A96F85D">
      <w:pPr>
        <w:numPr>
          <w:ilvl w:val="0"/>
          <w:numId w:val="3"/>
        </w:numPr>
        <w:ind w:left="0" w:firstLine="600" w:firstLineChars="200"/>
        <w:jc w:val="left"/>
        <w:rPr>
          <w:rFonts w:ascii="仿宋_GB2312" w:hAnsi="Calibri" w:eastAsia="仿宋_GB2312"/>
          <w:color w:val="000000"/>
          <w:kern w:val="2"/>
          <w:sz w:val="30"/>
          <w:szCs w:val="30"/>
          <w:highlight w:val="none"/>
        </w:rPr>
      </w:pPr>
      <w:r>
        <w:rPr>
          <w:rFonts w:hint="eastAsia" w:ascii="Times New Roman" w:hAnsi="Times New Roman" w:eastAsia="仿宋_GB2312"/>
          <w:sz w:val="30"/>
          <w:szCs w:val="30"/>
          <w:lang w:val="en-US" w:eastAsia="zh-CN"/>
        </w:rPr>
        <w:t xml:space="preserve"> 本次司法拍卖（变卖）前</w:t>
      </w:r>
      <w:r>
        <w:rPr>
          <w:rFonts w:ascii="Times New Roman" w:hAnsi="Times New Roman" w:eastAsia="仿宋_GB2312"/>
          <w:sz w:val="30"/>
          <w:szCs w:val="30"/>
        </w:rPr>
        <w:t>股东持有上市公司股份数量及</w:t>
      </w:r>
      <w:r>
        <w:rPr>
          <w:rFonts w:ascii="Times New Roman" w:hAnsi="Times New Roman" w:eastAsia="仿宋_GB2312"/>
          <w:sz w:val="30"/>
          <w:szCs w:val="30"/>
          <w:highlight w:val="none"/>
        </w:rPr>
        <w:t>占公司总股本比例</w:t>
      </w:r>
      <w:r>
        <w:rPr>
          <w:rFonts w:hint="eastAsia" w:ascii="Times New Roman" w:hAnsi="Times New Roman" w:eastAsia="仿宋_GB2312"/>
          <w:sz w:val="30"/>
          <w:szCs w:val="30"/>
          <w:highlight w:val="none"/>
          <w:lang w:eastAsia="zh-CN"/>
        </w:rPr>
        <w:t>、股份来源</w:t>
      </w:r>
    </w:p>
    <w:p w14:paraId="24EEBBB3">
      <w:pPr>
        <w:numPr>
          <w:ilvl w:val="0"/>
          <w:numId w:val="3"/>
        </w:numPr>
        <w:adjustRightInd w:val="0"/>
        <w:snapToGrid w:val="0"/>
        <w:spacing w:line="560" w:lineRule="exact"/>
        <w:ind w:left="0" w:firstLine="600" w:firstLineChars="200"/>
        <w:jc w:val="left"/>
        <w:rPr>
          <w:rFonts w:ascii="仿宋_GB2312" w:hAnsi="宋体" w:eastAsia="仿宋_GB2312"/>
          <w:bCs w:val="0"/>
          <w:sz w:val="30"/>
          <w:szCs w:val="30"/>
          <w:highlight w:val="none"/>
        </w:rPr>
      </w:pPr>
      <w:r>
        <w:rPr>
          <w:rFonts w:hint="eastAsia" w:ascii="Times New Roman" w:hAnsi="Times New Roman" w:eastAsia="仿宋_GB2312"/>
          <w:sz w:val="30"/>
          <w:szCs w:val="30"/>
          <w:highlight w:val="none"/>
          <w:lang w:val="en-US" w:eastAsia="zh-CN"/>
        </w:rPr>
        <w:t xml:space="preserve"> </w:t>
      </w:r>
      <w:r>
        <w:rPr>
          <w:rFonts w:ascii="Times New Roman" w:hAnsi="Times New Roman" w:eastAsia="仿宋_GB2312"/>
          <w:sz w:val="30"/>
          <w:szCs w:val="30"/>
          <w:highlight w:val="none"/>
        </w:rPr>
        <w:t>股东持有上市公司股份</w:t>
      </w:r>
      <w:r>
        <w:rPr>
          <w:rFonts w:hint="eastAsia" w:ascii="Times New Roman" w:hAnsi="Times New Roman" w:eastAsia="仿宋_GB2312"/>
          <w:sz w:val="30"/>
          <w:szCs w:val="30"/>
          <w:highlight w:val="none"/>
          <w:lang w:eastAsia="zh-CN"/>
        </w:rPr>
        <w:t>本次被司法拍卖</w:t>
      </w:r>
      <w:r>
        <w:rPr>
          <w:rFonts w:hint="eastAsia" w:ascii="Times New Roman" w:hAnsi="Times New Roman" w:eastAsia="仿宋_GB2312"/>
          <w:sz w:val="30"/>
          <w:szCs w:val="30"/>
          <w:highlight w:val="none"/>
          <w:lang w:val="en-US" w:eastAsia="zh-CN"/>
        </w:rPr>
        <w:t>（变卖）</w:t>
      </w:r>
      <w:r>
        <w:rPr>
          <w:rFonts w:ascii="Times New Roman" w:hAnsi="Times New Roman" w:eastAsia="仿宋_GB2312"/>
          <w:sz w:val="30"/>
          <w:szCs w:val="30"/>
          <w:highlight w:val="none"/>
        </w:rPr>
        <w:t>数量及占其</w:t>
      </w:r>
      <w:r>
        <w:rPr>
          <w:rFonts w:hint="eastAsia" w:ascii="Times New Roman" w:hAnsi="Times New Roman" w:eastAsia="仿宋_GB2312"/>
          <w:sz w:val="30"/>
          <w:szCs w:val="30"/>
          <w:highlight w:val="none"/>
          <w:lang w:eastAsia="zh-CN"/>
        </w:rPr>
        <w:t>所</w:t>
      </w:r>
      <w:r>
        <w:rPr>
          <w:rFonts w:ascii="Times New Roman" w:hAnsi="Times New Roman" w:eastAsia="仿宋_GB2312"/>
          <w:sz w:val="30"/>
          <w:szCs w:val="30"/>
          <w:highlight w:val="none"/>
        </w:rPr>
        <w:t>持股</w:t>
      </w:r>
      <w:r>
        <w:rPr>
          <w:rFonts w:hint="eastAsia" w:ascii="Times New Roman" w:hAnsi="Times New Roman" w:eastAsia="仿宋_GB2312"/>
          <w:sz w:val="30"/>
          <w:szCs w:val="30"/>
          <w:highlight w:val="none"/>
          <w:lang w:eastAsia="zh-CN"/>
        </w:rPr>
        <w:t>份、公司总股本</w:t>
      </w:r>
      <w:r>
        <w:rPr>
          <w:rFonts w:ascii="Times New Roman" w:hAnsi="Times New Roman" w:eastAsia="仿宋_GB2312"/>
          <w:sz w:val="30"/>
          <w:szCs w:val="30"/>
          <w:highlight w:val="none"/>
        </w:rPr>
        <w:t>比例</w:t>
      </w:r>
      <w:r>
        <w:rPr>
          <w:rFonts w:hint="eastAsia" w:ascii="Times New Roman" w:hAnsi="Times New Roman" w:eastAsia="仿宋_GB2312"/>
          <w:sz w:val="30"/>
          <w:szCs w:val="30"/>
          <w:highlight w:val="none"/>
          <w:lang w:eastAsia="zh-CN"/>
        </w:rPr>
        <w:t>、股份来源</w:t>
      </w:r>
    </w:p>
    <w:p w14:paraId="5F2D2163">
      <w:pPr>
        <w:numPr>
          <w:ilvl w:val="0"/>
          <w:numId w:val="3"/>
        </w:numPr>
        <w:adjustRightInd w:val="0"/>
        <w:snapToGrid w:val="0"/>
        <w:spacing w:line="560" w:lineRule="exact"/>
        <w:ind w:left="0" w:firstLine="600" w:firstLineChars="200"/>
        <w:jc w:val="left"/>
        <w:rPr>
          <w:rFonts w:ascii="仿宋_GB2312" w:hAnsi="宋体" w:eastAsia="仿宋_GB2312"/>
          <w:bCs w:val="0"/>
          <w:sz w:val="30"/>
          <w:szCs w:val="30"/>
          <w:highlight w:val="none"/>
        </w:rPr>
      </w:pPr>
      <w:r>
        <w:rPr>
          <w:rFonts w:hint="eastAsia" w:ascii="Times New Roman" w:hAnsi="Times New Roman" w:eastAsia="仿宋_GB2312"/>
          <w:sz w:val="30"/>
          <w:szCs w:val="30"/>
          <w:highlight w:val="none"/>
          <w:lang w:val="en-US" w:eastAsia="zh-CN"/>
        </w:rPr>
        <w:t xml:space="preserve"> </w:t>
      </w:r>
      <w:r>
        <w:rPr>
          <w:rFonts w:hint="eastAsia" w:ascii="仿宋_GB2312" w:eastAsia="仿宋_GB2312"/>
          <w:sz w:val="30"/>
          <w:szCs w:val="30"/>
          <w:highlight w:val="none"/>
        </w:rPr>
        <w:t>尚需履行的其他相关程序</w:t>
      </w:r>
      <w:r>
        <w:rPr>
          <w:rFonts w:hint="eastAsia" w:ascii="仿宋_GB2312" w:hAnsi="宋体" w:eastAsia="仿宋_GB2312"/>
          <w:bCs/>
          <w:sz w:val="30"/>
          <w:szCs w:val="30"/>
          <w:highlight w:val="none"/>
        </w:rPr>
        <w:t>（如适用）</w:t>
      </w:r>
    </w:p>
    <w:p w14:paraId="25DA0470">
      <w:pPr>
        <w:numPr>
          <w:ilvl w:val="0"/>
          <w:numId w:val="3"/>
        </w:numPr>
        <w:adjustRightInd w:val="0"/>
        <w:snapToGrid w:val="0"/>
        <w:spacing w:line="560" w:lineRule="exact"/>
        <w:ind w:left="0" w:firstLine="600" w:firstLineChars="200"/>
        <w:jc w:val="left"/>
        <w:rPr>
          <w:rFonts w:ascii="仿宋_GB2312" w:hAnsi="宋体" w:eastAsia="仿宋_GB2312"/>
          <w:bCs/>
          <w:sz w:val="30"/>
          <w:szCs w:val="30"/>
          <w:highlight w:val="none"/>
        </w:rPr>
      </w:pPr>
      <w:r>
        <w:rPr>
          <w:rFonts w:hint="eastAsia" w:ascii="仿宋_GB2312" w:eastAsia="仿宋_GB2312"/>
          <w:sz w:val="30"/>
          <w:szCs w:val="30"/>
          <w:highlight w:val="none"/>
          <w:lang w:val="en-US" w:eastAsia="zh-CN"/>
        </w:rPr>
        <w:t xml:space="preserve"> </w:t>
      </w:r>
      <w:r>
        <w:rPr>
          <w:rFonts w:hint="eastAsia" w:ascii="Times New Roman" w:hAnsi="Times New Roman" w:eastAsia="仿宋_GB2312"/>
          <w:b w:val="0"/>
          <w:bCs w:val="0"/>
          <w:sz w:val="30"/>
          <w:szCs w:val="30"/>
          <w:highlight w:val="none"/>
        </w:rPr>
        <w:t>根据《上市公司股东减持股份管理暂行办法》《上海证券交易所上市公司自律监管指引第15号——股东及董事、高级管理人员减持股份》等相关规定，大股东通过司法扣划、划转等非交易过户方式减持股份，或者其他股东通过司法扣划、划转等非交易过户方式减持其持有的公司首次公开发行前发行的股份的，受让方在受让后6个月内不得减持</w:t>
      </w:r>
      <w:r>
        <w:rPr>
          <w:rFonts w:hint="eastAsia" w:ascii="Times New Roman" w:hAnsi="Times New Roman" w:eastAsia="仿宋_GB2312"/>
          <w:b w:val="0"/>
          <w:bCs w:val="0"/>
          <w:sz w:val="30"/>
          <w:szCs w:val="30"/>
          <w:highlight w:val="none"/>
          <w:lang w:eastAsia="zh-CN"/>
        </w:rPr>
        <w:t>。</w:t>
      </w:r>
    </w:p>
    <w:p w14:paraId="70AE7CB3">
      <w:pPr>
        <w:numPr>
          <w:ilvl w:val="0"/>
          <w:numId w:val="4"/>
        </w:numPr>
        <w:adjustRightInd w:val="0"/>
        <w:snapToGrid w:val="0"/>
        <w:spacing w:line="560" w:lineRule="exact"/>
        <w:rPr>
          <w:rFonts w:ascii="仿宋_GB2312" w:hAnsi="宋体" w:eastAsia="仿宋_GB2312"/>
          <w:bCs/>
          <w:sz w:val="30"/>
          <w:szCs w:val="30"/>
          <w:highlight w:val="none"/>
        </w:rPr>
      </w:pP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需要提醒投资者重点关注的风险事项</w:t>
      </w:r>
      <w:r>
        <w:rPr>
          <w:rFonts w:hint="eastAsia" w:ascii="仿宋_GB2312" w:hAnsi="宋体" w:eastAsia="仿宋_GB2312"/>
          <w:bCs/>
          <w:sz w:val="30"/>
          <w:szCs w:val="30"/>
          <w:highlight w:val="none"/>
        </w:rPr>
        <w:t>（如适用）</w:t>
      </w:r>
    </w:p>
    <w:p w14:paraId="6B7F60D2">
      <w:pPr>
        <w:pStyle w:val="6"/>
        <w:rPr>
          <w:rFonts w:hint="eastAsia" w:ascii="仿宋_GB2312" w:eastAsia="仿宋_GB2312"/>
          <w:sz w:val="30"/>
          <w:szCs w:val="30"/>
        </w:rPr>
      </w:pPr>
    </w:p>
    <w:p w14:paraId="48ED4F0D"/>
    <w:p w14:paraId="1E887A82">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一、本次司法拍卖（变卖）</w:t>
      </w:r>
      <w:r>
        <w:rPr>
          <w:rFonts w:hint="eastAsia" w:ascii="黑体" w:hAnsi="黑体" w:eastAsia="黑体" w:cs="宋体"/>
          <w:b/>
          <w:color w:val="000000"/>
          <w:kern w:val="0"/>
          <w:sz w:val="30"/>
          <w:szCs w:val="30"/>
          <w:lang w:eastAsia="zh-CN"/>
        </w:rPr>
        <w:t>前股东持股情况</w:t>
      </w:r>
    </w:p>
    <w:p w14:paraId="40DD7684">
      <w:pPr>
        <w:widowControl/>
        <w:adjustRightInd w:val="0"/>
        <w:snapToGrid w:val="0"/>
        <w:spacing w:line="560" w:lineRule="exact"/>
        <w:ind w:firstLine="600" w:firstLineChars="200"/>
        <w:rPr>
          <w:rFonts w:hint="eastAsia" w:ascii="仿宋_GB2312" w:eastAsia="仿宋_GB2312"/>
          <w:sz w:val="30"/>
          <w:szCs w:val="30"/>
        </w:rPr>
      </w:pPr>
      <w:r>
        <w:rPr>
          <w:rFonts w:hint="eastAsia" w:ascii="Times New Roman" w:hAnsi="Times New Roman" w:eastAsia="仿宋_GB2312"/>
          <w:sz w:val="30"/>
          <w:szCs w:val="30"/>
          <w:lang w:val="en-US" w:eastAsia="zh-CN"/>
        </w:rPr>
        <w:t>本次司法拍卖（变卖）前</w:t>
      </w:r>
      <w:r>
        <w:rPr>
          <w:rFonts w:ascii="Times New Roman" w:hAnsi="Times New Roman" w:eastAsia="仿宋_GB2312"/>
          <w:sz w:val="30"/>
          <w:szCs w:val="30"/>
        </w:rPr>
        <w:t>股东持有上市公司股份数量及占公司总股本比例</w:t>
      </w:r>
      <w:r>
        <w:rPr>
          <w:rFonts w:hint="eastAsia" w:ascii="Times New Roman" w:hAnsi="Times New Roman" w:eastAsia="仿宋_GB2312"/>
          <w:sz w:val="30"/>
          <w:szCs w:val="30"/>
          <w:lang w:eastAsia="zh-CN"/>
        </w:rPr>
        <w:t>、股份来源、</w:t>
      </w:r>
      <w:r>
        <w:rPr>
          <w:rFonts w:hint="eastAsia" w:ascii="Times New Roman" w:hAnsi="Times New Roman" w:eastAsia="仿宋_GB2312"/>
          <w:sz w:val="30"/>
          <w:szCs w:val="30"/>
          <w:highlight w:val="none"/>
          <w:lang w:eastAsia="zh-CN"/>
        </w:rPr>
        <w:t>是否存在减持限制或其他权利限制、</w:t>
      </w:r>
      <w:r>
        <w:rPr>
          <w:rFonts w:hint="eastAsia" w:ascii="Times New Roman" w:hAnsi="Times New Roman" w:eastAsia="仿宋_GB2312"/>
          <w:sz w:val="30"/>
          <w:szCs w:val="30"/>
          <w:lang w:eastAsia="zh-CN"/>
        </w:rPr>
        <w:t>是否属于控股股东、实际控制人及其一致行动人</w:t>
      </w:r>
      <w:r>
        <w:rPr>
          <w:rFonts w:hint="eastAsia" w:ascii="仿宋_GB2312" w:eastAsia="仿宋_GB2312"/>
          <w:sz w:val="30"/>
          <w:szCs w:val="30"/>
        </w:rPr>
        <w:t>。</w:t>
      </w:r>
    </w:p>
    <w:p w14:paraId="7556D1CF">
      <w:pPr>
        <w:widowControl/>
        <w:adjustRightInd w:val="0"/>
        <w:snapToGrid w:val="0"/>
        <w:spacing w:line="560" w:lineRule="exact"/>
        <w:ind w:firstLine="600" w:firstLineChars="200"/>
        <w:rPr>
          <w:rFonts w:hint="eastAsia" w:ascii="仿宋_GB2312" w:eastAsia="仿宋_GB2312"/>
          <w:sz w:val="30"/>
          <w:szCs w:val="30"/>
        </w:rPr>
      </w:pPr>
    </w:p>
    <w:p w14:paraId="1113777A">
      <w:pPr>
        <w:widowControl/>
        <w:spacing w:line="560" w:lineRule="exact"/>
        <w:ind w:firstLine="602" w:firstLineChars="200"/>
        <w:jc w:val="left"/>
        <w:outlineLvl w:val="0"/>
        <w:rPr>
          <w:rFonts w:hint="eastAsia" w:ascii="黑体" w:hAnsi="黑体" w:eastAsia="黑体" w:cs="宋体"/>
          <w:b/>
          <w:color w:val="000000"/>
          <w:kern w:val="0"/>
          <w:sz w:val="30"/>
          <w:szCs w:val="30"/>
          <w:lang w:eastAsia="zh-CN"/>
        </w:rPr>
      </w:pPr>
      <w:r>
        <w:rPr>
          <w:rFonts w:hint="eastAsia" w:ascii="黑体" w:hAnsi="黑体" w:eastAsia="黑体" w:cs="宋体"/>
          <w:b/>
          <w:color w:val="000000"/>
          <w:kern w:val="0"/>
          <w:sz w:val="30"/>
          <w:szCs w:val="30"/>
        </w:rPr>
        <w:t>二、</w:t>
      </w:r>
      <w:r>
        <w:rPr>
          <w:rFonts w:hint="eastAsia" w:ascii="黑体" w:hAnsi="黑体" w:eastAsia="黑体" w:cs="宋体"/>
          <w:b/>
          <w:color w:val="000000"/>
          <w:kern w:val="0"/>
          <w:sz w:val="30"/>
          <w:szCs w:val="30"/>
          <w:lang w:eastAsia="zh-CN"/>
        </w:rPr>
        <w:t>股份被司法拍卖</w:t>
      </w:r>
      <w:r>
        <w:rPr>
          <w:rFonts w:hint="eastAsia" w:ascii="黑体" w:hAnsi="黑体" w:eastAsia="黑体" w:cs="宋体"/>
          <w:b/>
          <w:color w:val="000000"/>
          <w:kern w:val="0"/>
          <w:sz w:val="30"/>
          <w:szCs w:val="30"/>
          <w:lang w:val="en-US" w:eastAsia="zh-CN"/>
        </w:rPr>
        <w:t>(变卖)</w:t>
      </w:r>
      <w:r>
        <w:rPr>
          <w:rFonts w:hint="eastAsia" w:ascii="黑体" w:hAnsi="黑体" w:eastAsia="黑体" w:cs="宋体"/>
          <w:b/>
          <w:color w:val="000000"/>
          <w:kern w:val="0"/>
          <w:sz w:val="30"/>
          <w:szCs w:val="30"/>
          <w:lang w:eastAsia="zh-CN"/>
        </w:rPr>
        <w:t>情况</w:t>
      </w:r>
    </w:p>
    <w:p w14:paraId="33161C0D">
      <w:pPr>
        <w:widowControl/>
        <w:numPr>
          <w:ilvl w:val="0"/>
          <w:numId w:val="0"/>
        </w:numPr>
        <w:adjustRightInd w:val="0"/>
        <w:snapToGrid w:val="0"/>
        <w:spacing w:line="560" w:lineRule="exact"/>
        <w:ind w:leftChars="200" w:firstLine="600" w:firstLineChars="200"/>
        <w:jc w:val="left"/>
        <w:rPr>
          <w:rFonts w:hint="eastAsia" w:ascii="仿宋_GB2312" w:eastAsia="仿宋_GB2312"/>
          <w:sz w:val="30"/>
          <w:szCs w:val="30"/>
          <w:highlight w:val="none"/>
        </w:rPr>
      </w:pPr>
      <w:r>
        <w:rPr>
          <w:rFonts w:hint="eastAsia" w:ascii="Times New Roman" w:hAnsi="Times New Roman" w:eastAsia="仿宋_GB2312"/>
          <w:sz w:val="30"/>
          <w:szCs w:val="30"/>
          <w:highlight w:val="none"/>
          <w:lang w:val="en-US" w:eastAsia="zh-CN"/>
        </w:rPr>
        <w:t>本次司法拍卖（变卖）的背景、股东名称、本次拟司</w:t>
      </w:r>
      <w:r>
        <w:rPr>
          <w:rFonts w:hint="eastAsia" w:ascii="Times New Roman" w:hAnsi="Times New Roman" w:eastAsia="仿宋_GB2312"/>
          <w:sz w:val="30"/>
          <w:szCs w:val="30"/>
          <w:highlight w:val="none"/>
          <w:lang w:eastAsia="zh-CN"/>
        </w:rPr>
        <w:t>法拍卖</w:t>
      </w:r>
      <w:r>
        <w:rPr>
          <w:rFonts w:hint="eastAsia" w:ascii="Times New Roman" w:hAnsi="Times New Roman" w:eastAsia="仿宋_GB2312"/>
          <w:sz w:val="30"/>
          <w:szCs w:val="30"/>
          <w:highlight w:val="none"/>
          <w:lang w:val="en-US" w:eastAsia="zh-CN"/>
        </w:rPr>
        <w:t>（变卖）</w:t>
      </w:r>
      <w:r>
        <w:rPr>
          <w:rFonts w:ascii="Times New Roman" w:hAnsi="Times New Roman" w:eastAsia="仿宋_GB2312"/>
          <w:sz w:val="30"/>
          <w:szCs w:val="30"/>
          <w:highlight w:val="none"/>
        </w:rPr>
        <w:t>数量</w:t>
      </w:r>
      <w:r>
        <w:rPr>
          <w:rFonts w:hint="eastAsia" w:ascii="Times New Roman" w:hAnsi="Times New Roman" w:eastAsia="仿宋_GB2312"/>
          <w:sz w:val="30"/>
          <w:szCs w:val="30"/>
          <w:highlight w:val="none"/>
          <w:lang w:eastAsia="zh-CN"/>
        </w:rPr>
        <w:t>、</w:t>
      </w:r>
      <w:r>
        <w:rPr>
          <w:rFonts w:ascii="Times New Roman" w:hAnsi="Times New Roman" w:eastAsia="仿宋_GB2312"/>
          <w:sz w:val="30"/>
          <w:szCs w:val="30"/>
          <w:highlight w:val="none"/>
        </w:rPr>
        <w:t>占</w:t>
      </w:r>
      <w:r>
        <w:rPr>
          <w:rFonts w:hint="eastAsia" w:ascii="Times New Roman" w:hAnsi="Times New Roman" w:eastAsia="仿宋_GB2312"/>
          <w:sz w:val="30"/>
          <w:szCs w:val="30"/>
          <w:highlight w:val="none"/>
          <w:lang w:eastAsia="zh-CN"/>
        </w:rPr>
        <w:t>该股东所持</w:t>
      </w:r>
      <w:r>
        <w:rPr>
          <w:rFonts w:ascii="Times New Roman" w:hAnsi="Times New Roman" w:eastAsia="仿宋_GB2312"/>
          <w:sz w:val="30"/>
          <w:szCs w:val="30"/>
          <w:highlight w:val="none"/>
        </w:rPr>
        <w:t>股</w:t>
      </w:r>
      <w:r>
        <w:rPr>
          <w:rFonts w:hint="eastAsia" w:ascii="Times New Roman" w:hAnsi="Times New Roman" w:eastAsia="仿宋_GB2312"/>
          <w:sz w:val="30"/>
          <w:szCs w:val="30"/>
          <w:highlight w:val="none"/>
          <w:lang w:eastAsia="zh-CN"/>
        </w:rPr>
        <w:t>份</w:t>
      </w:r>
      <w:r>
        <w:rPr>
          <w:rFonts w:ascii="Times New Roman" w:hAnsi="Times New Roman" w:eastAsia="仿宋_GB2312"/>
          <w:sz w:val="30"/>
          <w:szCs w:val="30"/>
          <w:highlight w:val="none"/>
        </w:rPr>
        <w:t>比例</w:t>
      </w:r>
      <w:r>
        <w:rPr>
          <w:rFonts w:hint="eastAsia" w:ascii="Times New Roman" w:hAnsi="Times New Roman" w:eastAsia="仿宋_GB2312"/>
          <w:sz w:val="30"/>
          <w:szCs w:val="30"/>
          <w:highlight w:val="none"/>
          <w:lang w:val="en-US" w:eastAsia="zh-CN"/>
        </w:rPr>
        <w:t>、占公司总股本比例，本次拍卖（变卖）股份来源及</w:t>
      </w:r>
      <w:r>
        <w:rPr>
          <w:rFonts w:hint="eastAsia" w:ascii="Times New Roman" w:hAnsi="Times New Roman" w:eastAsia="仿宋_GB2312"/>
          <w:sz w:val="30"/>
          <w:szCs w:val="30"/>
          <w:highlight w:val="none"/>
          <w:lang w:eastAsia="zh-CN"/>
        </w:rPr>
        <w:t>是否存在减持限制或其他权利限制，</w:t>
      </w:r>
      <w:r>
        <w:rPr>
          <w:rFonts w:hint="eastAsia" w:ascii="Times New Roman" w:hAnsi="Times New Roman" w:eastAsia="仿宋_GB2312"/>
          <w:sz w:val="30"/>
          <w:szCs w:val="30"/>
          <w:highlight w:val="none"/>
          <w:lang w:val="en-US" w:eastAsia="zh-CN"/>
        </w:rPr>
        <w:t>拍卖（变卖）司法机关、执行依据、拍卖时间、拍卖平台等等。</w:t>
      </w:r>
    </w:p>
    <w:p w14:paraId="29A81FE7">
      <w:pPr>
        <w:widowControl/>
        <w:adjustRightInd w:val="0"/>
        <w:snapToGrid w:val="0"/>
        <w:spacing w:line="560" w:lineRule="exact"/>
        <w:ind w:firstLine="600" w:firstLineChars="200"/>
        <w:rPr>
          <w:rFonts w:hint="eastAsia" w:ascii="仿宋_GB2312" w:eastAsia="仿宋_GB2312"/>
          <w:sz w:val="30"/>
          <w:szCs w:val="30"/>
        </w:rPr>
      </w:pPr>
    </w:p>
    <w:p w14:paraId="50671089">
      <w:pPr>
        <w:widowControl/>
        <w:adjustRightInd w:val="0"/>
        <w:snapToGrid w:val="0"/>
        <w:spacing w:line="560" w:lineRule="exact"/>
        <w:ind w:firstLine="602" w:firstLineChars="200"/>
        <w:rPr>
          <w:rFonts w:hint="default" w:ascii="仿宋_GB2312" w:eastAsia="仿宋_GB2312"/>
          <w:b/>
          <w:bCs/>
          <w:sz w:val="30"/>
          <w:szCs w:val="30"/>
          <w:lang w:val="en-US" w:eastAsia="zh-CN"/>
        </w:rPr>
      </w:pPr>
      <w:r>
        <w:rPr>
          <w:rFonts w:hint="eastAsia" w:ascii="黑体" w:hAnsi="黑体" w:eastAsia="黑体" w:cs="黑体"/>
          <w:b/>
          <w:bCs/>
          <w:sz w:val="30"/>
          <w:szCs w:val="30"/>
          <w:lang w:eastAsia="zh-CN"/>
        </w:rPr>
        <w:t>三、股份被司法拍卖</w:t>
      </w:r>
      <w:r>
        <w:rPr>
          <w:rFonts w:hint="eastAsia" w:ascii="黑体" w:hAnsi="黑体" w:eastAsia="黑体" w:cs="黑体"/>
          <w:b/>
          <w:bCs/>
          <w:color w:val="000000"/>
          <w:kern w:val="0"/>
          <w:sz w:val="30"/>
          <w:szCs w:val="30"/>
          <w:lang w:val="en-US" w:eastAsia="zh-CN"/>
        </w:rPr>
        <w:t>(变卖)</w:t>
      </w:r>
      <w:r>
        <w:rPr>
          <w:rFonts w:hint="eastAsia" w:ascii="黑体" w:hAnsi="黑体" w:eastAsia="黑体" w:cs="黑体"/>
          <w:b/>
          <w:bCs/>
          <w:color w:val="000000"/>
          <w:kern w:val="0"/>
          <w:sz w:val="30"/>
          <w:szCs w:val="30"/>
          <w:lang w:eastAsia="zh-CN"/>
        </w:rPr>
        <w:t>进展（如适用）</w:t>
      </w:r>
    </w:p>
    <w:p w14:paraId="69C4B1C1">
      <w:pPr>
        <w:widowControl/>
        <w:adjustRightInd w:val="0"/>
        <w:snapToGrid w:val="0"/>
        <w:spacing w:line="560" w:lineRule="exact"/>
        <w:ind w:firstLine="600" w:firstLineChars="200"/>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本次司法拍卖（变卖）的进展情况。拍卖（变卖）成交的，应说明买受人、成交股份数量、成交价格等。</w:t>
      </w:r>
    </w:p>
    <w:p w14:paraId="69B6BF0F">
      <w:pPr>
        <w:widowControl/>
        <w:adjustRightInd w:val="0"/>
        <w:snapToGrid w:val="0"/>
        <w:spacing w:line="560" w:lineRule="exact"/>
        <w:ind w:firstLine="600" w:firstLineChars="200"/>
        <w:rPr>
          <w:rFonts w:hint="eastAsia" w:ascii="仿宋_GB2312" w:eastAsia="仿宋_GB2312"/>
          <w:sz w:val="30"/>
          <w:szCs w:val="30"/>
          <w:highlight w:val="none"/>
          <w:lang w:eastAsia="zh-CN"/>
        </w:rPr>
      </w:pPr>
    </w:p>
    <w:p w14:paraId="333CF4C0">
      <w:pPr>
        <w:widowControl/>
        <w:adjustRightInd w:val="0"/>
        <w:snapToGrid w:val="0"/>
        <w:spacing w:line="560" w:lineRule="exact"/>
        <w:ind w:firstLine="602" w:firstLineChars="200"/>
        <w:rPr>
          <w:rFonts w:hint="eastAsia" w:ascii="仿宋_GB2312" w:eastAsia="仿宋_GB2312"/>
          <w:sz w:val="30"/>
          <w:szCs w:val="30"/>
        </w:rPr>
      </w:pPr>
      <w:r>
        <w:rPr>
          <w:rFonts w:hint="eastAsia" w:ascii="黑体" w:hAnsi="黑体" w:eastAsia="黑体" w:cs="黑体"/>
          <w:b/>
          <w:bCs/>
          <w:sz w:val="30"/>
          <w:szCs w:val="30"/>
          <w:lang w:eastAsia="zh-CN"/>
        </w:rPr>
        <w:t>四、司法拍卖</w:t>
      </w:r>
      <w:r>
        <w:rPr>
          <w:rFonts w:hint="eastAsia" w:ascii="黑体" w:hAnsi="黑体" w:eastAsia="黑体" w:cs="黑体"/>
          <w:b/>
          <w:bCs/>
          <w:color w:val="000000"/>
          <w:kern w:val="0"/>
          <w:sz w:val="30"/>
          <w:szCs w:val="30"/>
          <w:lang w:val="en-US" w:eastAsia="zh-CN"/>
        </w:rPr>
        <w:t>(变卖)股份过户完成情况</w:t>
      </w:r>
      <w:r>
        <w:rPr>
          <w:rFonts w:hint="eastAsia" w:ascii="黑体" w:hAnsi="黑体" w:eastAsia="黑体" w:cs="黑体"/>
          <w:b/>
          <w:bCs/>
          <w:color w:val="000000"/>
          <w:kern w:val="0"/>
          <w:sz w:val="30"/>
          <w:szCs w:val="30"/>
          <w:lang w:eastAsia="zh-CN"/>
        </w:rPr>
        <w:t>（如适用）</w:t>
      </w:r>
    </w:p>
    <w:p w14:paraId="60D25D43">
      <w:pPr>
        <w:widowControl/>
        <w:adjustRightInd w:val="0"/>
        <w:snapToGrid w:val="0"/>
        <w:spacing w:line="560" w:lineRule="exact"/>
        <w:ind w:firstLine="600" w:firstLineChars="200"/>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本次</w:t>
      </w:r>
      <w:r>
        <w:rPr>
          <w:rFonts w:hint="eastAsia" w:ascii="仿宋_GB2312" w:hAnsi="仿宋_GB2312" w:eastAsia="仿宋_GB2312" w:cs="仿宋_GB2312"/>
          <w:b w:val="0"/>
          <w:bCs w:val="0"/>
          <w:sz w:val="30"/>
          <w:szCs w:val="30"/>
          <w:highlight w:val="none"/>
          <w:lang w:eastAsia="zh-CN"/>
        </w:rPr>
        <w:t>司法拍卖（变卖）</w:t>
      </w:r>
      <w:r>
        <w:rPr>
          <w:rFonts w:hint="eastAsia" w:ascii="仿宋_GB2312" w:hAnsi="仿宋_GB2312" w:eastAsia="仿宋_GB2312" w:cs="仿宋_GB2312"/>
          <w:b w:val="0"/>
          <w:bCs w:val="0"/>
          <w:color w:val="000000"/>
          <w:kern w:val="0"/>
          <w:sz w:val="30"/>
          <w:szCs w:val="30"/>
          <w:highlight w:val="none"/>
          <w:lang w:val="en-US" w:eastAsia="zh-CN"/>
        </w:rPr>
        <w:t>股份的过户登记情况，包括但不限于</w:t>
      </w:r>
      <w:r>
        <w:rPr>
          <w:rFonts w:hint="eastAsia" w:ascii="仿宋_GB2312" w:hAnsi="仿宋_GB2312" w:eastAsia="仿宋_GB2312" w:cs="仿宋_GB2312"/>
          <w:b w:val="0"/>
          <w:bCs w:val="0"/>
          <w:sz w:val="30"/>
          <w:szCs w:val="30"/>
          <w:highlight w:val="none"/>
        </w:rPr>
        <w:t>股份过户时间</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过户</w:t>
      </w:r>
      <w:r>
        <w:rPr>
          <w:rFonts w:hint="eastAsia" w:ascii="仿宋_GB2312" w:hAnsi="仿宋_GB2312" w:eastAsia="仿宋_GB2312" w:cs="仿宋_GB2312"/>
          <w:b w:val="0"/>
          <w:bCs w:val="0"/>
          <w:sz w:val="30"/>
          <w:szCs w:val="30"/>
          <w:highlight w:val="none"/>
          <w:lang w:eastAsia="zh-CN"/>
        </w:rPr>
        <w:t>股份数量，过出方、受让方</w:t>
      </w:r>
      <w:r>
        <w:rPr>
          <w:rFonts w:hint="eastAsia" w:ascii="仿宋_GB2312" w:hAnsi="仿宋_GB2312" w:eastAsia="仿宋_GB2312" w:cs="仿宋_GB2312"/>
          <w:b w:val="0"/>
          <w:bCs w:val="0"/>
          <w:sz w:val="30"/>
          <w:szCs w:val="30"/>
          <w:highlight w:val="none"/>
        </w:rPr>
        <w:t>持股变化</w:t>
      </w:r>
      <w:r>
        <w:rPr>
          <w:rFonts w:hint="eastAsia" w:ascii="仿宋_GB2312" w:hAnsi="仿宋_GB2312" w:eastAsia="仿宋_GB2312" w:cs="仿宋_GB2312"/>
          <w:b w:val="0"/>
          <w:bCs w:val="0"/>
          <w:sz w:val="30"/>
          <w:szCs w:val="30"/>
          <w:highlight w:val="none"/>
          <w:lang w:eastAsia="zh-CN"/>
        </w:rPr>
        <w:t>等</w:t>
      </w:r>
      <w:r>
        <w:rPr>
          <w:rFonts w:hint="eastAsia" w:ascii="仿宋_GB2312" w:hAnsi="仿宋_GB2312" w:eastAsia="仿宋_GB2312" w:cs="仿宋_GB2312"/>
          <w:b w:val="0"/>
          <w:bCs w:val="0"/>
          <w:sz w:val="30"/>
          <w:szCs w:val="30"/>
          <w:highlight w:val="none"/>
        </w:rPr>
        <w:t>情况。</w:t>
      </w:r>
    </w:p>
    <w:p w14:paraId="7237FAAE">
      <w:pPr>
        <w:widowControl/>
        <w:adjustRightInd w:val="0"/>
        <w:snapToGrid w:val="0"/>
        <w:spacing w:line="560" w:lineRule="exact"/>
        <w:ind w:firstLine="600" w:firstLineChars="200"/>
        <w:rPr>
          <w:rFonts w:hint="eastAsia" w:ascii="仿宋_GB2312" w:hAnsi="仿宋_GB2312" w:eastAsia="仿宋_GB2312" w:cs="仿宋_GB2312"/>
          <w:b w:val="0"/>
          <w:bCs w:val="0"/>
          <w:sz w:val="30"/>
          <w:szCs w:val="30"/>
          <w:highlight w:val="none"/>
        </w:rPr>
      </w:pPr>
    </w:p>
    <w:p w14:paraId="0E2655A6">
      <w:pPr>
        <w:widowControl/>
        <w:adjustRightInd w:val="0"/>
        <w:snapToGrid w:val="0"/>
        <w:spacing w:line="560" w:lineRule="exact"/>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五、其他事项与风险提示</w:t>
      </w:r>
    </w:p>
    <w:p w14:paraId="372F0EED">
      <w:pPr>
        <w:widowControl/>
        <w:adjustRightInd w:val="0"/>
        <w:snapToGrid w:val="0"/>
        <w:spacing w:line="560" w:lineRule="exact"/>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eastAsia="zh-CN"/>
        </w:rPr>
        <w:t>本次司法拍卖（变卖）是否会导致公司控股股东、实际控制人变更及对生产经营、公司治理等方面的影响，受让方后续减持股份的限制，以及其他风险提示事项等。</w:t>
      </w:r>
    </w:p>
    <w:p w14:paraId="56420700">
      <w:pPr>
        <w:numPr>
          <w:ilvl w:val="0"/>
          <w:numId w:val="0"/>
        </w:numPr>
        <w:adjustRightInd w:val="0"/>
        <w:snapToGrid w:val="0"/>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特此公告。</w:t>
      </w:r>
    </w:p>
    <w:p w14:paraId="2F5D00A8">
      <w:pPr>
        <w:adjustRightInd w:val="0"/>
        <w:snapToGrid w:val="0"/>
        <w:spacing w:line="560" w:lineRule="exact"/>
        <w:ind w:firstLine="600" w:firstLineChars="200"/>
        <w:rPr>
          <w:rFonts w:hint="default" w:ascii="Times New Roman" w:hAnsi="Times New Roman" w:eastAsia="仿宋_GB2312"/>
          <w:sz w:val="30"/>
          <w:szCs w:val="30"/>
          <w:lang w:val="en-US" w:eastAsia="zh-CN"/>
        </w:rPr>
      </w:pPr>
    </w:p>
    <w:p w14:paraId="233CD9F4">
      <w:pPr>
        <w:numPr>
          <w:ilvl w:val="0"/>
          <w:numId w:val="0"/>
        </w:numPr>
        <w:adjustRightInd w:val="0"/>
        <w:snapToGrid w:val="0"/>
        <w:spacing w:line="560" w:lineRule="exact"/>
        <w:ind w:firstLine="560" w:firstLineChars="200"/>
        <w:jc w:val="left"/>
        <w:rPr>
          <w:rFonts w:hint="default"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lang w:eastAsia="zh-CN"/>
        </w:rPr>
        <w:t>编制提醒：</w:t>
      </w:r>
      <w:r>
        <w:rPr>
          <w:rFonts w:hint="eastAsia" w:ascii="楷体_GB2312" w:hAnsi="楷体_GB2312" w:eastAsia="楷体_GB2312" w:cs="楷体_GB2312"/>
          <w:sz w:val="28"/>
          <w:szCs w:val="28"/>
          <w:highlight w:val="none"/>
          <w:lang w:val="en-US" w:eastAsia="zh-CN"/>
        </w:rPr>
        <w:t>如因司法拍卖（变卖）等导致股东权益变动或公司控制权、第一大股东发生变更的，相关股东还应当按照《上市公司收购管理办法》《上市公司股东减持股份管理暂行办法》《上海证券交易所上市公司自律监管指引第15号——股东及董事、高级管理人员减持股份》等相关规定，依法履行信息披露义务。</w:t>
      </w:r>
    </w:p>
    <w:p w14:paraId="3136E5B4">
      <w:pPr>
        <w:widowControl/>
        <w:adjustRightInd w:val="0"/>
        <w:snapToGrid w:val="0"/>
        <w:spacing w:line="560" w:lineRule="exact"/>
        <w:ind w:firstLine="600" w:firstLineChars="200"/>
        <w:rPr>
          <w:rFonts w:hint="eastAsia" w:ascii="仿宋_GB2312" w:eastAsia="仿宋_GB2312"/>
          <w:sz w:val="30"/>
          <w:szCs w:val="30"/>
        </w:rPr>
      </w:pPr>
    </w:p>
    <w:p w14:paraId="3BEFFD63">
      <w:pPr>
        <w:widowControl/>
        <w:adjustRightInd w:val="0"/>
        <w:snapToGrid w:val="0"/>
        <w:spacing w:line="560" w:lineRule="exact"/>
        <w:ind w:firstLine="600" w:firstLineChars="200"/>
        <w:jc w:val="right"/>
        <w:rPr>
          <w:rFonts w:ascii="仿宋_GB2312" w:eastAsia="仿宋_GB2312"/>
          <w:sz w:val="30"/>
          <w:szCs w:val="30"/>
        </w:rPr>
      </w:pPr>
    </w:p>
    <w:p w14:paraId="4C09F0CC">
      <w:pPr>
        <w:widowControl/>
        <w:adjustRightInd w:val="0"/>
        <w:snapToGrid w:val="0"/>
        <w:spacing w:line="560" w:lineRule="exact"/>
        <w:ind w:firstLine="600" w:firstLineChars="200"/>
        <w:jc w:val="right"/>
        <w:rPr>
          <w:rFonts w:ascii="仿宋_GB2312" w:eastAsia="仿宋_GB2312"/>
          <w:sz w:val="30"/>
          <w:szCs w:val="30"/>
        </w:rPr>
      </w:pPr>
    </w:p>
    <w:p w14:paraId="6D00F8CB">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14:paraId="3FAD586A">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14:paraId="65D5334D">
      <w:pPr>
        <w:widowControl/>
        <w:adjustRightInd w:val="0"/>
        <w:snapToGrid w:val="0"/>
        <w:spacing w:line="560" w:lineRule="exact"/>
        <w:ind w:firstLine="600" w:firstLineChars="200"/>
        <w:rPr>
          <w:rFonts w:ascii="仿宋_GB2312" w:eastAsia="仿宋_GB2312"/>
          <w:sz w:val="30"/>
          <w:szCs w:val="30"/>
        </w:rPr>
      </w:pPr>
    </w:p>
    <w:p w14:paraId="2D7F200F">
      <w:pPr>
        <w:widowControl/>
        <w:adjustRightInd w:val="0"/>
        <w:snapToGrid w:val="0"/>
        <w:spacing w:line="560" w:lineRule="exact"/>
        <w:ind w:firstLine="600" w:firstLineChars="200"/>
        <w:rPr>
          <w:rFonts w:ascii="仿宋_GB2312" w:eastAsia="仿宋_GB2312"/>
          <w:sz w:val="30"/>
          <w:szCs w:val="30"/>
        </w:rPr>
      </w:pPr>
    </w:p>
    <w:p w14:paraId="64570839">
      <w:pPr>
        <w:widowControl/>
        <w:numPr>
          <w:ilvl w:val="0"/>
          <w:numId w:val="5"/>
        </w:numPr>
        <w:adjustRightInd w:val="0"/>
        <w:snapToGrid w:val="0"/>
        <w:spacing w:line="560" w:lineRule="exact"/>
        <w:ind w:firstLine="602" w:firstLineChars="200"/>
        <w:rPr>
          <w:rFonts w:ascii="仿宋_GB2312" w:eastAsia="仿宋_GB2312"/>
          <w:b/>
          <w:bCs/>
          <w:sz w:val="30"/>
          <w:szCs w:val="30"/>
          <w:highlight w:val="none"/>
        </w:rPr>
      </w:pPr>
      <w:r>
        <w:rPr>
          <w:rFonts w:hint="eastAsia" w:ascii="仿宋_GB2312" w:eastAsia="仿宋_GB2312"/>
          <w:b/>
          <w:bCs/>
          <w:sz w:val="30"/>
          <w:szCs w:val="30"/>
          <w:highlight w:val="none"/>
        </w:rPr>
        <w:t>报备文件</w:t>
      </w:r>
    </w:p>
    <w:p w14:paraId="018FF34E">
      <w:pPr>
        <w:widowControl/>
        <w:adjustRightInd w:val="0"/>
        <w:snapToGrid w:val="0"/>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与本次</w:t>
      </w:r>
      <w:r>
        <w:rPr>
          <w:rFonts w:hint="eastAsia" w:ascii="仿宋_GB2312" w:eastAsia="仿宋_GB2312"/>
          <w:sz w:val="30"/>
          <w:szCs w:val="30"/>
          <w:highlight w:val="none"/>
          <w:lang w:eastAsia="zh-CN"/>
        </w:rPr>
        <w:t>司法拍卖（变卖）</w:t>
      </w:r>
      <w:r>
        <w:rPr>
          <w:rFonts w:hint="eastAsia" w:ascii="仿宋_GB2312" w:eastAsia="仿宋_GB2312"/>
          <w:sz w:val="30"/>
          <w:szCs w:val="30"/>
          <w:highlight w:val="none"/>
        </w:rPr>
        <w:t>相关的</w:t>
      </w:r>
      <w:r>
        <w:rPr>
          <w:rFonts w:hint="eastAsia" w:ascii="仿宋_GB2312" w:eastAsia="仿宋_GB2312"/>
          <w:sz w:val="30"/>
          <w:szCs w:val="30"/>
          <w:highlight w:val="none"/>
          <w:lang w:eastAsia="zh-CN"/>
        </w:rPr>
        <w:t>法律文书、股份登记证明等</w:t>
      </w:r>
    </w:p>
    <w:p w14:paraId="766A14C2">
      <w:pPr>
        <w:widowControl/>
        <w:adjustRightInd w:val="0"/>
        <w:snapToGrid w:val="0"/>
        <w:spacing w:line="560" w:lineRule="exact"/>
        <w:ind w:firstLine="900" w:firstLineChars="300"/>
        <w:rPr>
          <w:rFonts w:ascii="仿宋_GB2312" w:eastAsia="仿宋_GB2312"/>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Wingdings">
    <w:panose1 w:val="05000000000000000000"/>
    <w:charset w:val="00"/>
    <w:family w:val="auto"/>
    <w:pitch w:val="default"/>
    <w:sig w:usb0="00000000" w:usb1="00000000" w:usb2="00000000" w:usb3="00000000" w:csb0="80000000"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E73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7867F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87867F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A82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F9C09"/>
    <w:multiLevelType w:val="singleLevel"/>
    <w:tmpl w:val="DFDF9C09"/>
    <w:lvl w:ilvl="0" w:tentative="0">
      <w:start w:val="1"/>
      <w:numFmt w:val="decimal"/>
      <w:suff w:val="space"/>
      <w:lvlText w:val="%1."/>
      <w:lvlJc w:val="left"/>
    </w:lvl>
  </w:abstractNum>
  <w:abstractNum w:abstractNumId="1">
    <w:nsid w:val="FB74072C"/>
    <w:multiLevelType w:val="singleLevel"/>
    <w:tmpl w:val="FB74072C"/>
    <w:lvl w:ilvl="0" w:tentative="0">
      <w:start w:val="2"/>
      <w:numFmt w:val="decimal"/>
      <w:suff w:val="space"/>
      <w:lvlText w:val="%1."/>
      <w:lvlJc w:val="left"/>
    </w:lvl>
  </w:abstractNum>
  <w:abstractNum w:abstractNumId="2">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4">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B"/>
    <w:rsid w:val="00021A9D"/>
    <w:rsid w:val="000622E3"/>
    <w:rsid w:val="00227748"/>
    <w:rsid w:val="002807F6"/>
    <w:rsid w:val="0036287B"/>
    <w:rsid w:val="0039305B"/>
    <w:rsid w:val="004D6375"/>
    <w:rsid w:val="00525D84"/>
    <w:rsid w:val="005545BE"/>
    <w:rsid w:val="0059004C"/>
    <w:rsid w:val="00612515"/>
    <w:rsid w:val="00632821"/>
    <w:rsid w:val="007400B3"/>
    <w:rsid w:val="00824AA7"/>
    <w:rsid w:val="00843BF7"/>
    <w:rsid w:val="00911052"/>
    <w:rsid w:val="00A74FBB"/>
    <w:rsid w:val="00AB33F6"/>
    <w:rsid w:val="00C40151"/>
    <w:rsid w:val="00E63EEA"/>
    <w:rsid w:val="00EF5E4C"/>
    <w:rsid w:val="00F02C5E"/>
    <w:rsid w:val="00FD5AD5"/>
    <w:rsid w:val="00FE1313"/>
    <w:rsid w:val="025F5973"/>
    <w:rsid w:val="04483295"/>
    <w:rsid w:val="0494445C"/>
    <w:rsid w:val="055F1C10"/>
    <w:rsid w:val="07286F7A"/>
    <w:rsid w:val="07B92C3C"/>
    <w:rsid w:val="07BDC78E"/>
    <w:rsid w:val="0886108C"/>
    <w:rsid w:val="09EE1557"/>
    <w:rsid w:val="0B1A6AC6"/>
    <w:rsid w:val="0BD26275"/>
    <w:rsid w:val="0C0D3381"/>
    <w:rsid w:val="0C2925FA"/>
    <w:rsid w:val="0CBE38F4"/>
    <w:rsid w:val="0E1F38BB"/>
    <w:rsid w:val="0E2941CB"/>
    <w:rsid w:val="0E3869E3"/>
    <w:rsid w:val="0EE4225D"/>
    <w:rsid w:val="0F6F4C98"/>
    <w:rsid w:val="0FA76C9D"/>
    <w:rsid w:val="0FA7A414"/>
    <w:rsid w:val="0FCF26AD"/>
    <w:rsid w:val="1031492B"/>
    <w:rsid w:val="114640E8"/>
    <w:rsid w:val="11E7342D"/>
    <w:rsid w:val="126023CE"/>
    <w:rsid w:val="130E5C52"/>
    <w:rsid w:val="131B7216"/>
    <w:rsid w:val="13D6674E"/>
    <w:rsid w:val="155C77BC"/>
    <w:rsid w:val="15823158"/>
    <w:rsid w:val="166127C6"/>
    <w:rsid w:val="16B90C56"/>
    <w:rsid w:val="17A77178"/>
    <w:rsid w:val="17CF9819"/>
    <w:rsid w:val="17D6027F"/>
    <w:rsid w:val="180B0603"/>
    <w:rsid w:val="18192625"/>
    <w:rsid w:val="18415F94"/>
    <w:rsid w:val="189B6FCF"/>
    <w:rsid w:val="19FE8160"/>
    <w:rsid w:val="1A41127E"/>
    <w:rsid w:val="1BA67AEA"/>
    <w:rsid w:val="1BB27180"/>
    <w:rsid w:val="1C702A36"/>
    <w:rsid w:val="1DF74C5D"/>
    <w:rsid w:val="1E661722"/>
    <w:rsid w:val="1E7401ED"/>
    <w:rsid w:val="1E8F0832"/>
    <w:rsid w:val="1EFFE9CC"/>
    <w:rsid w:val="1FAFA637"/>
    <w:rsid w:val="1FFE03EB"/>
    <w:rsid w:val="20741CFF"/>
    <w:rsid w:val="20D6616D"/>
    <w:rsid w:val="20D970F2"/>
    <w:rsid w:val="21BA5437"/>
    <w:rsid w:val="22C26419"/>
    <w:rsid w:val="23437E94"/>
    <w:rsid w:val="237A63C1"/>
    <w:rsid w:val="242D74E9"/>
    <w:rsid w:val="245116DF"/>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7DE696"/>
    <w:rsid w:val="2F8D01B1"/>
    <w:rsid w:val="2FA7EE86"/>
    <w:rsid w:val="2FBC1B76"/>
    <w:rsid w:val="2FBFCB89"/>
    <w:rsid w:val="2FDBA7B8"/>
    <w:rsid w:val="2FFFE126"/>
    <w:rsid w:val="3075311F"/>
    <w:rsid w:val="30B73EB1"/>
    <w:rsid w:val="30F67E62"/>
    <w:rsid w:val="310A6B03"/>
    <w:rsid w:val="31452B8F"/>
    <w:rsid w:val="32B310BD"/>
    <w:rsid w:val="333176F3"/>
    <w:rsid w:val="336E20A7"/>
    <w:rsid w:val="33806A8D"/>
    <w:rsid w:val="33FF7A6F"/>
    <w:rsid w:val="343A07A1"/>
    <w:rsid w:val="34701096"/>
    <w:rsid w:val="348370C2"/>
    <w:rsid w:val="35A23D0E"/>
    <w:rsid w:val="361D69CE"/>
    <w:rsid w:val="37A23B33"/>
    <w:rsid w:val="37F976E5"/>
    <w:rsid w:val="37FFC880"/>
    <w:rsid w:val="3875122D"/>
    <w:rsid w:val="38C119A0"/>
    <w:rsid w:val="39AE34F1"/>
    <w:rsid w:val="3A014237"/>
    <w:rsid w:val="3A2838BF"/>
    <w:rsid w:val="3A421FB2"/>
    <w:rsid w:val="3AFF83D9"/>
    <w:rsid w:val="3B772F72"/>
    <w:rsid w:val="3D5ED788"/>
    <w:rsid w:val="3D61263F"/>
    <w:rsid w:val="3DBF5C6E"/>
    <w:rsid w:val="3DE6611C"/>
    <w:rsid w:val="3DFBCAD0"/>
    <w:rsid w:val="3E1A70B4"/>
    <w:rsid w:val="3E872422"/>
    <w:rsid w:val="3F7F4634"/>
    <w:rsid w:val="3FA38899"/>
    <w:rsid w:val="3FB7200F"/>
    <w:rsid w:val="3FEC7AB1"/>
    <w:rsid w:val="3FEE069B"/>
    <w:rsid w:val="404841CF"/>
    <w:rsid w:val="419A6924"/>
    <w:rsid w:val="419B52B3"/>
    <w:rsid w:val="41E06CA1"/>
    <w:rsid w:val="43F503B9"/>
    <w:rsid w:val="44AB5CD1"/>
    <w:rsid w:val="4684385F"/>
    <w:rsid w:val="46B77214"/>
    <w:rsid w:val="46B7E680"/>
    <w:rsid w:val="479D298A"/>
    <w:rsid w:val="47CA1A36"/>
    <w:rsid w:val="480B0A3F"/>
    <w:rsid w:val="48A22238"/>
    <w:rsid w:val="49AB48CC"/>
    <w:rsid w:val="4A8A42D6"/>
    <w:rsid w:val="4B85737C"/>
    <w:rsid w:val="4BD5E49F"/>
    <w:rsid w:val="4C486BB6"/>
    <w:rsid w:val="4C985626"/>
    <w:rsid w:val="4D0B2A1E"/>
    <w:rsid w:val="4D6D1537"/>
    <w:rsid w:val="4EB8333D"/>
    <w:rsid w:val="4F5F9518"/>
    <w:rsid w:val="4F65074A"/>
    <w:rsid w:val="4F7D08F7"/>
    <w:rsid w:val="4FCC5025"/>
    <w:rsid w:val="4FD856E5"/>
    <w:rsid w:val="4FE0099B"/>
    <w:rsid w:val="509513FC"/>
    <w:rsid w:val="50BC27B1"/>
    <w:rsid w:val="50E93715"/>
    <w:rsid w:val="515D338B"/>
    <w:rsid w:val="52AD59E4"/>
    <w:rsid w:val="52D82877"/>
    <w:rsid w:val="52E03507"/>
    <w:rsid w:val="52F7C92D"/>
    <w:rsid w:val="53358CF7"/>
    <w:rsid w:val="537F7E3C"/>
    <w:rsid w:val="53F56EB8"/>
    <w:rsid w:val="54044563"/>
    <w:rsid w:val="540909EB"/>
    <w:rsid w:val="54227396"/>
    <w:rsid w:val="5583514A"/>
    <w:rsid w:val="55DF4FAC"/>
    <w:rsid w:val="55FEFAC4"/>
    <w:rsid w:val="56031AAA"/>
    <w:rsid w:val="570F5E80"/>
    <w:rsid w:val="57A25889"/>
    <w:rsid w:val="57D4431F"/>
    <w:rsid w:val="57E73FF6"/>
    <w:rsid w:val="57F7EB69"/>
    <w:rsid w:val="58EC585B"/>
    <w:rsid w:val="5939737D"/>
    <w:rsid w:val="59D601F1"/>
    <w:rsid w:val="5A5BB1EF"/>
    <w:rsid w:val="5AFF081F"/>
    <w:rsid w:val="5B187904"/>
    <w:rsid w:val="5BDFBA5D"/>
    <w:rsid w:val="5BFDB317"/>
    <w:rsid w:val="5BFDD20D"/>
    <w:rsid w:val="5D786D1A"/>
    <w:rsid w:val="5DA165FC"/>
    <w:rsid w:val="5DBFE54A"/>
    <w:rsid w:val="5DFEA0AB"/>
    <w:rsid w:val="5E50200D"/>
    <w:rsid w:val="5E7F4E50"/>
    <w:rsid w:val="5EA74983"/>
    <w:rsid w:val="5EF35656"/>
    <w:rsid w:val="5EF7FEE1"/>
    <w:rsid w:val="5F1FA67C"/>
    <w:rsid w:val="5F695B5E"/>
    <w:rsid w:val="5F6D88F2"/>
    <w:rsid w:val="5F73767B"/>
    <w:rsid w:val="5F75261B"/>
    <w:rsid w:val="5FB768DC"/>
    <w:rsid w:val="5FEAEE92"/>
    <w:rsid w:val="5FEE245D"/>
    <w:rsid w:val="6003098E"/>
    <w:rsid w:val="603F1C02"/>
    <w:rsid w:val="61164056"/>
    <w:rsid w:val="61254671"/>
    <w:rsid w:val="61695AD8"/>
    <w:rsid w:val="61DD28C3"/>
    <w:rsid w:val="620F4693"/>
    <w:rsid w:val="62B6027F"/>
    <w:rsid w:val="62EB4496"/>
    <w:rsid w:val="63536A40"/>
    <w:rsid w:val="63ED4582"/>
    <w:rsid w:val="63FBAE4F"/>
    <w:rsid w:val="64DC5686"/>
    <w:rsid w:val="658E1FB1"/>
    <w:rsid w:val="65BF23F7"/>
    <w:rsid w:val="65C45C9A"/>
    <w:rsid w:val="65FF42DA"/>
    <w:rsid w:val="663E784C"/>
    <w:rsid w:val="6667518D"/>
    <w:rsid w:val="66B552CE"/>
    <w:rsid w:val="676272DE"/>
    <w:rsid w:val="67771A38"/>
    <w:rsid w:val="679F3F90"/>
    <w:rsid w:val="67FE3F12"/>
    <w:rsid w:val="68014CC7"/>
    <w:rsid w:val="698A6F34"/>
    <w:rsid w:val="69906B8F"/>
    <w:rsid w:val="6A410CE0"/>
    <w:rsid w:val="6AE248C6"/>
    <w:rsid w:val="6BFE73CD"/>
    <w:rsid w:val="6BFFBE0D"/>
    <w:rsid w:val="6C8612D7"/>
    <w:rsid w:val="6CBF8987"/>
    <w:rsid w:val="6CE62725"/>
    <w:rsid w:val="6D9FD39E"/>
    <w:rsid w:val="6DE8785D"/>
    <w:rsid w:val="6E072310"/>
    <w:rsid w:val="6E555F82"/>
    <w:rsid w:val="6E622C4C"/>
    <w:rsid w:val="6E8FB9D7"/>
    <w:rsid w:val="6EA0700B"/>
    <w:rsid w:val="6F624B4B"/>
    <w:rsid w:val="6F8D1212"/>
    <w:rsid w:val="6F8F5B9D"/>
    <w:rsid w:val="6FDD2296"/>
    <w:rsid w:val="6FDF9093"/>
    <w:rsid w:val="6FEB80AC"/>
    <w:rsid w:val="70BF61FF"/>
    <w:rsid w:val="716B57BB"/>
    <w:rsid w:val="71E865E8"/>
    <w:rsid w:val="72121801"/>
    <w:rsid w:val="722F17E6"/>
    <w:rsid w:val="725F9693"/>
    <w:rsid w:val="72AE7EB4"/>
    <w:rsid w:val="72C7160A"/>
    <w:rsid w:val="735317AF"/>
    <w:rsid w:val="73663A61"/>
    <w:rsid w:val="73735C6A"/>
    <w:rsid w:val="73DF83CF"/>
    <w:rsid w:val="73F64737"/>
    <w:rsid w:val="73FF714F"/>
    <w:rsid w:val="74DECBF5"/>
    <w:rsid w:val="750676B8"/>
    <w:rsid w:val="75BFDAE4"/>
    <w:rsid w:val="766146C3"/>
    <w:rsid w:val="767F6A7F"/>
    <w:rsid w:val="76F73C61"/>
    <w:rsid w:val="773B78A9"/>
    <w:rsid w:val="77C7FF58"/>
    <w:rsid w:val="77CF13B6"/>
    <w:rsid w:val="77FD0F27"/>
    <w:rsid w:val="77FDB339"/>
    <w:rsid w:val="77FF1FB7"/>
    <w:rsid w:val="78A526FF"/>
    <w:rsid w:val="78E7E256"/>
    <w:rsid w:val="78F503A2"/>
    <w:rsid w:val="791E32C2"/>
    <w:rsid w:val="79FE6159"/>
    <w:rsid w:val="79FF434E"/>
    <w:rsid w:val="7A3A9237"/>
    <w:rsid w:val="7BB7C6D2"/>
    <w:rsid w:val="7BCF4153"/>
    <w:rsid w:val="7BED0B76"/>
    <w:rsid w:val="7BEDACDC"/>
    <w:rsid w:val="7BEFF610"/>
    <w:rsid w:val="7BF315E6"/>
    <w:rsid w:val="7BF5837E"/>
    <w:rsid w:val="7C4D5A61"/>
    <w:rsid w:val="7C883F5E"/>
    <w:rsid w:val="7CBF5ADF"/>
    <w:rsid w:val="7CEA0765"/>
    <w:rsid w:val="7CFF2CDC"/>
    <w:rsid w:val="7D066BBC"/>
    <w:rsid w:val="7D2D1CF0"/>
    <w:rsid w:val="7D476F74"/>
    <w:rsid w:val="7D5BCDD7"/>
    <w:rsid w:val="7D6F96B5"/>
    <w:rsid w:val="7D7DD46F"/>
    <w:rsid w:val="7D7EAB45"/>
    <w:rsid w:val="7D7FC4E2"/>
    <w:rsid w:val="7DAFEEFE"/>
    <w:rsid w:val="7DEEAF51"/>
    <w:rsid w:val="7E063AD0"/>
    <w:rsid w:val="7E416754"/>
    <w:rsid w:val="7E5A21C0"/>
    <w:rsid w:val="7EEEC24C"/>
    <w:rsid w:val="7EFF0C16"/>
    <w:rsid w:val="7F2DD5B2"/>
    <w:rsid w:val="7F3663C0"/>
    <w:rsid w:val="7F565EC0"/>
    <w:rsid w:val="7F5FCF8F"/>
    <w:rsid w:val="7F7B2254"/>
    <w:rsid w:val="7F7EB991"/>
    <w:rsid w:val="7F7F333C"/>
    <w:rsid w:val="7FAA5DA3"/>
    <w:rsid w:val="7FAFC567"/>
    <w:rsid w:val="7FB76D18"/>
    <w:rsid w:val="7FBC27DA"/>
    <w:rsid w:val="7FBF5D6F"/>
    <w:rsid w:val="7FE67F44"/>
    <w:rsid w:val="7FEB079E"/>
    <w:rsid w:val="7FECA705"/>
    <w:rsid w:val="7FF383B9"/>
    <w:rsid w:val="7FF721F9"/>
    <w:rsid w:val="7FFA8FB6"/>
    <w:rsid w:val="7FFAE1CC"/>
    <w:rsid w:val="897AEE6D"/>
    <w:rsid w:val="8DE9C72F"/>
    <w:rsid w:val="8F9B5C03"/>
    <w:rsid w:val="9B57B6B0"/>
    <w:rsid w:val="9F7BD382"/>
    <w:rsid w:val="A7ED5020"/>
    <w:rsid w:val="A7EFFD09"/>
    <w:rsid w:val="AA7EF519"/>
    <w:rsid w:val="AFFB099B"/>
    <w:rsid w:val="AFFF4BA5"/>
    <w:rsid w:val="B11FD916"/>
    <w:rsid w:val="B51F56B5"/>
    <w:rsid w:val="B7BF32BC"/>
    <w:rsid w:val="B7DD80EF"/>
    <w:rsid w:val="B7F62D16"/>
    <w:rsid w:val="B7FF87D6"/>
    <w:rsid w:val="B8A9F1FC"/>
    <w:rsid w:val="B9FB17B0"/>
    <w:rsid w:val="BABF9489"/>
    <w:rsid w:val="BBB76F96"/>
    <w:rsid w:val="BBDF4290"/>
    <w:rsid w:val="BE92E274"/>
    <w:rsid w:val="BF2FFCBC"/>
    <w:rsid w:val="BF7DA4AF"/>
    <w:rsid w:val="BF9639CA"/>
    <w:rsid w:val="BFDC8B15"/>
    <w:rsid w:val="BFDFD474"/>
    <w:rsid w:val="BFDFDA96"/>
    <w:rsid w:val="BFFBC74D"/>
    <w:rsid w:val="C7F60B28"/>
    <w:rsid w:val="CDFF4EE4"/>
    <w:rsid w:val="CFDB3F07"/>
    <w:rsid w:val="D4F2239B"/>
    <w:rsid w:val="D5E7F54A"/>
    <w:rsid w:val="DAEED8F9"/>
    <w:rsid w:val="DBB9E19A"/>
    <w:rsid w:val="DBCFB14E"/>
    <w:rsid w:val="DBDED183"/>
    <w:rsid w:val="DD5B7A80"/>
    <w:rsid w:val="DDEE0E2D"/>
    <w:rsid w:val="DDFE20F2"/>
    <w:rsid w:val="DE7FA54A"/>
    <w:rsid w:val="DF6B0695"/>
    <w:rsid w:val="DF7AA633"/>
    <w:rsid w:val="DF8F3B6B"/>
    <w:rsid w:val="DFC7E4D0"/>
    <w:rsid w:val="DFDF90B5"/>
    <w:rsid w:val="DFE35DD2"/>
    <w:rsid w:val="DFE872AE"/>
    <w:rsid w:val="DFF3529F"/>
    <w:rsid w:val="DFF5166B"/>
    <w:rsid w:val="DFFFD3EE"/>
    <w:rsid w:val="E37648FD"/>
    <w:rsid w:val="E5E2F002"/>
    <w:rsid w:val="E5FE8D5D"/>
    <w:rsid w:val="E6EC6FD5"/>
    <w:rsid w:val="E6FCB111"/>
    <w:rsid w:val="E7F3026F"/>
    <w:rsid w:val="EA7E29EC"/>
    <w:rsid w:val="EA9E8BC7"/>
    <w:rsid w:val="EB565E2C"/>
    <w:rsid w:val="ECFF15F4"/>
    <w:rsid w:val="ED1F8E42"/>
    <w:rsid w:val="EDAE59D5"/>
    <w:rsid w:val="EDBADDFF"/>
    <w:rsid w:val="EDDFFB8F"/>
    <w:rsid w:val="EE3D7FCB"/>
    <w:rsid w:val="EE6F121A"/>
    <w:rsid w:val="EF0F744D"/>
    <w:rsid w:val="EF9D6788"/>
    <w:rsid w:val="EFAECB2C"/>
    <w:rsid w:val="EFEE8E9F"/>
    <w:rsid w:val="EFF1A15C"/>
    <w:rsid w:val="EFFB87CF"/>
    <w:rsid w:val="EFFBFE4F"/>
    <w:rsid w:val="EFFF57AF"/>
    <w:rsid w:val="F2BABE80"/>
    <w:rsid w:val="F2D71941"/>
    <w:rsid w:val="F637CA54"/>
    <w:rsid w:val="F673A252"/>
    <w:rsid w:val="F6BD9F1C"/>
    <w:rsid w:val="F77E243D"/>
    <w:rsid w:val="F7DED1FD"/>
    <w:rsid w:val="F7F91502"/>
    <w:rsid w:val="F7F94E31"/>
    <w:rsid w:val="F7FCFFD4"/>
    <w:rsid w:val="F7FD3DB9"/>
    <w:rsid w:val="FA7B8069"/>
    <w:rsid w:val="FB1E30A3"/>
    <w:rsid w:val="FB4B37A9"/>
    <w:rsid w:val="FB9C1769"/>
    <w:rsid w:val="FBD7DF6A"/>
    <w:rsid w:val="FBDB89D7"/>
    <w:rsid w:val="FBE200FA"/>
    <w:rsid w:val="FBF9AA02"/>
    <w:rsid w:val="FBFAB769"/>
    <w:rsid w:val="FBFDCEAC"/>
    <w:rsid w:val="FBFF680A"/>
    <w:rsid w:val="FBFF855B"/>
    <w:rsid w:val="FCE71F89"/>
    <w:rsid w:val="FDCD4A3E"/>
    <w:rsid w:val="FDDDF4C9"/>
    <w:rsid w:val="FDED38B7"/>
    <w:rsid w:val="FDFDF8B5"/>
    <w:rsid w:val="FE6E658B"/>
    <w:rsid w:val="FEDF4D8A"/>
    <w:rsid w:val="FF67D085"/>
    <w:rsid w:val="FF6B5D36"/>
    <w:rsid w:val="FF6C83A9"/>
    <w:rsid w:val="FF7F40DE"/>
    <w:rsid w:val="FFAFF3FE"/>
    <w:rsid w:val="FFBD4836"/>
    <w:rsid w:val="FFBFC225"/>
    <w:rsid w:val="FFEB7E90"/>
    <w:rsid w:val="FFED431C"/>
    <w:rsid w:val="FFEF3F33"/>
    <w:rsid w:val="FFF63D98"/>
    <w:rsid w:val="FFF7B80E"/>
    <w:rsid w:val="FFF976ED"/>
    <w:rsid w:val="FFFDA42B"/>
    <w:rsid w:val="FFFF7CAE"/>
    <w:rsid w:val="FFFF92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批注框文本 Char"/>
    <w:basedOn w:val="9"/>
    <w:link w:val="3"/>
    <w:qFormat/>
    <w:uiPriority w:val="0"/>
    <w:rPr>
      <w:rFonts w:ascii="Calibri" w:hAnsi="Calibri" w:eastAsia="宋体" w:cs="Times New Roman"/>
      <w:kern w:val="2"/>
      <w:sz w:val="18"/>
      <w:szCs w:val="18"/>
    </w:rPr>
  </w:style>
  <w:style w:type="paragraph" w:styleId="11">
    <w:name w:val="List 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2">
    <w:name w:val="fontstyle01"/>
    <w:basedOn w:val="9"/>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1236</Words>
  <Characters>1242</Characters>
  <Lines>11</Lines>
  <Paragraphs>3</Paragraphs>
  <TotalTime>0</TotalTime>
  <ScaleCrop>false</ScaleCrop>
  <LinksUpToDate>false</LinksUpToDate>
  <CharactersWithSpaces>1277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2025-03-15T18:09:00Z</dcterms:created>
  <dc:creator>sse</dc:creator>
  <cp:lastModifiedBy>whxu</cp:lastModifiedBy>
  <cp:lastPrinted>2025-03-30T08:53:00Z</cp:lastPrinted>
  <dcterms:modified xsi:type="dcterms:W3CDTF">2026-04-24T21:20:07Z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FEFE681BBD2D1459076EEB69C34BDB01_43</vt:lpwstr>
  </property>
</Properties>
</file>