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18" w:rsidRPr="00100618" w:rsidRDefault="00100618" w:rsidP="00100618">
      <w:pPr>
        <w:pStyle w:val="1"/>
        <w:spacing w:before="0" w:after="0" w:line="360" w:lineRule="auto"/>
        <w:jc w:val="center"/>
        <w:rPr>
          <w:rFonts w:ascii="黑体" w:eastAsia="黑体" w:hAnsi="黑体"/>
          <w:sz w:val="36"/>
          <w:szCs w:val="36"/>
        </w:rPr>
      </w:pPr>
      <w:r w:rsidRPr="00270C59">
        <w:rPr>
          <w:rFonts w:ascii="黑体" w:eastAsia="黑体" w:hAnsi="黑体" w:hint="eastAsia"/>
          <w:sz w:val="36"/>
          <w:szCs w:val="36"/>
        </w:rPr>
        <w:t>第十</w:t>
      </w:r>
      <w:r w:rsidR="00DE731B">
        <w:rPr>
          <w:rFonts w:ascii="黑体" w:eastAsia="黑体" w:hAnsi="黑体" w:hint="eastAsia"/>
          <w:sz w:val="36"/>
          <w:szCs w:val="36"/>
        </w:rPr>
        <w:t>五</w:t>
      </w:r>
      <w:r w:rsidRPr="00270C59">
        <w:rPr>
          <w:rFonts w:ascii="黑体" w:eastAsia="黑体" w:hAnsi="黑体" w:hint="eastAsia"/>
          <w:sz w:val="36"/>
          <w:szCs w:val="36"/>
        </w:rPr>
        <w:t>号</w:t>
      </w:r>
      <w:r w:rsidR="0025345B">
        <w:rPr>
          <w:rFonts w:ascii="黑体" w:eastAsia="黑体" w:hAnsi="黑体" w:hint="eastAsia"/>
          <w:sz w:val="36"/>
          <w:szCs w:val="36"/>
        </w:rPr>
        <w:t xml:space="preserve"> </w:t>
      </w:r>
      <w:r w:rsidR="0088565D" w:rsidRPr="00100618">
        <w:rPr>
          <w:rFonts w:ascii="黑体" w:eastAsia="黑体" w:hAnsi="黑体" w:hint="eastAsia"/>
          <w:sz w:val="36"/>
          <w:szCs w:val="36"/>
        </w:rPr>
        <w:t>科创板</w:t>
      </w:r>
      <w:r w:rsidRPr="00100618">
        <w:rPr>
          <w:rFonts w:ascii="黑体" w:eastAsia="黑体" w:hAnsi="黑体" w:hint="eastAsia"/>
          <w:sz w:val="36"/>
          <w:szCs w:val="36"/>
        </w:rPr>
        <w:t>上市公司业绩快报更正公告</w:t>
      </w:r>
    </w:p>
    <w:p w:rsidR="00100618" w:rsidRPr="0088565D" w:rsidRDefault="00100618" w:rsidP="00100618"/>
    <w:p w:rsidR="00100618" w:rsidRDefault="00100618" w:rsidP="00100618">
      <w:pPr>
        <w:adjustRightInd w:val="0"/>
        <w:snapToGrid w:val="0"/>
        <w:spacing w:line="600" w:lineRule="exact"/>
        <w:rPr>
          <w:rFonts w:ascii="仿宋_GB2312" w:eastAsia="仿宋_GB2312" w:hAnsi="宋体"/>
          <w:b/>
          <w:sz w:val="30"/>
          <w:szCs w:val="30"/>
        </w:rPr>
      </w:pPr>
      <w:r w:rsidRPr="009A6E14">
        <w:rPr>
          <w:rFonts w:ascii="仿宋_GB2312" w:eastAsia="仿宋_GB2312" w:hAnsi="宋体" w:hint="eastAsia"/>
          <w:b/>
          <w:sz w:val="30"/>
          <w:szCs w:val="30"/>
        </w:rPr>
        <w:t>适用</w:t>
      </w:r>
      <w:r w:rsidR="006861FD">
        <w:rPr>
          <w:rFonts w:ascii="仿宋_GB2312" w:eastAsia="仿宋_GB2312" w:hAnsi="宋体" w:hint="eastAsia"/>
          <w:b/>
          <w:sz w:val="30"/>
          <w:szCs w:val="30"/>
        </w:rPr>
        <w:t>情形</w:t>
      </w:r>
      <w:r w:rsidRPr="009A6E14">
        <w:rPr>
          <w:rFonts w:ascii="仿宋_GB2312" w:eastAsia="仿宋_GB2312" w:hAnsi="宋体" w:hint="eastAsia"/>
          <w:b/>
          <w:sz w:val="30"/>
          <w:szCs w:val="30"/>
        </w:rPr>
        <w:t>：</w:t>
      </w:r>
    </w:p>
    <w:p w:rsidR="00100618" w:rsidRDefault="004816B1" w:rsidP="00A47C07">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科创板上市公司</w:t>
      </w:r>
      <w:r w:rsidR="006E2B8E">
        <w:rPr>
          <w:rFonts w:ascii="仿宋_GB2312" w:eastAsia="仿宋_GB2312" w:hAnsi="宋体" w:hint="eastAsia"/>
          <w:bCs/>
          <w:sz w:val="30"/>
          <w:szCs w:val="30"/>
        </w:rPr>
        <w:t>（以下简称上市公司）</w:t>
      </w:r>
      <w:r w:rsidR="00100618" w:rsidRPr="009A6E14">
        <w:rPr>
          <w:rFonts w:ascii="仿宋_GB2312" w:eastAsia="仿宋_GB2312" w:hAnsi="宋体" w:hint="eastAsia"/>
          <w:bCs/>
          <w:sz w:val="30"/>
          <w:szCs w:val="30"/>
        </w:rPr>
        <w:t>业绩快报</w:t>
      </w:r>
      <w:r w:rsidR="00100618" w:rsidRPr="00E10B8F">
        <w:rPr>
          <w:rFonts w:ascii="仿宋_GB2312" w:eastAsia="仿宋_GB2312" w:hAnsi="宋体" w:hint="eastAsia"/>
          <w:bCs/>
          <w:sz w:val="30"/>
          <w:szCs w:val="30"/>
        </w:rPr>
        <w:t>发布后，定期报告发布前，</w:t>
      </w:r>
      <w:r w:rsidR="00100618" w:rsidRPr="009A6E14">
        <w:rPr>
          <w:rFonts w:ascii="仿宋_GB2312" w:eastAsia="仿宋_GB2312" w:hAnsi="宋体" w:hint="eastAsia"/>
          <w:bCs/>
          <w:sz w:val="30"/>
          <w:szCs w:val="30"/>
        </w:rPr>
        <w:t>有关财务数据和指标与发布的业绩快报差异幅度达到</w:t>
      </w:r>
      <w:r w:rsidR="00100618" w:rsidRPr="009A6E14">
        <w:rPr>
          <w:rFonts w:ascii="仿宋_GB2312" w:eastAsia="仿宋_GB2312" w:hAnsi="宋体"/>
          <w:bCs/>
          <w:sz w:val="30"/>
          <w:szCs w:val="30"/>
        </w:rPr>
        <w:t>10%的</w:t>
      </w:r>
      <w:r>
        <w:rPr>
          <w:rFonts w:ascii="仿宋_GB2312" w:eastAsia="仿宋_GB2312" w:hAnsi="宋体" w:hint="eastAsia"/>
          <w:bCs/>
          <w:sz w:val="30"/>
          <w:szCs w:val="30"/>
        </w:rPr>
        <w:t>，适用本公告</w:t>
      </w:r>
      <w:r w:rsidR="00F42599">
        <w:rPr>
          <w:rFonts w:ascii="仿宋_GB2312" w:eastAsia="仿宋_GB2312" w:hAnsi="宋体" w:hint="eastAsia"/>
          <w:bCs/>
          <w:sz w:val="30"/>
          <w:szCs w:val="30"/>
        </w:rPr>
        <w:t>格式指引</w:t>
      </w:r>
      <w:r w:rsidR="00100618" w:rsidRPr="009A6E14">
        <w:rPr>
          <w:rFonts w:ascii="仿宋_GB2312" w:eastAsia="仿宋_GB2312" w:hAnsi="宋体"/>
          <w:bCs/>
          <w:sz w:val="30"/>
          <w:szCs w:val="30"/>
        </w:rPr>
        <w:t>。</w:t>
      </w:r>
    </w:p>
    <w:p w:rsidR="00100618" w:rsidRPr="00336BAB" w:rsidRDefault="00100618" w:rsidP="00A47C07">
      <w:pPr>
        <w:adjustRightInd w:val="0"/>
        <w:snapToGrid w:val="0"/>
        <w:spacing w:line="600" w:lineRule="exact"/>
        <w:ind w:firstLineChars="200" w:firstLine="480"/>
        <w:rPr>
          <w:rFonts w:ascii="宋体" w:hAnsi="宋体"/>
          <w:sz w:val="24"/>
        </w:rPr>
      </w:pPr>
    </w:p>
    <w:p w:rsidR="00100618" w:rsidRDefault="00100618" w:rsidP="00A47C07">
      <w:pPr>
        <w:adjustRightInd w:val="0"/>
        <w:snapToGrid w:val="0"/>
        <w:spacing w:line="600" w:lineRule="exact"/>
        <w:ind w:firstLineChars="9" w:firstLine="27"/>
        <w:rPr>
          <w:rFonts w:ascii="仿宋_GB2312" w:eastAsia="仿宋_GB2312" w:hAnsi="宋体"/>
          <w:bCs/>
          <w:sz w:val="30"/>
          <w:szCs w:val="30"/>
        </w:rPr>
      </w:pPr>
      <w:r w:rsidRPr="009A6E14">
        <w:rPr>
          <w:rFonts w:ascii="仿宋_GB2312" w:eastAsia="仿宋_GB2312" w:hAnsi="宋体" w:hint="eastAsia"/>
          <w:bCs/>
          <w:sz w:val="30"/>
          <w:szCs w:val="30"/>
        </w:rPr>
        <w:t>证券代码：</w:t>
      </w:r>
      <w:r w:rsidRPr="009A6E14">
        <w:rPr>
          <w:rFonts w:ascii="仿宋_GB2312" w:eastAsia="仿宋_GB2312" w:hAnsi="宋体"/>
          <w:bCs/>
          <w:sz w:val="30"/>
          <w:szCs w:val="30"/>
        </w:rPr>
        <w:t xml:space="preserve">             </w:t>
      </w:r>
      <w:r w:rsidRPr="009A6E14">
        <w:rPr>
          <w:rFonts w:ascii="仿宋_GB2312" w:eastAsia="仿宋_GB2312" w:hAnsi="宋体" w:hint="eastAsia"/>
          <w:bCs/>
          <w:sz w:val="30"/>
          <w:szCs w:val="30"/>
        </w:rPr>
        <w:t>证券简称：</w:t>
      </w:r>
      <w:r w:rsidRPr="009A6E14">
        <w:rPr>
          <w:rFonts w:ascii="仿宋_GB2312" w:eastAsia="仿宋_GB2312" w:hAnsi="宋体"/>
          <w:bCs/>
          <w:sz w:val="30"/>
          <w:szCs w:val="30"/>
        </w:rPr>
        <w:t xml:space="preserve">            </w:t>
      </w:r>
      <w:r w:rsidRPr="009A6E14">
        <w:rPr>
          <w:rFonts w:ascii="仿宋_GB2312" w:eastAsia="仿宋_GB2312" w:hAnsi="宋体" w:hint="eastAsia"/>
          <w:bCs/>
          <w:sz w:val="30"/>
          <w:szCs w:val="30"/>
        </w:rPr>
        <w:t>公告编号：</w:t>
      </w:r>
    </w:p>
    <w:p w:rsidR="00100618" w:rsidRPr="008E6B6F" w:rsidRDefault="00100618" w:rsidP="00A47C07">
      <w:pPr>
        <w:adjustRightInd w:val="0"/>
        <w:snapToGrid w:val="0"/>
        <w:spacing w:line="600" w:lineRule="exact"/>
        <w:ind w:firstLineChars="200" w:firstLine="420"/>
        <w:rPr>
          <w:rFonts w:ascii="宋体" w:hAnsi="宋体" w:cs="宋体"/>
          <w:color w:val="000000"/>
          <w:kern w:val="0"/>
          <w:szCs w:val="21"/>
        </w:rPr>
      </w:pPr>
    </w:p>
    <w:p w:rsidR="00100618" w:rsidRDefault="00100618" w:rsidP="00A47C07">
      <w:pPr>
        <w:spacing w:line="600" w:lineRule="exact"/>
        <w:ind w:firstLineChars="200" w:firstLine="600"/>
        <w:jc w:val="center"/>
        <w:rPr>
          <w:rFonts w:ascii="仿宋_GB2312" w:eastAsia="仿宋_GB2312" w:hAnsi="宋体"/>
          <w:bCs/>
          <w:sz w:val="30"/>
          <w:szCs w:val="30"/>
        </w:rPr>
      </w:pPr>
      <w:r w:rsidRPr="009A6E14">
        <w:rPr>
          <w:rFonts w:ascii="仿宋_GB2312" w:eastAsia="仿宋_GB2312" w:hAnsi="宋体"/>
          <w:bCs/>
          <w:sz w:val="30"/>
          <w:szCs w:val="30"/>
        </w:rPr>
        <w:t>XXXX股份有限公司</w:t>
      </w:r>
    </w:p>
    <w:p w:rsidR="00100618" w:rsidRDefault="00100618" w:rsidP="00A47C07">
      <w:pPr>
        <w:adjustRightInd w:val="0"/>
        <w:snapToGrid w:val="0"/>
        <w:spacing w:line="600" w:lineRule="exact"/>
        <w:ind w:leftChars="-20" w:hangingChars="14" w:hanging="42"/>
        <w:jc w:val="center"/>
        <w:rPr>
          <w:rFonts w:ascii="仿宋_GB2312" w:eastAsia="仿宋_GB2312" w:hAnsi="宋体"/>
          <w:bCs/>
          <w:sz w:val="30"/>
          <w:szCs w:val="30"/>
        </w:rPr>
      </w:pPr>
      <w:r w:rsidRPr="009A6E14">
        <w:rPr>
          <w:rFonts w:ascii="仿宋_GB2312" w:eastAsia="仿宋_GB2312" w:hAnsi="宋体"/>
          <w:bCs/>
          <w:sz w:val="30"/>
          <w:szCs w:val="30"/>
        </w:rPr>
        <w:t>XX年度（第一季度、半年度、前三季度）业绩快报更正公告</w:t>
      </w:r>
    </w:p>
    <w:p w:rsidR="00100618" w:rsidRPr="00D810EF" w:rsidRDefault="00100618" w:rsidP="00A47C07">
      <w:pPr>
        <w:autoSpaceDE w:val="0"/>
        <w:autoSpaceDN w:val="0"/>
        <w:adjustRightInd w:val="0"/>
        <w:snapToGrid w:val="0"/>
        <w:spacing w:line="600" w:lineRule="exact"/>
        <w:ind w:firstLineChars="200" w:firstLine="480"/>
        <w:jc w:val="center"/>
        <w:rPr>
          <w:rFonts w:ascii="宋体" w:hAnsi="宋体"/>
          <w:sz w:val="24"/>
        </w:rPr>
      </w:pPr>
    </w:p>
    <w:p w:rsidR="00100618" w:rsidRPr="0075003C" w:rsidRDefault="00100618" w:rsidP="0055663D">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olor w:val="000000"/>
          <w:sz w:val="30"/>
          <w:szCs w:val="30"/>
        </w:rPr>
      </w:pPr>
      <w:r w:rsidRPr="009A6E14">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w:t>
      </w:r>
      <w:r w:rsidR="00E46022">
        <w:rPr>
          <w:rFonts w:ascii="仿宋_GB2312" w:eastAsia="仿宋_GB2312" w:hAnsi="宋体" w:hint="eastAsia"/>
          <w:color w:val="000000"/>
          <w:sz w:val="30"/>
          <w:szCs w:val="30"/>
        </w:rPr>
        <w:t>依法</w:t>
      </w:r>
      <w:r w:rsidR="00E46022" w:rsidRPr="009A6E14">
        <w:rPr>
          <w:rFonts w:ascii="仿宋_GB2312" w:eastAsia="仿宋_GB2312" w:hAnsi="宋体" w:hint="eastAsia"/>
          <w:color w:val="000000"/>
          <w:sz w:val="30"/>
          <w:szCs w:val="30"/>
        </w:rPr>
        <w:t>承担</w:t>
      </w:r>
      <w:r w:rsidR="00E46022">
        <w:rPr>
          <w:rFonts w:ascii="仿宋_GB2312" w:eastAsia="仿宋_GB2312" w:hAnsi="宋体" w:hint="eastAsia"/>
          <w:color w:val="000000"/>
          <w:sz w:val="30"/>
          <w:szCs w:val="30"/>
        </w:rPr>
        <w:t>法律</w:t>
      </w:r>
      <w:r w:rsidR="00E46022" w:rsidRPr="009A6E14">
        <w:rPr>
          <w:rFonts w:ascii="仿宋_GB2312" w:eastAsia="仿宋_GB2312" w:hAnsi="宋体" w:hint="eastAsia"/>
          <w:color w:val="000000"/>
          <w:sz w:val="30"/>
          <w:szCs w:val="30"/>
        </w:rPr>
        <w:t>责任</w:t>
      </w:r>
      <w:r w:rsidRPr="009A6E14">
        <w:rPr>
          <w:rFonts w:ascii="仿宋_GB2312" w:eastAsia="仿宋_GB2312" w:hAnsi="宋体" w:hint="eastAsia"/>
          <w:color w:val="000000"/>
          <w:sz w:val="30"/>
          <w:szCs w:val="30"/>
        </w:rPr>
        <w:t>。</w:t>
      </w:r>
    </w:p>
    <w:p w:rsidR="00100618" w:rsidRPr="0075003C" w:rsidRDefault="00100618" w:rsidP="00A47C07">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olor w:val="000000"/>
          <w:sz w:val="30"/>
          <w:szCs w:val="30"/>
        </w:rPr>
      </w:pPr>
      <w:r w:rsidRPr="009A6E14">
        <w:rPr>
          <w:rFonts w:ascii="仿宋_GB2312" w:eastAsia="仿宋_GB2312" w:hAnsi="宋体"/>
          <w:color w:val="000000"/>
          <w:sz w:val="30"/>
          <w:szCs w:val="30"/>
        </w:rPr>
        <w:t>如有董事对临时公告内容的真实性、准确性和完整性无法保</w:t>
      </w:r>
      <w:r w:rsidRPr="009A6E14">
        <w:rPr>
          <w:rFonts w:ascii="仿宋_GB2312" w:eastAsia="仿宋_GB2312" w:hAnsi="宋体" w:hint="eastAsia"/>
          <w:color w:val="000000"/>
          <w:sz w:val="30"/>
          <w:szCs w:val="30"/>
        </w:rPr>
        <w:t>证或存在异议的，公司应当在公告中作特别提示。</w:t>
      </w:r>
    </w:p>
    <w:p w:rsidR="00100618" w:rsidRPr="00D810EF" w:rsidRDefault="00100618" w:rsidP="00A47C07">
      <w:pPr>
        <w:autoSpaceDE w:val="0"/>
        <w:autoSpaceDN w:val="0"/>
        <w:adjustRightInd w:val="0"/>
        <w:snapToGrid w:val="0"/>
        <w:spacing w:line="600" w:lineRule="exact"/>
        <w:ind w:firstLineChars="200" w:firstLine="480"/>
        <w:jc w:val="left"/>
        <w:rPr>
          <w:rFonts w:ascii="宋体" w:hAnsi="宋体"/>
          <w:sz w:val="24"/>
        </w:rPr>
      </w:pPr>
    </w:p>
    <w:p w:rsidR="00100618" w:rsidRDefault="00100618" w:rsidP="00A47C07">
      <w:pPr>
        <w:adjustRightInd w:val="0"/>
        <w:snapToGrid w:val="0"/>
        <w:spacing w:line="600" w:lineRule="exact"/>
        <w:ind w:firstLineChars="200" w:firstLine="600"/>
        <w:rPr>
          <w:rFonts w:ascii="仿宋_GB2312" w:eastAsia="仿宋_GB2312" w:hAnsi="宋体"/>
          <w:bCs/>
          <w:sz w:val="30"/>
          <w:szCs w:val="30"/>
        </w:rPr>
      </w:pPr>
      <w:r w:rsidRPr="009A6E14">
        <w:rPr>
          <w:rFonts w:ascii="仿宋_GB2312" w:eastAsia="仿宋_GB2312" w:hAnsi="宋体" w:hint="eastAsia"/>
          <w:bCs/>
          <w:sz w:val="30"/>
          <w:szCs w:val="30"/>
        </w:rPr>
        <w:t>本公司董事会于</w:t>
      </w:r>
      <w:r w:rsidRPr="009A6E14">
        <w:rPr>
          <w:rFonts w:ascii="仿宋_GB2312" w:eastAsia="仿宋_GB2312" w:hAnsi="宋体"/>
          <w:bCs/>
          <w:sz w:val="30"/>
          <w:szCs w:val="30"/>
        </w:rPr>
        <w:t>20XX年X月XX日在《XX报》《XX报》和上海证券交易所网站（www.sse.com.cn</w:t>
      </w:r>
      <w:r w:rsidRPr="009A6E14">
        <w:rPr>
          <w:rFonts w:ascii="仿宋_GB2312" w:eastAsia="仿宋_GB2312" w:hAnsi="宋体" w:hint="eastAsia"/>
          <w:bCs/>
          <w:sz w:val="30"/>
          <w:szCs w:val="30"/>
        </w:rPr>
        <w:t>）披露了公司</w:t>
      </w:r>
      <w:r w:rsidRPr="009A6E14">
        <w:rPr>
          <w:rFonts w:ascii="仿宋_GB2312" w:eastAsia="仿宋_GB2312" w:hAnsi="宋体"/>
          <w:bCs/>
          <w:sz w:val="30"/>
          <w:szCs w:val="30"/>
        </w:rPr>
        <w:t>20XX年度业绩快报，现对相关内容修正如下，财务数据未经会计师事务所审计，具体以公司披露的20XX年</w:t>
      </w:r>
      <w:r w:rsidRPr="009A6E14">
        <w:rPr>
          <w:rFonts w:ascii="仿宋_GB2312" w:eastAsia="仿宋_GB2312" w:hAnsi="宋体" w:hint="eastAsia"/>
          <w:bCs/>
          <w:sz w:val="30"/>
          <w:szCs w:val="30"/>
        </w:rPr>
        <w:t>年度（第一季度、半年度、前三季度）的定期报告为准，提请投资者注意投资风险。</w:t>
      </w:r>
    </w:p>
    <w:p w:rsidR="00100618" w:rsidRDefault="00100618" w:rsidP="00A47C07">
      <w:pPr>
        <w:widowControl/>
        <w:spacing w:line="600" w:lineRule="exact"/>
        <w:ind w:firstLineChars="200" w:firstLine="643"/>
        <w:rPr>
          <w:rFonts w:ascii="黑体" w:eastAsia="黑体" w:hAnsi="黑体" w:cs="宋体"/>
          <w:b/>
          <w:color w:val="000000"/>
          <w:kern w:val="0"/>
          <w:sz w:val="32"/>
          <w:szCs w:val="32"/>
        </w:rPr>
      </w:pPr>
    </w:p>
    <w:p w:rsidR="00100618" w:rsidRDefault="00100618" w:rsidP="00A47C07">
      <w:pPr>
        <w:widowControl/>
        <w:spacing w:line="600" w:lineRule="exact"/>
        <w:ind w:firstLineChars="200" w:firstLine="643"/>
        <w:rPr>
          <w:rFonts w:ascii="黑体" w:eastAsia="黑体" w:hAnsi="黑体" w:cs="宋体"/>
          <w:b/>
          <w:color w:val="000000"/>
          <w:kern w:val="0"/>
          <w:sz w:val="32"/>
          <w:szCs w:val="32"/>
        </w:rPr>
      </w:pPr>
      <w:r w:rsidRPr="009A6E14">
        <w:rPr>
          <w:rFonts w:ascii="黑体" w:eastAsia="黑体" w:hAnsi="黑体" w:cs="宋体" w:hint="eastAsia"/>
          <w:b/>
          <w:color w:val="000000"/>
          <w:kern w:val="0"/>
          <w:sz w:val="32"/>
          <w:szCs w:val="32"/>
        </w:rPr>
        <w:t>一、修正前后的主要财务数据和指标</w:t>
      </w:r>
    </w:p>
    <w:p w:rsidR="00100618" w:rsidRPr="00771552" w:rsidRDefault="00100618" w:rsidP="00100618">
      <w:pPr>
        <w:autoSpaceDE w:val="0"/>
        <w:autoSpaceDN w:val="0"/>
        <w:adjustRightInd w:val="0"/>
        <w:snapToGrid w:val="0"/>
        <w:spacing w:line="360" w:lineRule="auto"/>
        <w:ind w:firstLineChars="200" w:firstLine="480"/>
        <w:jc w:val="left"/>
        <w:rPr>
          <w:rFonts w:ascii="仿宋_GB2312" w:eastAsia="仿宋_GB2312" w:hAnsi="宋体" w:cs="宋体"/>
          <w:kern w:val="0"/>
          <w:sz w:val="24"/>
        </w:rPr>
      </w:pPr>
      <w:r w:rsidRPr="00D810EF">
        <w:rPr>
          <w:rFonts w:ascii="宋体" w:hAnsi="宋体" w:cs="宋体" w:hint="eastAsia"/>
          <w:kern w:val="0"/>
          <w:sz w:val="24"/>
        </w:rPr>
        <w:t xml:space="preserve">                                 </w:t>
      </w:r>
      <w:r>
        <w:rPr>
          <w:rFonts w:ascii="宋体" w:hAnsi="宋体" w:cs="宋体" w:hint="eastAsia"/>
          <w:kern w:val="0"/>
          <w:sz w:val="24"/>
        </w:rPr>
        <w:t xml:space="preserve">           </w:t>
      </w:r>
      <w:r w:rsidRPr="00D810EF">
        <w:rPr>
          <w:rFonts w:ascii="宋体" w:hAnsi="宋体" w:cs="宋体" w:hint="eastAsia"/>
          <w:kern w:val="0"/>
          <w:sz w:val="24"/>
        </w:rPr>
        <w:t xml:space="preserve">        </w:t>
      </w:r>
      <w:r w:rsidRPr="009A6E14">
        <w:rPr>
          <w:rFonts w:ascii="仿宋_GB2312" w:eastAsia="仿宋_GB2312" w:hAnsi="宋体" w:cs="宋体"/>
          <w:kern w:val="0"/>
          <w:sz w:val="24"/>
        </w:rPr>
        <w:t xml:space="preserve">  单位：      </w:t>
      </w:r>
    </w:p>
    <w:tbl>
      <w:tblPr>
        <w:tblW w:w="8761"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7"/>
        <w:gridCol w:w="1530"/>
        <w:gridCol w:w="1530"/>
        <w:gridCol w:w="1645"/>
        <w:gridCol w:w="1729"/>
      </w:tblGrid>
      <w:tr w:rsidR="00100618" w:rsidRPr="00771552" w:rsidTr="00836225">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Default="00100618" w:rsidP="00836225">
            <w:pPr>
              <w:spacing w:line="360" w:lineRule="exact"/>
              <w:jc w:val="center"/>
              <w:rPr>
                <w:rFonts w:ascii="仿宋_GB2312" w:eastAsia="仿宋_GB2312" w:hAnsi="宋体"/>
                <w:sz w:val="24"/>
              </w:rPr>
            </w:pPr>
          </w:p>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Default="00100618" w:rsidP="00836225">
            <w:pPr>
              <w:spacing w:after="120" w:line="360" w:lineRule="exact"/>
              <w:ind w:leftChars="54" w:left="139" w:hangingChars="11" w:hanging="26"/>
              <w:jc w:val="center"/>
              <w:rPr>
                <w:rFonts w:ascii="仿宋_GB2312" w:eastAsia="仿宋_GB2312" w:hAnsi="宋体"/>
                <w:sz w:val="24"/>
              </w:rPr>
            </w:pPr>
            <w:r w:rsidRPr="009A6E14">
              <w:rPr>
                <w:rFonts w:ascii="仿宋_GB2312" w:eastAsia="仿宋_GB2312" w:hAnsi="宋体" w:hint="eastAsia"/>
                <w:sz w:val="24"/>
              </w:rPr>
              <w:t>修正后的增减变动幅度（％）</w:t>
            </w:r>
          </w:p>
        </w:tc>
      </w:tr>
      <w:tr w:rsidR="00100618" w:rsidRPr="00771552" w:rsidTr="0083622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6A55AF" w:rsidP="006A55AF">
            <w:pPr>
              <w:spacing w:after="120" w:line="360" w:lineRule="exact"/>
              <w:jc w:val="left"/>
              <w:rPr>
                <w:rFonts w:ascii="仿宋_GB2312" w:eastAsia="仿宋_GB2312" w:hAnsi="宋体"/>
                <w:sz w:val="24"/>
              </w:rPr>
            </w:pPr>
            <w:r>
              <w:rPr>
                <w:rFonts w:ascii="仿宋_GB2312" w:eastAsia="仿宋_GB2312" w:hAnsi="宋体" w:hint="eastAsia"/>
                <w:sz w:val="24"/>
              </w:rPr>
              <w:t xml:space="preserve">   </w:t>
            </w:r>
            <w:r w:rsidR="00100618" w:rsidRPr="009A6E14">
              <w:rPr>
                <w:rFonts w:ascii="仿宋_GB2312" w:eastAsia="仿宋_GB2312" w:hAnsi="宋体" w:hint="eastAsia"/>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6A55AF" w:rsidP="006A55AF">
            <w:pPr>
              <w:spacing w:after="120" w:line="360" w:lineRule="exact"/>
              <w:jc w:val="left"/>
              <w:rPr>
                <w:rFonts w:ascii="仿宋_GB2312" w:eastAsia="仿宋_GB2312" w:hAnsi="宋体"/>
                <w:sz w:val="24"/>
              </w:rPr>
            </w:pPr>
            <w:r>
              <w:rPr>
                <w:rFonts w:ascii="仿宋_GB2312" w:eastAsia="仿宋_GB2312" w:hAnsi="宋体" w:hint="eastAsia"/>
                <w:sz w:val="24"/>
              </w:rPr>
              <w:t xml:space="preserve">   </w:t>
            </w:r>
            <w:r w:rsidR="00100618" w:rsidRPr="009A6E14">
              <w:rPr>
                <w:rFonts w:ascii="仿宋_GB2312" w:eastAsia="仿宋_GB2312" w:hAnsi="宋体" w:hint="eastAsia"/>
                <w:sz w:val="24"/>
              </w:rPr>
              <w:t>修正后</w:t>
            </w:r>
          </w:p>
        </w:tc>
        <w:tc>
          <w:tcPr>
            <w:tcW w:w="1645" w:type="dxa"/>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c>
          <w:tcPr>
            <w:tcW w:w="1729" w:type="dxa"/>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营业总收入</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营业利润</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利润总额</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Pr>
                <w:rFonts w:ascii="仿宋_GB2312" w:eastAsia="仿宋_GB2312" w:hAnsi="宋体" w:hint="eastAsia"/>
                <w:sz w:val="24"/>
              </w:rPr>
              <w:t>归属于母公司所有者</w:t>
            </w:r>
            <w:r w:rsidRPr="009A6E14">
              <w:rPr>
                <w:rFonts w:ascii="仿宋_GB2312" w:eastAsia="仿宋_GB2312" w:hAnsi="宋体" w:hint="eastAsia"/>
                <w:sz w:val="24"/>
              </w:rPr>
              <w:t>的净利润</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Pr>
                <w:rFonts w:ascii="仿宋_GB2312" w:eastAsia="仿宋_GB2312" w:hAnsi="宋体" w:hint="eastAsia"/>
                <w:sz w:val="24"/>
              </w:rPr>
              <w:t>归属于母公司所有者</w:t>
            </w:r>
            <w:r w:rsidRPr="009A6E14">
              <w:rPr>
                <w:rFonts w:ascii="仿宋_GB2312" w:eastAsia="仿宋_GB2312" w:hAnsi="宋体" w:hint="eastAsia"/>
                <w:sz w:val="24"/>
              </w:rPr>
              <w:t>的扣除非经常性损益的净利润</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基本每股收益（元）</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Default="00100618" w:rsidP="00836225">
            <w:pPr>
              <w:spacing w:after="120" w:line="360" w:lineRule="exact"/>
              <w:ind w:leftChars="-21" w:left="167" w:hangingChars="88" w:hanging="211"/>
              <w:jc w:val="center"/>
              <w:rPr>
                <w:rFonts w:ascii="仿宋_GB2312" w:eastAsia="仿宋_GB2312" w:hAnsi="宋体"/>
                <w:sz w:val="24"/>
              </w:rPr>
            </w:pPr>
            <w:r w:rsidRPr="009A6E14">
              <w:rPr>
                <w:rFonts w:ascii="仿宋_GB2312" w:eastAsia="仿宋_GB2312" w:hAnsi="宋体" w:hint="eastAsia"/>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00618" w:rsidRDefault="00100618" w:rsidP="00836225">
            <w:pPr>
              <w:spacing w:after="120" w:line="360" w:lineRule="exact"/>
              <w:ind w:leftChars="55" w:left="115" w:firstLineChars="23" w:firstLine="55"/>
              <w:jc w:val="center"/>
              <w:rPr>
                <w:rFonts w:ascii="仿宋_GB2312" w:eastAsia="仿宋_GB2312" w:hAnsi="宋体"/>
                <w:sz w:val="24"/>
              </w:rPr>
            </w:pPr>
            <w:r w:rsidRPr="009A6E14">
              <w:rPr>
                <w:rFonts w:ascii="仿宋_GB2312" w:eastAsia="仿宋_GB2312" w:hAnsi="宋体" w:hint="eastAsia"/>
                <w:sz w:val="24"/>
              </w:rPr>
              <w:t>修正后的增减变动幅度（％）</w:t>
            </w:r>
          </w:p>
        </w:tc>
      </w:tr>
      <w:tr w:rsidR="00100618" w:rsidRPr="00771552" w:rsidTr="0083622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修正后</w:t>
            </w:r>
          </w:p>
        </w:tc>
        <w:tc>
          <w:tcPr>
            <w:tcW w:w="1645" w:type="dxa"/>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c>
          <w:tcPr>
            <w:tcW w:w="1729" w:type="dxa"/>
            <w:vMerge/>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widowControl/>
              <w:spacing w:line="360" w:lineRule="exact"/>
              <w:jc w:val="left"/>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总</w:t>
            </w:r>
            <w:r w:rsidRPr="009A6E14">
              <w:rPr>
                <w:rFonts w:ascii="仿宋_GB2312" w:eastAsia="仿宋_GB2312" w:hAnsi="宋体"/>
                <w:sz w:val="24"/>
              </w:rPr>
              <w:t xml:space="preserve"> </w:t>
            </w:r>
            <w:r w:rsidRPr="009A6E14">
              <w:rPr>
                <w:rFonts w:ascii="仿宋_GB2312" w:eastAsia="仿宋_GB2312" w:hAnsi="宋体" w:hint="eastAsia"/>
                <w:sz w:val="24"/>
              </w:rPr>
              <w:t>资</w:t>
            </w:r>
            <w:r w:rsidRPr="009A6E14">
              <w:rPr>
                <w:rFonts w:ascii="仿宋_GB2312" w:eastAsia="仿宋_GB2312" w:hAnsi="宋体"/>
                <w:sz w:val="24"/>
              </w:rPr>
              <w:t xml:space="preserve"> </w:t>
            </w:r>
            <w:r w:rsidRPr="009A6E14">
              <w:rPr>
                <w:rFonts w:ascii="仿宋_GB2312" w:eastAsia="仿宋_GB2312" w:hAnsi="宋体" w:hint="eastAsia"/>
                <w:sz w:val="24"/>
              </w:rPr>
              <w:t>产</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Pr>
                <w:rFonts w:ascii="仿宋_GB2312" w:eastAsia="仿宋_GB2312" w:hAnsi="宋体" w:hint="eastAsia"/>
                <w:sz w:val="24"/>
              </w:rPr>
              <w:t>归属于母公司的所有者</w:t>
            </w:r>
            <w:r w:rsidRPr="009A6E14">
              <w:rPr>
                <w:rFonts w:ascii="仿宋_GB2312" w:eastAsia="仿宋_GB2312" w:hAnsi="宋体" w:hint="eastAsia"/>
                <w:sz w:val="24"/>
              </w:rPr>
              <w:t>权益</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sidRPr="009A6E14">
              <w:rPr>
                <w:rFonts w:ascii="仿宋_GB2312" w:eastAsia="仿宋_GB2312" w:hAnsi="宋体" w:hint="eastAsia"/>
                <w:sz w:val="24"/>
              </w:rPr>
              <w:t>股</w:t>
            </w:r>
            <w:r w:rsidRPr="009A6E14">
              <w:rPr>
                <w:rFonts w:ascii="仿宋_GB2312" w:eastAsia="仿宋_GB2312" w:hAnsi="宋体"/>
                <w:sz w:val="24"/>
              </w:rPr>
              <w:t xml:space="preserve">    </w:t>
            </w:r>
            <w:r w:rsidRPr="009A6E14">
              <w:rPr>
                <w:rFonts w:ascii="仿宋_GB2312" w:eastAsia="仿宋_GB2312" w:hAnsi="宋体" w:hint="eastAsia"/>
                <w:sz w:val="24"/>
              </w:rPr>
              <w:t>本</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r w:rsidR="00100618" w:rsidRPr="00771552" w:rsidTr="00836225">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rsidR="00100618" w:rsidRPr="00771552" w:rsidRDefault="00100618" w:rsidP="00836225">
            <w:pPr>
              <w:spacing w:line="360" w:lineRule="exact"/>
              <w:jc w:val="center"/>
              <w:rPr>
                <w:rFonts w:ascii="仿宋_GB2312" w:eastAsia="仿宋_GB2312" w:hAnsi="宋体"/>
                <w:sz w:val="24"/>
              </w:rPr>
            </w:pPr>
            <w:r>
              <w:rPr>
                <w:rFonts w:ascii="仿宋_GB2312" w:eastAsia="仿宋_GB2312" w:hAnsi="宋体" w:hint="eastAsia"/>
                <w:sz w:val="24"/>
              </w:rPr>
              <w:t>归属于母公司所有者</w:t>
            </w:r>
            <w:r w:rsidRPr="009A6E14">
              <w:rPr>
                <w:rFonts w:ascii="仿宋_GB2312" w:eastAsia="仿宋_GB2312" w:hAnsi="宋体" w:hint="eastAsia"/>
                <w:sz w:val="24"/>
              </w:rPr>
              <w:t>的每股净资产（元）</w:t>
            </w:r>
          </w:p>
        </w:tc>
        <w:tc>
          <w:tcPr>
            <w:tcW w:w="1530"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100618" w:rsidRPr="00771552" w:rsidRDefault="00100618" w:rsidP="00836225">
            <w:pPr>
              <w:spacing w:line="360" w:lineRule="exact"/>
              <w:jc w:val="center"/>
              <w:rPr>
                <w:rFonts w:ascii="仿宋_GB2312"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tcPr>
          <w:p w:rsidR="00100618" w:rsidRPr="00771552" w:rsidRDefault="00100618" w:rsidP="00836225">
            <w:pPr>
              <w:spacing w:line="360" w:lineRule="exact"/>
              <w:jc w:val="center"/>
              <w:rPr>
                <w:rFonts w:ascii="仿宋_GB2312" w:eastAsia="仿宋_GB2312" w:hAnsi="宋体"/>
                <w:sz w:val="24"/>
              </w:rPr>
            </w:pPr>
          </w:p>
        </w:tc>
      </w:tr>
    </w:tbl>
    <w:p w:rsidR="00100618" w:rsidRPr="00D810EF" w:rsidRDefault="00100618" w:rsidP="00100618">
      <w:pPr>
        <w:autoSpaceDE w:val="0"/>
        <w:autoSpaceDN w:val="0"/>
        <w:adjustRightInd w:val="0"/>
        <w:spacing w:line="360" w:lineRule="exact"/>
        <w:ind w:firstLineChars="200" w:firstLine="480"/>
        <w:rPr>
          <w:rFonts w:ascii="宋体" w:hAnsi="宋体" w:cs="宋体"/>
          <w:kern w:val="0"/>
          <w:sz w:val="24"/>
        </w:rPr>
      </w:pPr>
    </w:p>
    <w:p w:rsidR="00100618" w:rsidRDefault="00100618" w:rsidP="006E1995">
      <w:pPr>
        <w:widowControl/>
        <w:spacing w:line="600" w:lineRule="exact"/>
        <w:ind w:firstLineChars="200" w:firstLine="643"/>
        <w:rPr>
          <w:rFonts w:ascii="黑体" w:eastAsia="黑体" w:hAnsi="黑体" w:cs="宋体"/>
          <w:b/>
          <w:color w:val="000000"/>
          <w:kern w:val="0"/>
          <w:sz w:val="32"/>
          <w:szCs w:val="32"/>
        </w:rPr>
      </w:pPr>
      <w:r w:rsidRPr="009A6E14">
        <w:rPr>
          <w:rFonts w:ascii="黑体" w:eastAsia="黑体" w:hAnsi="黑体" w:cs="宋体" w:hint="eastAsia"/>
          <w:b/>
          <w:color w:val="000000"/>
          <w:kern w:val="0"/>
          <w:sz w:val="32"/>
          <w:szCs w:val="32"/>
        </w:rPr>
        <w:t>二、业绩快报修正原因说明</w:t>
      </w:r>
    </w:p>
    <w:p w:rsidR="00100618" w:rsidRDefault="00100618" w:rsidP="006E1995">
      <w:pPr>
        <w:widowControl/>
        <w:spacing w:line="600" w:lineRule="exact"/>
        <w:ind w:firstLineChars="200" w:firstLine="600"/>
        <w:rPr>
          <w:rFonts w:ascii="仿宋_GB2312" w:eastAsia="仿宋_GB2312" w:hAnsi="宋体" w:cs="宋体"/>
          <w:color w:val="000000"/>
          <w:kern w:val="0"/>
          <w:sz w:val="30"/>
          <w:szCs w:val="30"/>
        </w:rPr>
      </w:pPr>
      <w:r w:rsidRPr="009A6E14">
        <w:rPr>
          <w:rFonts w:ascii="仿宋_GB2312" w:eastAsia="仿宋_GB2312" w:hAnsi="宋体" w:cs="宋体" w:hint="eastAsia"/>
          <w:color w:val="000000"/>
          <w:kern w:val="0"/>
          <w:sz w:val="30"/>
          <w:szCs w:val="30"/>
        </w:rPr>
        <w:t>（一）应说明造成业绩快报差异的具体原因。例如计提减值准备、非经常性损益确认变动或其他导致业绩快报更正的具体情况及所涉及金额。</w:t>
      </w:r>
    </w:p>
    <w:p w:rsidR="00100618" w:rsidRDefault="00100618" w:rsidP="006E1995">
      <w:pPr>
        <w:widowControl/>
        <w:spacing w:line="600" w:lineRule="exact"/>
        <w:ind w:firstLineChars="200" w:firstLine="600"/>
        <w:rPr>
          <w:rFonts w:ascii="仿宋_GB2312" w:eastAsia="仿宋_GB2312" w:hAnsi="宋体" w:cs="宋体"/>
          <w:color w:val="000000"/>
          <w:kern w:val="0"/>
          <w:sz w:val="30"/>
          <w:szCs w:val="30"/>
        </w:rPr>
      </w:pPr>
      <w:r w:rsidRPr="009A6E14">
        <w:rPr>
          <w:rFonts w:ascii="仿宋_GB2312" w:eastAsia="仿宋_GB2312" w:hAnsi="宋体" w:cs="宋体" w:hint="eastAsia"/>
          <w:color w:val="000000"/>
          <w:kern w:val="0"/>
          <w:sz w:val="30"/>
          <w:szCs w:val="30"/>
        </w:rPr>
        <w:lastRenderedPageBreak/>
        <w:t>（二）根据注册会计师预审结果进行业绩快报更正的，还应当说明公司与注册会计师是否存在分歧及分歧所在。</w:t>
      </w:r>
    </w:p>
    <w:p w:rsidR="00100618" w:rsidRDefault="00100618" w:rsidP="006E1995">
      <w:pPr>
        <w:widowControl/>
        <w:spacing w:line="600" w:lineRule="exact"/>
        <w:ind w:firstLineChars="189" w:firstLine="567"/>
        <w:rPr>
          <w:rFonts w:ascii="仿宋_GB2312" w:eastAsia="仿宋_GB2312" w:hAnsi="宋体" w:cs="宋体"/>
          <w:color w:val="000000"/>
          <w:kern w:val="0"/>
          <w:sz w:val="30"/>
          <w:szCs w:val="30"/>
        </w:rPr>
      </w:pPr>
      <w:r w:rsidRPr="009A6E14">
        <w:rPr>
          <w:rFonts w:ascii="仿宋_GB2312" w:eastAsia="仿宋_GB2312" w:hAnsi="宋体" w:cs="宋体" w:hint="eastAsia"/>
          <w:color w:val="000000"/>
          <w:kern w:val="0"/>
          <w:sz w:val="30"/>
          <w:szCs w:val="30"/>
        </w:rPr>
        <w:t>（三）公司应当结合原业绩快报公告，说明导致本次业绩快报更正的原因是否已在原业绩快报公告中进行了充分风险提示。</w:t>
      </w:r>
    </w:p>
    <w:p w:rsidR="005721D8" w:rsidRDefault="005721D8" w:rsidP="006E1995">
      <w:pPr>
        <w:widowControl/>
        <w:spacing w:line="600" w:lineRule="exact"/>
        <w:ind w:firstLineChars="250" w:firstLine="600"/>
        <w:rPr>
          <w:rFonts w:ascii="宋体" w:hAnsi="宋体"/>
          <w:sz w:val="24"/>
        </w:rPr>
      </w:pPr>
    </w:p>
    <w:p w:rsidR="00100618" w:rsidRDefault="00100618" w:rsidP="006E1995">
      <w:pPr>
        <w:widowControl/>
        <w:spacing w:line="600" w:lineRule="exact"/>
        <w:ind w:firstLineChars="200" w:firstLine="643"/>
        <w:rPr>
          <w:rFonts w:ascii="黑体" w:eastAsia="黑体" w:hAnsi="黑体" w:cs="宋体"/>
          <w:b/>
          <w:color w:val="000000"/>
          <w:kern w:val="0"/>
          <w:sz w:val="32"/>
          <w:szCs w:val="32"/>
        </w:rPr>
      </w:pPr>
      <w:r w:rsidRPr="009A6E14">
        <w:rPr>
          <w:rFonts w:ascii="黑体" w:eastAsia="黑体" w:hAnsi="黑体" w:cs="宋体" w:hint="eastAsia"/>
          <w:b/>
          <w:color w:val="000000"/>
          <w:kern w:val="0"/>
          <w:sz w:val="32"/>
          <w:szCs w:val="32"/>
        </w:rPr>
        <w:t>三、上网公告附件</w:t>
      </w:r>
    </w:p>
    <w:p w:rsidR="00100618" w:rsidRDefault="00100618" w:rsidP="006E1995">
      <w:pPr>
        <w:widowControl/>
        <w:spacing w:line="600" w:lineRule="exact"/>
        <w:ind w:firstLineChars="200" w:firstLine="600"/>
        <w:rPr>
          <w:rFonts w:ascii="仿宋_GB2312" w:eastAsia="仿宋_GB2312" w:hAnsi="宋体" w:cs="宋体"/>
          <w:color w:val="000000"/>
          <w:kern w:val="0"/>
          <w:sz w:val="30"/>
          <w:szCs w:val="30"/>
        </w:rPr>
      </w:pPr>
      <w:r w:rsidRPr="009A6E14">
        <w:rPr>
          <w:rFonts w:ascii="仿宋_GB2312" w:eastAsia="仿宋_GB2312" w:hAnsi="宋体" w:cs="宋体" w:hint="eastAsia"/>
          <w:color w:val="000000"/>
          <w:kern w:val="0"/>
          <w:sz w:val="30"/>
          <w:szCs w:val="30"/>
        </w:rPr>
        <w:t>经公司现任法定代表人、主管会计工作的负责人、总会计师（如有）、会计机构负责人（会计主管人员）签字并盖章的比较式资产负债表和利润表。</w:t>
      </w:r>
    </w:p>
    <w:p w:rsidR="00100618" w:rsidRDefault="00100618" w:rsidP="006E1995">
      <w:pPr>
        <w:widowControl/>
        <w:spacing w:line="600" w:lineRule="exact"/>
        <w:ind w:firstLineChars="200" w:firstLine="600"/>
        <w:rPr>
          <w:rFonts w:ascii="仿宋_GB2312" w:eastAsia="仿宋_GB2312" w:hAnsi="宋体" w:cs="宋体"/>
          <w:color w:val="000000"/>
          <w:kern w:val="0"/>
          <w:sz w:val="30"/>
          <w:szCs w:val="30"/>
        </w:rPr>
      </w:pPr>
    </w:p>
    <w:p w:rsidR="00100618" w:rsidRDefault="00100618" w:rsidP="006E1995">
      <w:pPr>
        <w:widowControl/>
        <w:spacing w:line="600" w:lineRule="exact"/>
        <w:ind w:firstLineChars="200" w:firstLine="600"/>
        <w:rPr>
          <w:rFonts w:ascii="仿宋_GB2312" w:eastAsia="仿宋_GB2312" w:hAnsi="宋体" w:cs="宋体"/>
          <w:color w:val="000000"/>
          <w:kern w:val="0"/>
          <w:sz w:val="30"/>
          <w:szCs w:val="30"/>
        </w:rPr>
      </w:pPr>
      <w:r w:rsidRPr="009A6E14">
        <w:rPr>
          <w:rFonts w:ascii="仿宋_GB2312" w:eastAsia="仿宋_GB2312" w:hAnsi="宋体" w:cs="宋体" w:hint="eastAsia"/>
          <w:color w:val="000000"/>
          <w:kern w:val="0"/>
          <w:sz w:val="30"/>
          <w:szCs w:val="30"/>
        </w:rPr>
        <w:t>特此公告。</w:t>
      </w:r>
    </w:p>
    <w:p w:rsidR="00100618" w:rsidRDefault="00100618" w:rsidP="00100618">
      <w:pPr>
        <w:widowControl/>
        <w:spacing w:line="600" w:lineRule="exact"/>
        <w:ind w:firstLineChars="200" w:firstLine="480"/>
        <w:jc w:val="right"/>
        <w:rPr>
          <w:rFonts w:ascii="仿宋_GB2312" w:eastAsia="仿宋_GB2312" w:hAnsi="宋体" w:cs="宋体"/>
          <w:color w:val="000000"/>
          <w:kern w:val="0"/>
          <w:sz w:val="30"/>
          <w:szCs w:val="30"/>
        </w:rPr>
      </w:pPr>
      <w:r w:rsidRPr="00D810EF">
        <w:rPr>
          <w:rFonts w:ascii="宋体" w:cs="宋体" w:hint="eastAsia"/>
          <w:kern w:val="0"/>
          <w:sz w:val="24"/>
        </w:rPr>
        <w:t xml:space="preserve">                          </w:t>
      </w:r>
      <w:r w:rsidRPr="0062616A">
        <w:rPr>
          <w:rFonts w:ascii="宋体" w:cs="宋体" w:hint="eastAsia"/>
          <w:kern w:val="0"/>
          <w:sz w:val="24"/>
        </w:rPr>
        <w:t xml:space="preserve">  </w:t>
      </w:r>
      <w:r w:rsidRPr="00274F4C">
        <w:rPr>
          <w:rFonts w:ascii="仿宋_GB2312" w:eastAsia="仿宋_GB2312" w:hAnsi="宋体" w:cs="宋体"/>
          <w:color w:val="000000"/>
          <w:kern w:val="0"/>
          <w:sz w:val="30"/>
          <w:szCs w:val="30"/>
        </w:rPr>
        <w:t xml:space="preserve"> XXXX</w:t>
      </w:r>
      <w:r w:rsidRPr="006816A6">
        <w:rPr>
          <w:rFonts w:ascii="仿宋_GB2312" w:eastAsia="仿宋_GB2312" w:hAnsi="宋体" w:cs="宋体"/>
          <w:color w:val="000000"/>
          <w:kern w:val="0"/>
          <w:sz w:val="30"/>
          <w:szCs w:val="30"/>
        </w:rPr>
        <w:t>股份有限公司董事会</w:t>
      </w:r>
      <w:r w:rsidRPr="009A6E14">
        <w:rPr>
          <w:rFonts w:ascii="仿宋_GB2312" w:eastAsia="仿宋_GB2312" w:hAnsi="宋体" w:cs="宋体" w:hint="eastAsia"/>
          <w:color w:val="000000"/>
          <w:kern w:val="0"/>
          <w:sz w:val="30"/>
          <w:szCs w:val="30"/>
        </w:rPr>
        <w:t xml:space="preserve">                                                  年  月  日</w:t>
      </w:r>
    </w:p>
    <w:p w:rsidR="00DA78FE" w:rsidRPr="00100618" w:rsidRDefault="00705015"/>
    <w:sectPr w:rsidR="00DA78FE" w:rsidRPr="00100618" w:rsidSect="009D38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15" w:rsidRDefault="00705015" w:rsidP="005721D8">
      <w:r>
        <w:separator/>
      </w:r>
    </w:p>
  </w:endnote>
  <w:endnote w:type="continuationSeparator" w:id="0">
    <w:p w:rsidR="00705015" w:rsidRDefault="00705015" w:rsidP="005721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34800"/>
      <w:docPartObj>
        <w:docPartGallery w:val="Page Numbers (Bottom of Page)"/>
        <w:docPartUnique/>
      </w:docPartObj>
    </w:sdtPr>
    <w:sdtContent>
      <w:p w:rsidR="005603E2" w:rsidRDefault="00533E99">
        <w:pPr>
          <w:pStyle w:val="a8"/>
          <w:jc w:val="center"/>
        </w:pPr>
        <w:fldSimple w:instr=" PAGE   \* MERGEFORMAT ">
          <w:r w:rsidR="006E2B8E" w:rsidRPr="006E2B8E">
            <w:rPr>
              <w:noProof/>
              <w:lang w:val="zh-CN"/>
            </w:rPr>
            <w:t>2</w:t>
          </w:r>
        </w:fldSimple>
      </w:p>
    </w:sdtContent>
  </w:sdt>
  <w:p w:rsidR="005603E2" w:rsidRDefault="005603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15" w:rsidRDefault="00705015" w:rsidP="005721D8">
      <w:r>
        <w:separator/>
      </w:r>
    </w:p>
  </w:footnote>
  <w:footnote w:type="continuationSeparator" w:id="0">
    <w:p w:rsidR="00705015" w:rsidRDefault="00705015" w:rsidP="005721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618"/>
    <w:rsid w:val="00100618"/>
    <w:rsid w:val="00193138"/>
    <w:rsid w:val="002421AA"/>
    <w:rsid w:val="0025345B"/>
    <w:rsid w:val="002D65A3"/>
    <w:rsid w:val="00362661"/>
    <w:rsid w:val="003B2C33"/>
    <w:rsid w:val="004816B1"/>
    <w:rsid w:val="004E2C63"/>
    <w:rsid w:val="00533E99"/>
    <w:rsid w:val="005545BC"/>
    <w:rsid w:val="0055663D"/>
    <w:rsid w:val="005603E2"/>
    <w:rsid w:val="005721D8"/>
    <w:rsid w:val="005F47A2"/>
    <w:rsid w:val="006440D7"/>
    <w:rsid w:val="006861FD"/>
    <w:rsid w:val="006A55AF"/>
    <w:rsid w:val="006E1995"/>
    <w:rsid w:val="006E2B8E"/>
    <w:rsid w:val="006E460E"/>
    <w:rsid w:val="00705015"/>
    <w:rsid w:val="00764F66"/>
    <w:rsid w:val="008320EC"/>
    <w:rsid w:val="0088565D"/>
    <w:rsid w:val="008F1AA2"/>
    <w:rsid w:val="009D38F0"/>
    <w:rsid w:val="00A47C07"/>
    <w:rsid w:val="00AC3DCF"/>
    <w:rsid w:val="00C929B8"/>
    <w:rsid w:val="00D242B9"/>
    <w:rsid w:val="00DD6893"/>
    <w:rsid w:val="00DE731B"/>
    <w:rsid w:val="00E10B8F"/>
    <w:rsid w:val="00E46022"/>
    <w:rsid w:val="00E52FA5"/>
    <w:rsid w:val="00EB33B7"/>
    <w:rsid w:val="00F42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18"/>
    <w:pPr>
      <w:widowControl w:val="0"/>
      <w:jc w:val="both"/>
    </w:pPr>
    <w:rPr>
      <w:rFonts w:ascii="Times New Roman" w:eastAsia="宋体" w:hAnsi="Times New Roman" w:cs="Times New Roman"/>
      <w:szCs w:val="24"/>
    </w:rPr>
  </w:style>
  <w:style w:type="paragraph" w:styleId="1">
    <w:name w:val="heading 1"/>
    <w:basedOn w:val="a"/>
    <w:next w:val="a"/>
    <w:link w:val="1Char"/>
    <w:qFormat/>
    <w:rsid w:val="0010061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00618"/>
    <w:rPr>
      <w:sz w:val="21"/>
      <w:szCs w:val="21"/>
    </w:rPr>
  </w:style>
  <w:style w:type="paragraph" w:styleId="a4">
    <w:name w:val="annotation text"/>
    <w:basedOn w:val="a"/>
    <w:link w:val="Char"/>
    <w:uiPriority w:val="99"/>
    <w:semiHidden/>
    <w:unhideWhenUsed/>
    <w:rsid w:val="00100618"/>
    <w:pPr>
      <w:jc w:val="left"/>
    </w:pPr>
  </w:style>
  <w:style w:type="character" w:customStyle="1" w:styleId="Char">
    <w:name w:val="批注文字 Char"/>
    <w:basedOn w:val="a0"/>
    <w:link w:val="a4"/>
    <w:uiPriority w:val="99"/>
    <w:semiHidden/>
    <w:rsid w:val="00100618"/>
    <w:rPr>
      <w:rFonts w:ascii="Times New Roman" w:eastAsia="宋体" w:hAnsi="Times New Roman" w:cs="Times New Roman"/>
      <w:szCs w:val="24"/>
    </w:rPr>
  </w:style>
  <w:style w:type="paragraph" w:styleId="a5">
    <w:name w:val="Balloon Text"/>
    <w:basedOn w:val="a"/>
    <w:link w:val="Char0"/>
    <w:uiPriority w:val="99"/>
    <w:semiHidden/>
    <w:unhideWhenUsed/>
    <w:rsid w:val="00100618"/>
    <w:rPr>
      <w:sz w:val="18"/>
      <w:szCs w:val="18"/>
    </w:rPr>
  </w:style>
  <w:style w:type="character" w:customStyle="1" w:styleId="Char0">
    <w:name w:val="批注框文本 Char"/>
    <w:basedOn w:val="a0"/>
    <w:link w:val="a5"/>
    <w:uiPriority w:val="99"/>
    <w:semiHidden/>
    <w:rsid w:val="00100618"/>
    <w:rPr>
      <w:rFonts w:ascii="Times New Roman" w:eastAsia="宋体" w:hAnsi="Times New Roman" w:cs="Times New Roman"/>
      <w:sz w:val="18"/>
      <w:szCs w:val="18"/>
    </w:rPr>
  </w:style>
  <w:style w:type="character" w:customStyle="1" w:styleId="1Char">
    <w:name w:val="标题 1 Char"/>
    <w:basedOn w:val="a0"/>
    <w:link w:val="1"/>
    <w:rsid w:val="00100618"/>
    <w:rPr>
      <w:rFonts w:ascii="Times New Roman" w:eastAsia="宋体" w:hAnsi="Times New Roman" w:cs="Times New Roman"/>
      <w:b/>
      <w:bCs/>
      <w:kern w:val="44"/>
      <w:sz w:val="44"/>
      <w:szCs w:val="44"/>
    </w:rPr>
  </w:style>
  <w:style w:type="paragraph" w:styleId="a6">
    <w:name w:val="Document Map"/>
    <w:basedOn w:val="a"/>
    <w:link w:val="Char1"/>
    <w:uiPriority w:val="99"/>
    <w:semiHidden/>
    <w:unhideWhenUsed/>
    <w:rsid w:val="00100618"/>
    <w:rPr>
      <w:rFonts w:ascii="宋体"/>
      <w:sz w:val="18"/>
      <w:szCs w:val="18"/>
    </w:rPr>
  </w:style>
  <w:style w:type="character" w:customStyle="1" w:styleId="Char1">
    <w:name w:val="文档结构图 Char"/>
    <w:basedOn w:val="a0"/>
    <w:link w:val="a6"/>
    <w:uiPriority w:val="99"/>
    <w:semiHidden/>
    <w:rsid w:val="00100618"/>
    <w:rPr>
      <w:rFonts w:ascii="宋体" w:eastAsia="宋体" w:hAnsi="Times New Roman" w:cs="Times New Roman"/>
      <w:sz w:val="18"/>
      <w:szCs w:val="18"/>
    </w:rPr>
  </w:style>
  <w:style w:type="paragraph" w:styleId="a7">
    <w:name w:val="header"/>
    <w:basedOn w:val="a"/>
    <w:link w:val="Char2"/>
    <w:uiPriority w:val="99"/>
    <w:semiHidden/>
    <w:unhideWhenUsed/>
    <w:rsid w:val="005721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5721D8"/>
    <w:rPr>
      <w:rFonts w:ascii="Times New Roman" w:eastAsia="宋体" w:hAnsi="Times New Roman" w:cs="Times New Roman"/>
      <w:sz w:val="18"/>
      <w:szCs w:val="18"/>
    </w:rPr>
  </w:style>
  <w:style w:type="paragraph" w:styleId="a8">
    <w:name w:val="footer"/>
    <w:basedOn w:val="a"/>
    <w:link w:val="Char3"/>
    <w:uiPriority w:val="99"/>
    <w:unhideWhenUsed/>
    <w:rsid w:val="005721D8"/>
    <w:pPr>
      <w:tabs>
        <w:tab w:val="center" w:pos="4153"/>
        <w:tab w:val="right" w:pos="8306"/>
      </w:tabs>
      <w:snapToGrid w:val="0"/>
      <w:jc w:val="left"/>
    </w:pPr>
    <w:rPr>
      <w:sz w:val="18"/>
      <w:szCs w:val="18"/>
    </w:rPr>
  </w:style>
  <w:style w:type="character" w:customStyle="1" w:styleId="Char3">
    <w:name w:val="页脚 Char"/>
    <w:basedOn w:val="a0"/>
    <w:link w:val="a8"/>
    <w:uiPriority w:val="99"/>
    <w:rsid w:val="005721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27259-7307-46B6-AA57-342A5931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2019-04-09T06:34:00Z</dcterms:created>
  <dcterms:modified xsi:type="dcterms:W3CDTF">2019-07-12T01:29:00Z</dcterms:modified>
</cp:coreProperties>
</file>