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8884AE">
      <w:pPr>
        <w:pStyle w:val="2"/>
        <w:adjustRightInd w:val="0"/>
        <w:snapToGrid w:val="0"/>
        <w:spacing w:line="600" w:lineRule="exact"/>
        <w:rPr>
          <w:rFonts w:ascii="黑体" w:hAnsi="黑体"/>
          <w:szCs w:val="36"/>
        </w:rPr>
      </w:pPr>
      <w:bookmarkStart w:id="0" w:name="_GoBack"/>
      <w:bookmarkEnd w:id="0"/>
      <w:r>
        <w:rPr>
          <w:rFonts w:hint="eastAsia" w:ascii="黑体" w:hAnsi="黑体"/>
          <w:szCs w:val="36"/>
        </w:rPr>
        <w:t>科创板上市公司</w:t>
      </w:r>
      <w:r>
        <w:rPr>
          <w:rFonts w:ascii="黑体" w:hAnsi="黑体"/>
          <w:szCs w:val="36"/>
        </w:rPr>
        <w:t>超额配售选择权实施</w:t>
      </w:r>
    </w:p>
    <w:p w14:paraId="69C09919">
      <w:pPr>
        <w:adjustRightInd w:val="0"/>
        <w:snapToGrid w:val="0"/>
        <w:spacing w:line="600" w:lineRule="exact"/>
        <w:jc w:val="center"/>
        <w:rPr>
          <w:rFonts w:ascii="仿宋_GB2312" w:hAnsi="宋体" w:eastAsia="仿宋_GB2312"/>
          <w:b/>
          <w:bCs/>
          <w:sz w:val="30"/>
          <w:szCs w:val="30"/>
        </w:rPr>
      </w:pPr>
      <w:r>
        <w:rPr>
          <w:rFonts w:hint="eastAsia" w:ascii="仿宋_GB2312" w:hAnsi="宋体" w:eastAsia="仿宋_GB2312" w:cs="宋体"/>
          <w:color w:val="0000FF"/>
          <w:kern w:val="0"/>
          <w:sz w:val="24"/>
          <w:szCs w:val="28"/>
        </w:rPr>
        <w:t>（此公告涉及业务流程及操作，请按相关要求逐项编制公告，勿随意删改）</w:t>
      </w:r>
    </w:p>
    <w:p w14:paraId="75314626">
      <w:pPr>
        <w:snapToGrid w:val="0"/>
        <w:spacing w:line="600" w:lineRule="exact"/>
        <w:ind w:firstLine="422" w:firstLineChars="200"/>
        <w:rPr>
          <w:rFonts w:ascii="宋体" w:hAnsi="宋体"/>
          <w:b/>
        </w:rPr>
      </w:pPr>
    </w:p>
    <w:p w14:paraId="07E4DCEB">
      <w:pPr>
        <w:snapToGrid w:val="0"/>
        <w:spacing w:line="600" w:lineRule="exact"/>
        <w:rPr>
          <w:rFonts w:ascii="仿宋_GB2312" w:hAnsi="宋体" w:eastAsia="仿宋_GB2312"/>
          <w:b/>
          <w:sz w:val="30"/>
          <w:szCs w:val="30"/>
        </w:rPr>
      </w:pPr>
      <w:r>
        <w:rPr>
          <w:rFonts w:hint="eastAsia" w:ascii="仿宋_GB2312" w:hAnsi="宋体" w:eastAsia="仿宋_GB2312"/>
          <w:b/>
          <w:sz w:val="30"/>
          <w:szCs w:val="30"/>
        </w:rPr>
        <w:t>适用情形：</w:t>
      </w:r>
    </w:p>
    <w:p w14:paraId="700C6FB9">
      <w:pPr>
        <w:snapToGrid w:val="0"/>
        <w:spacing w:line="600" w:lineRule="exact"/>
        <w:ind w:firstLine="600" w:firstLineChars="200"/>
        <w:rPr>
          <w:rFonts w:ascii="仿宋_GB2312" w:hAnsi="宋体" w:eastAsia="仿宋_GB2312"/>
          <w:sz w:val="30"/>
          <w:szCs w:val="30"/>
        </w:rPr>
      </w:pPr>
      <w:r>
        <w:rPr>
          <w:rFonts w:hint="eastAsia" w:ascii="仿宋_GB2312" w:hAnsi="宋体" w:eastAsia="仿宋_GB2312"/>
          <w:sz w:val="30"/>
          <w:szCs w:val="30"/>
        </w:rPr>
        <w:t>科创板上市公司实施超额配售选择权的，在超额配售选择权行使期届满或者累计购回股票数量达到采用超额配售选择权发行股票数量限额的2个工作日内，上市公司与获授权的主承销商披露相关信息，适用本</w:t>
      </w:r>
      <w:r>
        <w:rPr>
          <w:rFonts w:hint="eastAsia" w:ascii="仿宋_GB2312" w:hAnsi="宋体" w:eastAsia="仿宋_GB2312"/>
          <w:bCs/>
          <w:sz w:val="30"/>
          <w:szCs w:val="30"/>
        </w:rPr>
        <w:t>业务操作指引</w:t>
      </w:r>
      <w:r>
        <w:rPr>
          <w:rFonts w:hint="eastAsia" w:ascii="仿宋_GB2312" w:hAnsi="宋体" w:eastAsia="仿宋_GB2312"/>
          <w:sz w:val="30"/>
          <w:szCs w:val="30"/>
        </w:rPr>
        <w:t>。</w:t>
      </w:r>
    </w:p>
    <w:p w14:paraId="0B3A8DDA">
      <w:pPr>
        <w:snapToGrid w:val="0"/>
        <w:spacing w:line="600" w:lineRule="exact"/>
        <w:ind w:firstLine="600" w:firstLineChars="200"/>
        <w:rPr>
          <w:rFonts w:ascii="仿宋_GB2312" w:hAnsi="宋体" w:eastAsia="仿宋_GB2312"/>
          <w:color w:val="000000"/>
          <w:sz w:val="30"/>
          <w:szCs w:val="30"/>
        </w:rPr>
      </w:pPr>
    </w:p>
    <w:p w14:paraId="12BFE772">
      <w:pPr>
        <w:adjustRightInd w:val="0"/>
        <w:snapToGrid w:val="0"/>
        <w:spacing w:line="600" w:lineRule="exact"/>
        <w:jc w:val="left"/>
        <w:rPr>
          <w:rFonts w:ascii="仿宋_GB2312" w:hAnsi="宋体" w:eastAsia="仿宋_GB2312"/>
          <w:sz w:val="30"/>
          <w:szCs w:val="30"/>
        </w:rPr>
      </w:pPr>
      <w:r>
        <w:rPr>
          <w:rFonts w:hint="eastAsia" w:ascii="仿宋_GB2312" w:hAnsi="宋体" w:eastAsia="仿宋_GB2312"/>
          <w:sz w:val="30"/>
          <w:szCs w:val="30"/>
        </w:rPr>
        <w:t>证券代码：             证券简称：            公告编号：</w:t>
      </w:r>
    </w:p>
    <w:p w14:paraId="099E5396">
      <w:pPr>
        <w:adjustRightInd w:val="0"/>
        <w:snapToGrid w:val="0"/>
        <w:spacing w:line="600" w:lineRule="exact"/>
        <w:ind w:firstLine="600" w:firstLineChars="200"/>
        <w:jc w:val="left"/>
        <w:rPr>
          <w:rFonts w:ascii="仿宋_GB2312" w:hAnsi="宋体" w:eastAsia="仿宋_GB2312"/>
          <w:sz w:val="30"/>
          <w:szCs w:val="30"/>
        </w:rPr>
      </w:pPr>
    </w:p>
    <w:p w14:paraId="797E0EDE">
      <w:pPr>
        <w:pStyle w:val="14"/>
        <w:spacing w:line="600" w:lineRule="exact"/>
        <w:jc w:val="center"/>
        <w:rPr>
          <w:rFonts w:ascii="仿宋_GB2312" w:hAnsi="宋体" w:eastAsia="仿宋_GB2312"/>
          <w:color w:val="000000"/>
          <w:sz w:val="30"/>
          <w:szCs w:val="30"/>
        </w:rPr>
      </w:pPr>
      <w:r>
        <w:rPr>
          <w:rFonts w:hint="eastAsia" w:ascii="仿宋_GB2312" w:hAnsi="宋体" w:eastAsia="仿宋_GB2312"/>
          <w:color w:val="000000"/>
          <w:sz w:val="30"/>
          <w:szCs w:val="30"/>
        </w:rPr>
        <w:t>XXXX股份有限公司超额配售选择权实施公告</w:t>
      </w:r>
    </w:p>
    <w:p w14:paraId="77E91234">
      <w:pPr>
        <w:pStyle w:val="14"/>
        <w:spacing w:line="600" w:lineRule="exact"/>
        <w:jc w:val="center"/>
        <w:rPr>
          <w:rFonts w:ascii="仿宋_GB2312" w:eastAsia="仿宋_GB2312"/>
          <w:color w:val="000000"/>
          <w:sz w:val="30"/>
          <w:szCs w:val="30"/>
        </w:rPr>
      </w:pP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37B05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Pr>
        <w:tc>
          <w:tcPr>
            <w:tcW w:w="8522" w:type="dxa"/>
            <w:noWrap w:val="0"/>
            <w:vAlign w:val="top"/>
          </w:tcPr>
          <w:p w14:paraId="3A60B2D9">
            <w:pPr>
              <w:snapToGrid w:val="0"/>
              <w:spacing w:line="600" w:lineRule="exact"/>
              <w:ind w:firstLine="600" w:firstLineChars="200"/>
              <w:rPr>
                <w:rFonts w:ascii="仿宋_GB2312" w:hAnsi="宋体" w:eastAsia="仿宋_GB2312"/>
                <w:color w:val="000000"/>
                <w:sz w:val="30"/>
                <w:szCs w:val="30"/>
              </w:rPr>
            </w:pPr>
            <w:r>
              <w:rPr>
                <w:rFonts w:hint="eastAsia" w:ascii="仿宋_GB2312" w:hAnsi="宋体" w:eastAsia="仿宋_GB2312"/>
                <w:color w:val="000000"/>
                <w:sz w:val="30"/>
                <w:szCs w:val="30"/>
              </w:rPr>
              <w:t>本公司董事会及全体董事保证本公告内容不存在任何虚假记载、误导性陈述或者重大遗漏，并对其内容的真实性、准确性和完整性依法承担法律责任。</w:t>
            </w:r>
          </w:p>
          <w:p w14:paraId="2A09AEEA">
            <w:pPr>
              <w:snapToGrid w:val="0"/>
              <w:spacing w:line="600" w:lineRule="exact"/>
              <w:ind w:firstLine="600" w:firstLineChars="200"/>
              <w:rPr>
                <w:rFonts w:ascii="仿宋_GB2312" w:hAnsi="宋体" w:eastAsia="仿宋_GB2312"/>
                <w:color w:val="000000"/>
                <w:sz w:val="30"/>
                <w:szCs w:val="30"/>
              </w:rPr>
            </w:pPr>
            <w:r>
              <w:rPr>
                <w:rFonts w:hint="eastAsia" w:ascii="仿宋_GB2312" w:hAnsi="宋体" w:eastAsia="仿宋_GB2312"/>
                <w:color w:val="000000"/>
                <w:sz w:val="30"/>
                <w:szCs w:val="30"/>
              </w:rPr>
              <w:t>如有董事对临时公告内容的真实性、准确性和完整性无法保证或存在异议的，公司应当在公告中作特别提示。</w:t>
            </w:r>
          </w:p>
        </w:tc>
      </w:tr>
    </w:tbl>
    <w:p w14:paraId="36E29BD3">
      <w:pPr>
        <w:spacing w:line="600" w:lineRule="exact"/>
        <w:ind w:firstLine="602" w:firstLineChars="200"/>
        <w:rPr>
          <w:rFonts w:ascii="仿宋_GB2312" w:hAnsi="宋体" w:eastAsia="仿宋_GB2312"/>
          <w:b/>
          <w:sz w:val="30"/>
          <w:szCs w:val="30"/>
        </w:rPr>
      </w:pPr>
    </w:p>
    <w:p w14:paraId="30427E97">
      <w:pPr>
        <w:spacing w:line="600" w:lineRule="exact"/>
        <w:ind w:firstLine="602" w:firstLineChars="200"/>
        <w:rPr>
          <w:rFonts w:ascii="仿宋_GB2312" w:hAnsi="宋体" w:eastAsia="仿宋_GB2312"/>
          <w:sz w:val="30"/>
          <w:szCs w:val="30"/>
        </w:rPr>
      </w:pPr>
      <w:r>
        <w:rPr>
          <w:rFonts w:hint="eastAsia" w:ascii="仿宋_GB2312" w:hAnsi="宋体" w:eastAsia="仿宋_GB2312"/>
          <w:b/>
          <w:sz w:val="30"/>
          <w:szCs w:val="30"/>
        </w:rPr>
        <w:t>重要内容提示：</w:t>
      </w:r>
    </w:p>
    <w:p w14:paraId="40D9362C">
      <w:pPr>
        <w:numPr>
          <w:ilvl w:val="0"/>
          <w:numId w:val="1"/>
        </w:numPr>
        <w:spacing w:line="600" w:lineRule="exact"/>
        <w:ind w:left="0" w:firstLine="600" w:firstLineChars="200"/>
        <w:rPr>
          <w:rFonts w:ascii="仿宋_GB2312" w:hAnsi="宋体" w:eastAsia="仿宋_GB2312"/>
          <w:sz w:val="30"/>
          <w:szCs w:val="30"/>
        </w:rPr>
      </w:pPr>
      <w:r>
        <w:rPr>
          <w:rFonts w:hint="eastAsia" w:ascii="仿宋_GB2312" w:eastAsia="仿宋_GB2312"/>
          <w:sz w:val="30"/>
          <w:szCs w:val="30"/>
        </w:rPr>
        <w:t>超额配售选择权行使期</w:t>
      </w:r>
    </w:p>
    <w:p w14:paraId="460F8906">
      <w:pPr>
        <w:numPr>
          <w:ilvl w:val="0"/>
          <w:numId w:val="1"/>
        </w:numPr>
        <w:spacing w:line="600" w:lineRule="exact"/>
        <w:ind w:left="0" w:firstLine="600" w:firstLineChars="200"/>
        <w:rPr>
          <w:rFonts w:ascii="仿宋_GB2312" w:hAnsi="宋体" w:eastAsia="仿宋_GB2312"/>
          <w:sz w:val="30"/>
          <w:szCs w:val="30"/>
        </w:rPr>
      </w:pPr>
      <w:r>
        <w:rPr>
          <w:rFonts w:hint="eastAsia" w:ascii="仿宋_GB2312" w:hAnsi="宋体" w:eastAsia="仿宋_GB2312"/>
          <w:sz w:val="30"/>
          <w:szCs w:val="30"/>
        </w:rPr>
        <w:t>超额配售的股票总数</w:t>
      </w:r>
    </w:p>
    <w:p w14:paraId="3B28FD63">
      <w:pPr>
        <w:numPr>
          <w:ilvl w:val="0"/>
          <w:numId w:val="1"/>
        </w:numPr>
        <w:spacing w:line="600" w:lineRule="exact"/>
        <w:ind w:left="0" w:firstLine="600" w:firstLineChars="200"/>
        <w:rPr>
          <w:rFonts w:ascii="仿宋_GB2312" w:hAnsi="宋体" w:eastAsia="仿宋_GB2312"/>
          <w:sz w:val="30"/>
          <w:szCs w:val="30"/>
        </w:rPr>
      </w:pPr>
      <w:r>
        <w:rPr>
          <w:rFonts w:hint="eastAsia" w:ascii="仿宋_GB2312" w:eastAsia="仿宋_GB2312"/>
          <w:sz w:val="30"/>
          <w:szCs w:val="30"/>
        </w:rPr>
        <w:t>超额配售选择权行使</w:t>
      </w:r>
      <w:r>
        <w:rPr>
          <w:rFonts w:hint="eastAsia" w:ascii="仿宋_GB2312" w:hAnsi="宋体" w:eastAsia="仿宋_GB2312"/>
          <w:sz w:val="30"/>
          <w:szCs w:val="30"/>
        </w:rPr>
        <w:t>期内主承销商</w:t>
      </w:r>
      <w:r>
        <w:rPr>
          <w:rFonts w:hint="eastAsia" w:ascii="仿宋_GB2312" w:eastAsia="仿宋_GB2312"/>
          <w:sz w:val="30"/>
          <w:szCs w:val="30"/>
        </w:rPr>
        <w:t>以竞价交易方式购回</w:t>
      </w:r>
      <w:r>
        <w:rPr>
          <w:rFonts w:hint="eastAsia" w:ascii="仿宋_GB2312" w:hAnsi="宋体" w:eastAsia="仿宋_GB2312"/>
          <w:sz w:val="30"/>
          <w:szCs w:val="30"/>
        </w:rPr>
        <w:t>的股票数量</w:t>
      </w:r>
    </w:p>
    <w:p w14:paraId="74F387B6">
      <w:pPr>
        <w:numPr>
          <w:ilvl w:val="0"/>
          <w:numId w:val="1"/>
        </w:numPr>
        <w:spacing w:line="600" w:lineRule="exact"/>
        <w:ind w:left="0" w:firstLine="600" w:firstLineChars="200"/>
        <w:rPr>
          <w:rFonts w:ascii="仿宋_GB2312" w:hAnsi="宋体" w:eastAsia="仿宋_GB2312"/>
          <w:sz w:val="30"/>
          <w:szCs w:val="30"/>
        </w:rPr>
      </w:pPr>
      <w:r>
        <w:rPr>
          <w:rFonts w:hint="eastAsia" w:ascii="仿宋_GB2312" w:hAnsi="宋体" w:eastAsia="仿宋_GB2312"/>
          <w:sz w:val="30"/>
          <w:szCs w:val="30"/>
        </w:rPr>
        <w:t>因行使超额配售选择权而发行的新股数量</w:t>
      </w:r>
    </w:p>
    <w:p w14:paraId="0F48F1C9">
      <w:pPr>
        <w:numPr>
          <w:ilvl w:val="0"/>
          <w:numId w:val="1"/>
        </w:numPr>
        <w:spacing w:line="600" w:lineRule="exact"/>
        <w:ind w:left="0" w:firstLine="600" w:firstLineChars="200"/>
        <w:rPr>
          <w:rFonts w:ascii="仿宋_GB2312" w:hAnsi="宋体" w:eastAsia="仿宋_GB2312"/>
          <w:sz w:val="30"/>
          <w:szCs w:val="30"/>
        </w:rPr>
      </w:pPr>
      <w:r>
        <w:rPr>
          <w:rFonts w:hint="eastAsia" w:ascii="仿宋_GB2312" w:hAnsi="宋体" w:eastAsia="仿宋_GB2312"/>
          <w:sz w:val="30"/>
          <w:szCs w:val="30"/>
        </w:rPr>
        <w:t>行使超额配售选择权的募集资金金额</w:t>
      </w:r>
    </w:p>
    <w:p w14:paraId="266EE2A9">
      <w:pPr>
        <w:spacing w:line="600" w:lineRule="exact"/>
        <w:ind w:firstLine="750" w:firstLineChars="250"/>
        <w:rPr>
          <w:rFonts w:ascii="仿宋_GB2312" w:hAnsi="宋体" w:eastAsia="仿宋_GB2312"/>
          <w:sz w:val="30"/>
          <w:szCs w:val="30"/>
        </w:rPr>
      </w:pPr>
    </w:p>
    <w:p w14:paraId="5633BC1B">
      <w:pPr>
        <w:spacing w:line="600" w:lineRule="exact"/>
        <w:ind w:firstLine="643" w:firstLineChars="200"/>
        <w:rPr>
          <w:rFonts w:ascii="黑体" w:hAnsi="黑体" w:eastAsia="黑体"/>
          <w:b/>
          <w:sz w:val="32"/>
          <w:szCs w:val="32"/>
        </w:rPr>
      </w:pPr>
      <w:r>
        <w:rPr>
          <w:rFonts w:hint="eastAsia" w:ascii="黑体" w:hAnsi="黑体" w:eastAsia="黑体"/>
          <w:b/>
          <w:sz w:val="32"/>
          <w:szCs w:val="32"/>
        </w:rPr>
        <w:t>一、本次超额配售情况</w:t>
      </w:r>
    </w:p>
    <w:p w14:paraId="649221C5">
      <w:pPr>
        <w:spacing w:line="600" w:lineRule="exact"/>
        <w:ind w:firstLine="480"/>
        <w:rPr>
          <w:rFonts w:ascii="仿宋_GB2312" w:hAnsi="宋体" w:eastAsia="仿宋_GB2312"/>
          <w:sz w:val="30"/>
          <w:szCs w:val="30"/>
        </w:rPr>
      </w:pPr>
      <w:r>
        <w:rPr>
          <w:rFonts w:hint="eastAsia" w:ascii="仿宋_GB2312" w:hAnsi="宋体" w:eastAsia="仿宋_GB2312"/>
          <w:sz w:val="30"/>
          <w:szCs w:val="30"/>
        </w:rPr>
        <w:t>披露本次超额配售股票的配售时间、配售数量及占初始发行数量的比例、配售价格、超额配售后本次发行的总配售数量。</w:t>
      </w:r>
    </w:p>
    <w:p w14:paraId="2996C4D1">
      <w:pPr>
        <w:spacing w:line="600" w:lineRule="exact"/>
        <w:ind w:firstLine="480"/>
        <w:rPr>
          <w:rFonts w:ascii="仿宋_GB2312" w:hAnsi="宋体" w:eastAsia="仿宋_GB2312"/>
          <w:sz w:val="30"/>
          <w:szCs w:val="30"/>
        </w:rPr>
      </w:pPr>
    </w:p>
    <w:p w14:paraId="68D88F25">
      <w:pPr>
        <w:spacing w:line="600" w:lineRule="exact"/>
        <w:ind w:firstLine="643" w:firstLineChars="200"/>
        <w:rPr>
          <w:rFonts w:ascii="黑体" w:hAnsi="黑体" w:eastAsia="黑体"/>
          <w:b/>
          <w:sz w:val="32"/>
          <w:szCs w:val="32"/>
        </w:rPr>
      </w:pPr>
      <w:r>
        <w:rPr>
          <w:rFonts w:hint="eastAsia" w:ascii="黑体" w:hAnsi="黑体" w:eastAsia="黑体"/>
          <w:b/>
          <w:sz w:val="32"/>
          <w:szCs w:val="32"/>
        </w:rPr>
        <w:t>二、超额配售选择权行使情况</w:t>
      </w:r>
    </w:p>
    <w:p w14:paraId="16610CC1">
      <w:pPr>
        <w:spacing w:line="600" w:lineRule="exact"/>
        <w:ind w:firstLine="600" w:firstLineChars="200"/>
        <w:rPr>
          <w:rFonts w:ascii="仿宋_GB2312" w:eastAsia="仿宋_GB2312"/>
          <w:sz w:val="30"/>
          <w:szCs w:val="30"/>
        </w:rPr>
      </w:pPr>
      <w:r>
        <w:rPr>
          <w:rFonts w:hint="eastAsia" w:ascii="仿宋_GB2312" w:hAnsi="宋体" w:eastAsia="仿宋_GB2312"/>
          <w:sz w:val="30"/>
          <w:szCs w:val="30"/>
        </w:rPr>
        <w:t>披露</w:t>
      </w:r>
      <w:r>
        <w:rPr>
          <w:rFonts w:hint="eastAsia" w:ascii="仿宋_GB2312" w:eastAsia="仿宋_GB2312"/>
          <w:sz w:val="30"/>
          <w:szCs w:val="30"/>
        </w:rPr>
        <w:t>超额配售选择权行使期届满或者累计购回股票数量达到采用超额配售选择权发行股票数量限额的日期。</w:t>
      </w:r>
    </w:p>
    <w:p w14:paraId="7E5071F0">
      <w:pPr>
        <w:spacing w:line="600" w:lineRule="exact"/>
        <w:ind w:firstLine="600" w:firstLineChars="200"/>
        <w:rPr>
          <w:rFonts w:ascii="仿宋_GB2312" w:eastAsia="仿宋_GB2312"/>
          <w:sz w:val="30"/>
          <w:szCs w:val="30"/>
        </w:rPr>
      </w:pPr>
      <w:r>
        <w:rPr>
          <w:rFonts w:hint="eastAsia" w:ascii="仿宋_GB2312" w:eastAsia="仿宋_GB2312"/>
          <w:sz w:val="30"/>
          <w:szCs w:val="30"/>
        </w:rPr>
        <w:t>因全部或部分行使超额配售选择权而发行股票的，应当披露发行数量与发行价格、</w:t>
      </w:r>
      <w:r>
        <w:rPr>
          <w:rFonts w:hint="eastAsia" w:ascii="仿宋_GB2312" w:hAnsi="宋体" w:eastAsia="仿宋_GB2312"/>
          <w:sz w:val="30"/>
          <w:szCs w:val="30"/>
        </w:rPr>
        <w:t>发行数量占初始发行数量的比例、发行人因行使超额配售选择权的募集资金金额、本次发行的最终募集资金总额，以及扣除发行费用后的募集资金净额。</w:t>
      </w:r>
    </w:p>
    <w:p w14:paraId="1DC8D240">
      <w:pPr>
        <w:spacing w:line="600" w:lineRule="exact"/>
        <w:ind w:firstLine="600" w:firstLineChars="200"/>
        <w:rPr>
          <w:rFonts w:ascii="仿宋_GB2312" w:eastAsia="仿宋_GB2312"/>
          <w:sz w:val="30"/>
          <w:szCs w:val="30"/>
        </w:rPr>
      </w:pPr>
      <w:r>
        <w:rPr>
          <w:rFonts w:hint="eastAsia" w:ascii="仿宋_GB2312" w:eastAsia="仿宋_GB2312"/>
          <w:sz w:val="30"/>
          <w:szCs w:val="30"/>
        </w:rPr>
        <w:t>因未行使或部分行使超额配售选择权而以竞价交易方式购回股票的，应当披露购回股票数量及所支付的总金额、平均价格、最高与最低价格</w:t>
      </w:r>
      <w:r>
        <w:rPr>
          <w:rFonts w:hint="eastAsia" w:ascii="仿宋_GB2312" w:hAnsi="宋体" w:eastAsia="仿宋_GB2312"/>
          <w:sz w:val="30"/>
          <w:szCs w:val="30"/>
        </w:rPr>
        <w:t>。</w:t>
      </w:r>
    </w:p>
    <w:p w14:paraId="0602F82F">
      <w:pPr>
        <w:spacing w:line="600" w:lineRule="exact"/>
        <w:ind w:firstLine="600" w:firstLineChars="200"/>
        <w:rPr>
          <w:rFonts w:ascii="仿宋_GB2312" w:hAnsi="宋体" w:eastAsia="仿宋_GB2312"/>
          <w:sz w:val="30"/>
          <w:szCs w:val="30"/>
        </w:rPr>
      </w:pPr>
    </w:p>
    <w:p w14:paraId="6A2FDACB">
      <w:pPr>
        <w:spacing w:line="600" w:lineRule="exact"/>
        <w:ind w:firstLine="643" w:firstLineChars="200"/>
        <w:rPr>
          <w:rFonts w:ascii="黑体" w:hAnsi="黑体" w:eastAsia="黑体"/>
          <w:b/>
          <w:sz w:val="32"/>
          <w:szCs w:val="32"/>
        </w:rPr>
      </w:pPr>
      <w:r>
        <w:rPr>
          <w:rFonts w:hint="eastAsia" w:ascii="黑体" w:hAnsi="黑体" w:eastAsia="黑体"/>
          <w:b/>
          <w:sz w:val="32"/>
          <w:szCs w:val="32"/>
        </w:rPr>
        <w:t>三、超额配售股票和资金交付情况</w:t>
      </w:r>
    </w:p>
    <w:p w14:paraId="229555CE">
      <w:pPr>
        <w:spacing w:line="600" w:lineRule="exact"/>
        <w:ind w:firstLine="600" w:firstLineChars="200"/>
        <w:rPr>
          <w:rFonts w:ascii="仿宋_GB2312" w:hAnsi="宋体" w:eastAsia="仿宋_GB2312"/>
          <w:sz w:val="30"/>
          <w:szCs w:val="30"/>
        </w:rPr>
      </w:pPr>
      <w:r>
        <w:rPr>
          <w:rFonts w:hint="eastAsia" w:ascii="仿宋_GB2312" w:hAnsi="宋体" w:eastAsia="仿宋_GB2312"/>
          <w:sz w:val="30"/>
          <w:szCs w:val="30"/>
        </w:rPr>
        <w:t>披露延期交付的股票登记于作出延期交付安排的投资者股票账户的时间、锁定期起始时间，并列表披露如下事项。</w:t>
      </w:r>
    </w:p>
    <w:tbl>
      <w:tblPr>
        <w:tblStyle w:val="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0"/>
        <w:gridCol w:w="2190"/>
        <w:gridCol w:w="2071"/>
        <w:gridCol w:w="2071"/>
      </w:tblGrid>
      <w:tr w14:paraId="1A675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jc w:val="center"/>
        </w:trPr>
        <w:tc>
          <w:tcPr>
            <w:tcW w:w="1285" w:type="pct"/>
            <w:noWrap w:val="0"/>
            <w:vAlign w:val="center"/>
          </w:tcPr>
          <w:p w14:paraId="1674F9D1">
            <w:pPr>
              <w:jc w:val="center"/>
              <w:rPr>
                <w:rFonts w:ascii="仿宋_GB2312" w:eastAsia="仿宋_GB2312"/>
                <w:b/>
                <w:sz w:val="24"/>
              </w:rPr>
            </w:pPr>
            <w:r>
              <w:rPr>
                <w:rFonts w:hint="eastAsia" w:ascii="仿宋_GB2312" w:eastAsia="仿宋_GB2312"/>
                <w:b/>
                <w:sz w:val="24"/>
              </w:rPr>
              <w:t>作出延期交付安排的投资者名称</w:t>
            </w:r>
          </w:p>
        </w:tc>
        <w:tc>
          <w:tcPr>
            <w:tcW w:w="1285" w:type="pct"/>
            <w:noWrap w:val="0"/>
            <w:vAlign w:val="center"/>
          </w:tcPr>
          <w:p w14:paraId="4C22EC3D">
            <w:pPr>
              <w:jc w:val="center"/>
              <w:rPr>
                <w:rFonts w:ascii="仿宋_GB2312" w:eastAsia="仿宋_GB2312"/>
                <w:b/>
                <w:sz w:val="24"/>
              </w:rPr>
            </w:pPr>
            <w:r>
              <w:rPr>
                <w:rFonts w:hint="eastAsia" w:ascii="仿宋_GB2312" w:eastAsia="仿宋_GB2312"/>
                <w:b/>
                <w:sz w:val="24"/>
              </w:rPr>
              <w:t>延期交付的股票数量</w:t>
            </w:r>
          </w:p>
        </w:tc>
        <w:tc>
          <w:tcPr>
            <w:tcW w:w="1215" w:type="pct"/>
            <w:noWrap w:val="0"/>
            <w:vAlign w:val="center"/>
          </w:tcPr>
          <w:p w14:paraId="62929003">
            <w:pPr>
              <w:jc w:val="center"/>
              <w:rPr>
                <w:rFonts w:ascii="仿宋_GB2312" w:eastAsia="仿宋_GB2312"/>
                <w:b/>
                <w:sz w:val="24"/>
              </w:rPr>
            </w:pPr>
            <w:r>
              <w:rPr>
                <w:rFonts w:hint="eastAsia" w:ascii="仿宋_GB2312" w:eastAsia="仿宋_GB2312"/>
                <w:b/>
                <w:sz w:val="24"/>
              </w:rPr>
              <w:t>本次发行获配售股票总量</w:t>
            </w:r>
          </w:p>
        </w:tc>
        <w:tc>
          <w:tcPr>
            <w:tcW w:w="1215" w:type="pct"/>
            <w:noWrap w:val="0"/>
            <w:vAlign w:val="center"/>
          </w:tcPr>
          <w:p w14:paraId="628C7A2B">
            <w:pPr>
              <w:jc w:val="center"/>
              <w:rPr>
                <w:rFonts w:ascii="仿宋_GB2312" w:eastAsia="仿宋_GB2312"/>
                <w:b/>
                <w:sz w:val="24"/>
              </w:rPr>
            </w:pPr>
            <w:r>
              <w:rPr>
                <w:rFonts w:hint="eastAsia" w:ascii="仿宋_GB2312" w:eastAsia="仿宋_GB2312"/>
                <w:b/>
                <w:sz w:val="24"/>
              </w:rPr>
              <w:t>锁定期限</w:t>
            </w:r>
          </w:p>
        </w:tc>
      </w:tr>
      <w:tr w14:paraId="30779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jc w:val="center"/>
        </w:trPr>
        <w:tc>
          <w:tcPr>
            <w:tcW w:w="1285" w:type="pct"/>
            <w:noWrap w:val="0"/>
            <w:vAlign w:val="center"/>
          </w:tcPr>
          <w:p w14:paraId="2F82BAF9">
            <w:pPr>
              <w:jc w:val="center"/>
              <w:rPr>
                <w:rFonts w:ascii="仿宋_GB2312" w:eastAsia="仿宋_GB2312"/>
                <w:sz w:val="24"/>
              </w:rPr>
            </w:pPr>
          </w:p>
        </w:tc>
        <w:tc>
          <w:tcPr>
            <w:tcW w:w="1285" w:type="pct"/>
            <w:noWrap w:val="0"/>
            <w:vAlign w:val="center"/>
          </w:tcPr>
          <w:p w14:paraId="3D4795E1">
            <w:pPr>
              <w:jc w:val="center"/>
              <w:rPr>
                <w:rFonts w:ascii="仿宋_GB2312" w:eastAsia="仿宋_GB2312"/>
                <w:sz w:val="24"/>
              </w:rPr>
            </w:pPr>
          </w:p>
        </w:tc>
        <w:tc>
          <w:tcPr>
            <w:tcW w:w="1215" w:type="pct"/>
            <w:noWrap w:val="0"/>
            <w:vAlign w:val="top"/>
          </w:tcPr>
          <w:p w14:paraId="4DCEE509">
            <w:pPr>
              <w:jc w:val="center"/>
              <w:rPr>
                <w:rFonts w:ascii="仿宋_GB2312" w:eastAsia="仿宋_GB2312"/>
                <w:sz w:val="24"/>
              </w:rPr>
            </w:pPr>
          </w:p>
        </w:tc>
        <w:tc>
          <w:tcPr>
            <w:tcW w:w="1215" w:type="pct"/>
            <w:noWrap w:val="0"/>
            <w:vAlign w:val="top"/>
          </w:tcPr>
          <w:p w14:paraId="7E12A1C6">
            <w:pPr>
              <w:jc w:val="center"/>
              <w:rPr>
                <w:rFonts w:ascii="仿宋_GB2312" w:eastAsia="仿宋_GB2312"/>
                <w:sz w:val="24"/>
              </w:rPr>
            </w:pPr>
          </w:p>
        </w:tc>
      </w:tr>
      <w:tr w14:paraId="38761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jc w:val="center"/>
        </w:trPr>
        <w:tc>
          <w:tcPr>
            <w:tcW w:w="1285" w:type="pct"/>
            <w:noWrap w:val="0"/>
            <w:vAlign w:val="center"/>
          </w:tcPr>
          <w:p w14:paraId="0A968E05">
            <w:pPr>
              <w:jc w:val="center"/>
              <w:rPr>
                <w:rFonts w:ascii="仿宋_GB2312" w:eastAsia="仿宋_GB2312"/>
                <w:sz w:val="24"/>
              </w:rPr>
            </w:pPr>
          </w:p>
        </w:tc>
        <w:tc>
          <w:tcPr>
            <w:tcW w:w="1285" w:type="pct"/>
            <w:noWrap w:val="0"/>
            <w:vAlign w:val="center"/>
          </w:tcPr>
          <w:p w14:paraId="1EC26C2B">
            <w:pPr>
              <w:jc w:val="center"/>
              <w:rPr>
                <w:rFonts w:ascii="仿宋_GB2312" w:eastAsia="仿宋_GB2312"/>
                <w:sz w:val="24"/>
              </w:rPr>
            </w:pPr>
          </w:p>
        </w:tc>
        <w:tc>
          <w:tcPr>
            <w:tcW w:w="1215" w:type="pct"/>
            <w:noWrap w:val="0"/>
            <w:vAlign w:val="top"/>
          </w:tcPr>
          <w:p w14:paraId="0AC710AD">
            <w:pPr>
              <w:jc w:val="center"/>
              <w:rPr>
                <w:rFonts w:ascii="仿宋_GB2312" w:eastAsia="仿宋_GB2312"/>
                <w:sz w:val="24"/>
              </w:rPr>
            </w:pPr>
          </w:p>
        </w:tc>
        <w:tc>
          <w:tcPr>
            <w:tcW w:w="1215" w:type="pct"/>
            <w:noWrap w:val="0"/>
            <w:vAlign w:val="top"/>
          </w:tcPr>
          <w:p w14:paraId="2D0C2D5A">
            <w:pPr>
              <w:jc w:val="center"/>
              <w:rPr>
                <w:rFonts w:ascii="仿宋_GB2312" w:eastAsia="仿宋_GB2312"/>
                <w:sz w:val="24"/>
              </w:rPr>
            </w:pPr>
          </w:p>
        </w:tc>
      </w:tr>
      <w:tr w14:paraId="6BFD1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jc w:val="center"/>
        </w:trPr>
        <w:tc>
          <w:tcPr>
            <w:tcW w:w="1285" w:type="pct"/>
            <w:noWrap w:val="0"/>
            <w:vAlign w:val="center"/>
          </w:tcPr>
          <w:p w14:paraId="7E9F2AB2">
            <w:pPr>
              <w:jc w:val="center"/>
              <w:rPr>
                <w:rFonts w:ascii="仿宋_GB2312" w:eastAsia="仿宋_GB2312"/>
                <w:b/>
                <w:sz w:val="24"/>
              </w:rPr>
            </w:pPr>
            <w:r>
              <w:rPr>
                <w:rFonts w:hint="eastAsia" w:ascii="仿宋_GB2312" w:eastAsia="仿宋_GB2312"/>
                <w:b/>
                <w:sz w:val="24"/>
              </w:rPr>
              <w:t>合计</w:t>
            </w:r>
          </w:p>
        </w:tc>
        <w:tc>
          <w:tcPr>
            <w:tcW w:w="1285" w:type="pct"/>
            <w:noWrap w:val="0"/>
            <w:vAlign w:val="center"/>
          </w:tcPr>
          <w:p w14:paraId="4BDB41D4">
            <w:pPr>
              <w:jc w:val="center"/>
              <w:rPr>
                <w:rFonts w:ascii="仿宋_GB2312" w:eastAsia="仿宋_GB2312"/>
                <w:sz w:val="24"/>
              </w:rPr>
            </w:pPr>
          </w:p>
        </w:tc>
        <w:tc>
          <w:tcPr>
            <w:tcW w:w="1215" w:type="pct"/>
            <w:noWrap w:val="0"/>
            <w:vAlign w:val="top"/>
          </w:tcPr>
          <w:p w14:paraId="523CB181">
            <w:pPr>
              <w:jc w:val="center"/>
              <w:rPr>
                <w:rFonts w:ascii="仿宋_GB2312" w:eastAsia="仿宋_GB2312"/>
                <w:sz w:val="24"/>
              </w:rPr>
            </w:pPr>
          </w:p>
        </w:tc>
        <w:tc>
          <w:tcPr>
            <w:tcW w:w="1215" w:type="pct"/>
            <w:noWrap w:val="0"/>
            <w:vAlign w:val="top"/>
          </w:tcPr>
          <w:p w14:paraId="0BAA49CE">
            <w:pPr>
              <w:jc w:val="center"/>
              <w:rPr>
                <w:rFonts w:ascii="仿宋_GB2312" w:eastAsia="仿宋_GB2312"/>
                <w:sz w:val="24"/>
              </w:rPr>
            </w:pPr>
          </w:p>
        </w:tc>
      </w:tr>
    </w:tbl>
    <w:p w14:paraId="7C73DB45">
      <w:pPr>
        <w:spacing w:line="600" w:lineRule="exact"/>
        <w:ind w:firstLine="600" w:firstLineChars="200"/>
        <w:rPr>
          <w:rFonts w:ascii="仿宋_GB2312" w:hAnsi="宋体" w:eastAsia="仿宋_GB2312"/>
          <w:sz w:val="30"/>
          <w:szCs w:val="30"/>
        </w:rPr>
      </w:pPr>
      <w:r>
        <w:rPr>
          <w:rFonts w:hint="eastAsia" w:ascii="仿宋_GB2312" w:hAnsi="宋体" w:eastAsia="仿宋_GB2312"/>
          <w:sz w:val="30"/>
          <w:szCs w:val="30"/>
        </w:rPr>
        <w:t>披露超额配售选择权行使后，本次发行的最终配售数量，战略投资者、网下及网上投资者分别获得的股票数量，及占最终配售数量的比例。</w:t>
      </w:r>
    </w:p>
    <w:p w14:paraId="5FDC704A">
      <w:pPr>
        <w:spacing w:line="600" w:lineRule="exact"/>
        <w:ind w:firstLine="600" w:firstLineChars="200"/>
        <w:rPr>
          <w:rFonts w:ascii="仿宋_GB2312" w:hAnsi="宋体" w:eastAsia="仿宋_GB2312"/>
          <w:sz w:val="30"/>
          <w:szCs w:val="30"/>
        </w:rPr>
      </w:pPr>
      <w:r>
        <w:rPr>
          <w:rFonts w:hint="eastAsia" w:ascii="仿宋_GB2312" w:hAnsi="宋体" w:eastAsia="仿宋_GB2312"/>
          <w:sz w:val="30"/>
          <w:szCs w:val="30"/>
        </w:rPr>
        <w:t>披露超额配售股票募集资金与主承销商从二级市场购回股票使用资金的差额及该部分资金的使用安排，包括：</w:t>
      </w:r>
    </w:p>
    <w:p w14:paraId="2A5677EA">
      <w:pPr>
        <w:spacing w:line="600" w:lineRule="exact"/>
        <w:ind w:firstLine="600" w:firstLineChars="200"/>
        <w:rPr>
          <w:rFonts w:ascii="仿宋_GB2312" w:hAnsi="宋体" w:eastAsia="仿宋_GB2312"/>
          <w:sz w:val="30"/>
          <w:szCs w:val="30"/>
        </w:rPr>
      </w:pPr>
      <w:r>
        <w:rPr>
          <w:rFonts w:hint="eastAsia" w:ascii="仿宋_GB2312" w:hAnsi="宋体" w:eastAsia="仿宋_GB2312"/>
          <w:sz w:val="30"/>
          <w:szCs w:val="30"/>
        </w:rPr>
        <w:t>1.增发股票募集资金划转给发行人的金额；</w:t>
      </w:r>
    </w:p>
    <w:p w14:paraId="1242C752">
      <w:pPr>
        <w:spacing w:line="600" w:lineRule="exact"/>
        <w:ind w:firstLine="600" w:firstLineChars="200"/>
        <w:rPr>
          <w:rFonts w:ascii="仿宋_GB2312" w:hAnsi="宋体" w:eastAsia="仿宋_GB2312"/>
          <w:sz w:val="30"/>
          <w:szCs w:val="30"/>
        </w:rPr>
      </w:pPr>
      <w:r>
        <w:rPr>
          <w:rFonts w:hint="eastAsia" w:ascii="仿宋_GB2312" w:hAnsi="宋体" w:eastAsia="仿宋_GB2312"/>
          <w:sz w:val="30"/>
          <w:szCs w:val="30"/>
        </w:rPr>
        <w:t>2.划转给中国证券投资者保护基金有限责任公司的金额。</w:t>
      </w:r>
    </w:p>
    <w:p w14:paraId="2A1615C6">
      <w:pPr>
        <w:spacing w:line="600" w:lineRule="exact"/>
        <w:ind w:firstLine="600" w:firstLineChars="200"/>
        <w:rPr>
          <w:rFonts w:ascii="仿宋_GB2312" w:hAnsi="宋体" w:eastAsia="仿宋_GB2312"/>
          <w:sz w:val="30"/>
          <w:szCs w:val="30"/>
        </w:rPr>
      </w:pPr>
    </w:p>
    <w:p w14:paraId="205BAFD8">
      <w:pPr>
        <w:spacing w:line="600" w:lineRule="exact"/>
        <w:ind w:firstLine="643" w:firstLineChars="200"/>
        <w:rPr>
          <w:rFonts w:ascii="黑体" w:hAnsi="黑体" w:eastAsia="黑体"/>
          <w:b/>
          <w:sz w:val="32"/>
          <w:szCs w:val="32"/>
        </w:rPr>
      </w:pPr>
      <w:r>
        <w:rPr>
          <w:rFonts w:hint="eastAsia" w:ascii="黑体" w:hAnsi="黑体" w:eastAsia="黑体"/>
          <w:b/>
          <w:sz w:val="32"/>
          <w:szCs w:val="32"/>
        </w:rPr>
        <w:t>四、超额配售选择权行使前后发行人股份变动情况</w:t>
      </w:r>
    </w:p>
    <w:p w14:paraId="23C4869E">
      <w:pPr>
        <w:spacing w:line="600" w:lineRule="exact"/>
        <w:ind w:firstLine="600" w:firstLineChars="200"/>
        <w:rPr>
          <w:rFonts w:ascii="仿宋_GB2312" w:hAnsi="宋体" w:eastAsia="仿宋_GB2312"/>
          <w:sz w:val="30"/>
          <w:szCs w:val="30"/>
        </w:rPr>
      </w:pPr>
      <w:r>
        <w:rPr>
          <w:rFonts w:hint="eastAsia" w:ascii="仿宋_GB2312" w:hAnsi="宋体" w:eastAsia="仿宋_GB2312"/>
          <w:sz w:val="30"/>
          <w:szCs w:val="30"/>
        </w:rPr>
        <w:t>披露超额配售选择权行使前后发行人股份变动情况。</w:t>
      </w:r>
    </w:p>
    <w:tbl>
      <w:tblPr>
        <w:tblStyle w:val="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19"/>
        <w:gridCol w:w="2603"/>
      </w:tblGrid>
      <w:tr w14:paraId="20F06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54" w:hRule="atLeast"/>
          <w:jc w:val="center"/>
        </w:trPr>
        <w:tc>
          <w:tcPr>
            <w:tcW w:w="3473" w:type="pct"/>
            <w:noWrap w:val="0"/>
            <w:vAlign w:val="center"/>
          </w:tcPr>
          <w:p w14:paraId="21AEAAAF">
            <w:pPr>
              <w:rPr>
                <w:rFonts w:ascii="仿宋_GB2312" w:hAnsi="宋体" w:eastAsia="仿宋_GB2312" w:cs="宋体"/>
                <w:b/>
                <w:color w:val="222222"/>
                <w:kern w:val="0"/>
                <w:sz w:val="24"/>
                <w:szCs w:val="21"/>
              </w:rPr>
            </w:pPr>
            <w:r>
              <w:rPr>
                <w:rFonts w:hint="eastAsia" w:ascii="仿宋_GB2312" w:hAnsi="宋体" w:eastAsia="仿宋_GB2312" w:cs="宋体"/>
                <w:b/>
                <w:color w:val="222222"/>
                <w:kern w:val="0"/>
                <w:sz w:val="24"/>
                <w:szCs w:val="21"/>
              </w:rPr>
              <w:t>超额配售选择权股份来源</w:t>
            </w:r>
          </w:p>
          <w:p w14:paraId="0E7BE6A4">
            <w:pPr>
              <w:rPr>
                <w:rFonts w:ascii="仿宋_GB2312" w:eastAsia="仿宋_GB2312"/>
                <w:b/>
                <w:sz w:val="24"/>
              </w:rPr>
            </w:pPr>
            <w:r>
              <w:rPr>
                <w:rFonts w:hint="eastAsia" w:ascii="仿宋_GB2312" w:hAnsi="宋体" w:eastAsia="仿宋_GB2312" w:cs="宋体"/>
                <w:b/>
                <w:color w:val="222222"/>
                <w:kern w:val="0"/>
                <w:sz w:val="24"/>
                <w:szCs w:val="21"/>
              </w:rPr>
              <w:t>（增发及/或以竞价交易方式购回）：</w:t>
            </w:r>
          </w:p>
        </w:tc>
        <w:tc>
          <w:tcPr>
            <w:tcW w:w="1527" w:type="pct"/>
            <w:noWrap w:val="0"/>
            <w:vAlign w:val="center"/>
          </w:tcPr>
          <w:p w14:paraId="65C5C51C">
            <w:pPr>
              <w:rPr>
                <w:rFonts w:ascii="仿宋_GB2312" w:eastAsia="仿宋_GB2312"/>
                <w:b/>
                <w:sz w:val="24"/>
              </w:rPr>
            </w:pPr>
          </w:p>
        </w:tc>
      </w:tr>
      <w:tr w14:paraId="4C7F1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54" w:hRule="atLeast"/>
          <w:jc w:val="center"/>
        </w:trPr>
        <w:tc>
          <w:tcPr>
            <w:tcW w:w="3473" w:type="pct"/>
            <w:noWrap w:val="0"/>
            <w:vAlign w:val="center"/>
          </w:tcPr>
          <w:p w14:paraId="17D09F6B">
            <w:pPr>
              <w:rPr>
                <w:rFonts w:hint="eastAsia" w:ascii="仿宋_GB2312" w:hAnsi="宋体" w:eastAsia="仿宋_GB2312" w:cs="宋体"/>
                <w:b/>
                <w:color w:val="222222"/>
                <w:kern w:val="0"/>
                <w:sz w:val="24"/>
                <w:szCs w:val="21"/>
              </w:rPr>
            </w:pPr>
            <w:r>
              <w:rPr>
                <w:rFonts w:hint="eastAsia" w:ascii="仿宋_GB2312" w:hAnsi="宋体" w:eastAsia="仿宋_GB2312" w:cs="宋体"/>
                <w:color w:val="222222"/>
                <w:kern w:val="0"/>
                <w:sz w:val="24"/>
                <w:szCs w:val="21"/>
              </w:rPr>
              <w:t>超额配售选择权专门账户：</w:t>
            </w:r>
          </w:p>
        </w:tc>
        <w:tc>
          <w:tcPr>
            <w:tcW w:w="1527" w:type="pct"/>
            <w:noWrap w:val="0"/>
            <w:vAlign w:val="center"/>
          </w:tcPr>
          <w:p w14:paraId="4BE7CBDD">
            <w:pPr>
              <w:rPr>
                <w:rFonts w:ascii="仿宋_GB2312" w:eastAsia="仿宋_GB2312"/>
                <w:b/>
                <w:sz w:val="24"/>
              </w:rPr>
            </w:pPr>
          </w:p>
        </w:tc>
      </w:tr>
      <w:tr w14:paraId="490A5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54" w:hRule="atLeast"/>
          <w:jc w:val="center"/>
        </w:trPr>
        <w:tc>
          <w:tcPr>
            <w:tcW w:w="3473" w:type="pct"/>
            <w:noWrap w:val="0"/>
            <w:vAlign w:val="center"/>
          </w:tcPr>
          <w:p w14:paraId="37CE7CB7">
            <w:pPr>
              <w:widowControl/>
              <w:rPr>
                <w:rFonts w:ascii="仿宋_GB2312" w:hAnsi="宋体" w:eastAsia="仿宋_GB2312" w:cs="宋体"/>
                <w:b/>
                <w:color w:val="222222"/>
                <w:kern w:val="0"/>
                <w:sz w:val="24"/>
                <w:szCs w:val="21"/>
              </w:rPr>
            </w:pPr>
            <w:r>
              <w:rPr>
                <w:rFonts w:hint="eastAsia" w:ascii="仿宋_GB2312" w:hAnsi="宋体" w:eastAsia="仿宋_GB2312" w:cs="宋体"/>
                <w:b/>
                <w:color w:val="222222"/>
                <w:kern w:val="0"/>
                <w:sz w:val="24"/>
                <w:szCs w:val="21"/>
              </w:rPr>
              <w:t>一、增发股份行使超额配售选择权</w:t>
            </w:r>
          </w:p>
        </w:tc>
        <w:tc>
          <w:tcPr>
            <w:tcW w:w="1527" w:type="pct"/>
            <w:noWrap w:val="0"/>
            <w:vAlign w:val="center"/>
          </w:tcPr>
          <w:p w14:paraId="45401F8E">
            <w:pPr>
              <w:rPr>
                <w:rFonts w:ascii="仿宋_GB2312" w:eastAsia="仿宋_GB2312"/>
                <w:b/>
                <w:sz w:val="24"/>
              </w:rPr>
            </w:pPr>
          </w:p>
        </w:tc>
      </w:tr>
      <w:tr w14:paraId="5139C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54" w:hRule="atLeast"/>
          <w:jc w:val="center"/>
        </w:trPr>
        <w:tc>
          <w:tcPr>
            <w:tcW w:w="3473" w:type="pct"/>
            <w:noWrap w:val="0"/>
            <w:vAlign w:val="center"/>
          </w:tcPr>
          <w:p w14:paraId="672E6367">
            <w:pPr>
              <w:ind w:firstLine="480" w:firstLineChars="200"/>
              <w:rPr>
                <w:rFonts w:ascii="仿宋_GB2312" w:eastAsia="仿宋_GB2312"/>
                <w:sz w:val="24"/>
              </w:rPr>
            </w:pPr>
            <w:r>
              <w:rPr>
                <w:rFonts w:hint="eastAsia" w:ascii="仿宋_GB2312" w:hAnsi="宋体" w:eastAsia="仿宋_GB2312" w:cs="宋体"/>
                <w:color w:val="222222"/>
                <w:kern w:val="0"/>
                <w:sz w:val="24"/>
                <w:szCs w:val="21"/>
              </w:rPr>
              <w:t>增发股份总量（股）：</w:t>
            </w:r>
          </w:p>
        </w:tc>
        <w:tc>
          <w:tcPr>
            <w:tcW w:w="1527" w:type="pct"/>
            <w:noWrap w:val="0"/>
            <w:vAlign w:val="center"/>
          </w:tcPr>
          <w:p w14:paraId="1547E792">
            <w:pPr>
              <w:rPr>
                <w:rFonts w:ascii="仿宋_GB2312" w:eastAsia="仿宋_GB2312"/>
                <w:sz w:val="24"/>
              </w:rPr>
            </w:pPr>
          </w:p>
        </w:tc>
      </w:tr>
      <w:tr w14:paraId="0C0C7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54" w:hRule="atLeast"/>
          <w:jc w:val="center"/>
        </w:trPr>
        <w:tc>
          <w:tcPr>
            <w:tcW w:w="3473" w:type="pct"/>
            <w:noWrap w:val="0"/>
            <w:vAlign w:val="center"/>
          </w:tcPr>
          <w:p w14:paraId="21A09D11">
            <w:pPr>
              <w:widowControl/>
              <w:rPr>
                <w:rFonts w:ascii="仿宋_GB2312" w:hAnsi="宋体" w:eastAsia="仿宋_GB2312" w:cs="宋体"/>
                <w:b/>
                <w:color w:val="222222"/>
                <w:kern w:val="0"/>
                <w:sz w:val="24"/>
                <w:szCs w:val="21"/>
              </w:rPr>
            </w:pPr>
            <w:r>
              <w:rPr>
                <w:rFonts w:hint="eastAsia" w:ascii="仿宋_GB2312" w:hAnsi="宋体" w:eastAsia="仿宋_GB2312" w:cs="宋体"/>
                <w:b/>
                <w:color w:val="222222"/>
                <w:kern w:val="0"/>
                <w:sz w:val="24"/>
                <w:szCs w:val="21"/>
              </w:rPr>
              <w:t>二、以竞价交易方式购回股份行使超额配售选择权</w:t>
            </w:r>
          </w:p>
        </w:tc>
        <w:tc>
          <w:tcPr>
            <w:tcW w:w="1527" w:type="pct"/>
            <w:noWrap w:val="0"/>
            <w:vAlign w:val="center"/>
          </w:tcPr>
          <w:p w14:paraId="0F3A9BC0">
            <w:pPr>
              <w:rPr>
                <w:rFonts w:ascii="仿宋_GB2312" w:eastAsia="仿宋_GB2312"/>
                <w:b/>
                <w:sz w:val="24"/>
              </w:rPr>
            </w:pPr>
          </w:p>
        </w:tc>
      </w:tr>
      <w:tr w14:paraId="708E7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54" w:hRule="atLeast"/>
          <w:jc w:val="center"/>
        </w:trPr>
        <w:tc>
          <w:tcPr>
            <w:tcW w:w="3473" w:type="pct"/>
            <w:noWrap w:val="0"/>
            <w:vAlign w:val="center"/>
          </w:tcPr>
          <w:p w14:paraId="607CFA99">
            <w:pPr>
              <w:ind w:firstLine="480" w:firstLineChars="200"/>
              <w:rPr>
                <w:rFonts w:ascii="仿宋_GB2312" w:eastAsia="仿宋_GB2312"/>
                <w:sz w:val="24"/>
              </w:rPr>
            </w:pPr>
            <w:r>
              <w:rPr>
                <w:rFonts w:hint="eastAsia" w:ascii="仿宋_GB2312" w:hAnsi="宋体" w:eastAsia="仿宋_GB2312" w:cs="宋体"/>
                <w:color w:val="222222"/>
                <w:kern w:val="0"/>
                <w:sz w:val="24"/>
                <w:szCs w:val="21"/>
              </w:rPr>
              <w:t>拟变更类别的股份总量（股）：</w:t>
            </w:r>
          </w:p>
        </w:tc>
        <w:tc>
          <w:tcPr>
            <w:tcW w:w="1527" w:type="pct"/>
            <w:noWrap w:val="0"/>
            <w:vAlign w:val="center"/>
          </w:tcPr>
          <w:p w14:paraId="556EBF1D">
            <w:pPr>
              <w:rPr>
                <w:rFonts w:ascii="仿宋_GB2312" w:eastAsia="仿宋_GB2312"/>
                <w:sz w:val="24"/>
              </w:rPr>
            </w:pPr>
          </w:p>
        </w:tc>
      </w:tr>
    </w:tbl>
    <w:p w14:paraId="32DC88D2">
      <w:pPr>
        <w:spacing w:line="600" w:lineRule="exact"/>
        <w:ind w:firstLine="560" w:firstLineChars="200"/>
        <w:rPr>
          <w:rFonts w:ascii="仿宋_GB2312" w:hAnsi="宋体" w:eastAsia="仿宋_GB2312"/>
          <w:sz w:val="28"/>
          <w:szCs w:val="30"/>
        </w:rPr>
      </w:pPr>
    </w:p>
    <w:p w14:paraId="3BFA57A1">
      <w:pPr>
        <w:spacing w:line="600" w:lineRule="exact"/>
        <w:ind w:firstLine="643" w:firstLineChars="200"/>
        <w:rPr>
          <w:rFonts w:ascii="黑体" w:hAnsi="黑体" w:eastAsia="黑体"/>
          <w:b/>
          <w:sz w:val="32"/>
          <w:szCs w:val="32"/>
        </w:rPr>
      </w:pPr>
      <w:r>
        <w:rPr>
          <w:rFonts w:hint="eastAsia" w:ascii="黑体" w:hAnsi="黑体" w:eastAsia="黑体"/>
          <w:b/>
          <w:sz w:val="32"/>
          <w:szCs w:val="32"/>
        </w:rPr>
        <w:t>五、本次行使超额配售选择权对应的募集资金用途（如适用）</w:t>
      </w:r>
    </w:p>
    <w:p w14:paraId="0D1D47E9">
      <w:pPr>
        <w:spacing w:line="600" w:lineRule="exact"/>
        <w:ind w:firstLine="600" w:firstLineChars="200"/>
        <w:rPr>
          <w:rFonts w:ascii="仿宋_GB2312" w:hAnsi="宋体" w:eastAsia="仿宋_GB2312"/>
          <w:sz w:val="30"/>
          <w:szCs w:val="30"/>
        </w:rPr>
      </w:pPr>
      <w:r>
        <w:rPr>
          <w:rFonts w:hint="eastAsia" w:ascii="仿宋_GB2312" w:hAnsi="宋体" w:eastAsia="仿宋_GB2312"/>
          <w:sz w:val="30"/>
          <w:szCs w:val="30"/>
        </w:rPr>
        <w:t>披露本次超额发行股票对应的募集资金用途。</w:t>
      </w:r>
    </w:p>
    <w:p w14:paraId="7C29A9D9">
      <w:pPr>
        <w:spacing w:line="600" w:lineRule="exact"/>
        <w:ind w:firstLine="600" w:firstLineChars="200"/>
        <w:rPr>
          <w:rFonts w:ascii="仿宋_GB2312" w:hAnsi="宋体" w:eastAsia="仿宋_GB2312"/>
          <w:sz w:val="30"/>
          <w:szCs w:val="30"/>
        </w:rPr>
      </w:pPr>
    </w:p>
    <w:p w14:paraId="61575B67">
      <w:pPr>
        <w:spacing w:line="600" w:lineRule="exact"/>
        <w:ind w:firstLine="643" w:firstLineChars="200"/>
        <w:rPr>
          <w:rFonts w:ascii="仿宋_GB2312" w:hAnsi="宋体" w:eastAsia="仿宋_GB2312"/>
          <w:sz w:val="30"/>
          <w:szCs w:val="30"/>
        </w:rPr>
      </w:pPr>
      <w:r>
        <w:rPr>
          <w:rFonts w:hint="eastAsia" w:ascii="黑体" w:hAnsi="黑体" w:eastAsia="黑体"/>
          <w:b/>
          <w:sz w:val="32"/>
          <w:szCs w:val="32"/>
        </w:rPr>
        <w:t>六、对本次超额配售选择权实施的意见</w:t>
      </w:r>
    </w:p>
    <w:p w14:paraId="2461179C">
      <w:pPr>
        <w:adjustRightInd w:val="0"/>
        <w:snapToGrid w:val="0"/>
        <w:spacing w:line="600" w:lineRule="exact"/>
        <w:ind w:firstLine="600" w:firstLineChars="200"/>
        <w:rPr>
          <w:rFonts w:ascii="仿宋_GB2312" w:hAnsi="宋体" w:eastAsia="仿宋_GB2312"/>
          <w:sz w:val="30"/>
          <w:szCs w:val="30"/>
        </w:rPr>
      </w:pPr>
      <w:r>
        <w:rPr>
          <w:rFonts w:hint="eastAsia" w:ascii="仿宋_GB2312" w:eastAsia="仿宋_GB2312"/>
          <w:sz w:val="30"/>
          <w:szCs w:val="30"/>
        </w:rPr>
        <w:t>董事会关于超额配售选择权实施情况是否合法、合规，是否符合所披露的有关超额配售选择权的实施方案要求，是否实现预期达到的效果的说明。</w:t>
      </w:r>
    </w:p>
    <w:p w14:paraId="47D08BA3">
      <w:pPr>
        <w:adjustRightInd w:val="0"/>
        <w:snapToGrid w:val="0"/>
        <w:spacing w:line="600" w:lineRule="exact"/>
        <w:ind w:firstLine="600" w:firstLineChars="200"/>
        <w:rPr>
          <w:rFonts w:ascii="仿宋_GB2312" w:hAnsi="宋体" w:eastAsia="仿宋_GB2312"/>
          <w:sz w:val="30"/>
          <w:szCs w:val="30"/>
        </w:rPr>
      </w:pPr>
      <w:r>
        <w:rPr>
          <w:rFonts w:hint="eastAsia" w:ascii="仿宋_GB2312" w:hAnsi="宋体" w:eastAsia="仿宋_GB2312"/>
          <w:sz w:val="30"/>
          <w:szCs w:val="30"/>
        </w:rPr>
        <w:t>主承销商、律师对本次发行的结论性意见。</w:t>
      </w:r>
    </w:p>
    <w:p w14:paraId="5EE1F61D">
      <w:pPr>
        <w:adjustRightInd w:val="0"/>
        <w:snapToGrid w:val="0"/>
        <w:spacing w:line="600" w:lineRule="exact"/>
        <w:ind w:firstLine="600" w:firstLineChars="200"/>
        <w:rPr>
          <w:rFonts w:ascii="仿宋_GB2312" w:hAnsi="宋体" w:eastAsia="仿宋_GB2312"/>
          <w:sz w:val="30"/>
          <w:szCs w:val="30"/>
        </w:rPr>
      </w:pPr>
    </w:p>
    <w:p w14:paraId="13CE97E0">
      <w:pPr>
        <w:spacing w:line="600" w:lineRule="exact"/>
        <w:ind w:firstLine="643" w:firstLineChars="200"/>
        <w:rPr>
          <w:rFonts w:ascii="黑体" w:hAnsi="黑体" w:eastAsia="黑体" w:cs="宋体"/>
          <w:b/>
          <w:color w:val="000000"/>
          <w:kern w:val="0"/>
          <w:sz w:val="32"/>
          <w:szCs w:val="32"/>
        </w:rPr>
      </w:pPr>
      <w:r>
        <w:rPr>
          <w:rFonts w:hint="eastAsia" w:ascii="黑体" w:hAnsi="黑体" w:eastAsia="黑体" w:cs="宋体"/>
          <w:b/>
          <w:color w:val="000000"/>
          <w:kern w:val="0"/>
          <w:sz w:val="32"/>
          <w:szCs w:val="32"/>
        </w:rPr>
        <w:t>七、上网公告附件</w:t>
      </w:r>
    </w:p>
    <w:p w14:paraId="1BAA0982">
      <w:pPr>
        <w:widowControl/>
        <w:spacing w:line="600" w:lineRule="exact"/>
        <w:ind w:firstLine="600" w:firstLineChars="200"/>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中介机构核查意见。</w:t>
      </w:r>
    </w:p>
    <w:p w14:paraId="5EB4F74D">
      <w:pPr>
        <w:widowControl/>
        <w:spacing w:line="600" w:lineRule="exact"/>
        <w:ind w:firstLine="600" w:firstLineChars="200"/>
        <w:rPr>
          <w:rFonts w:ascii="仿宋_GB2312" w:hAnsi="宋体" w:eastAsia="仿宋_GB2312" w:cs="宋体"/>
          <w:color w:val="000000"/>
          <w:kern w:val="0"/>
          <w:sz w:val="30"/>
          <w:szCs w:val="30"/>
        </w:rPr>
      </w:pPr>
    </w:p>
    <w:p w14:paraId="5A37AC27">
      <w:pPr>
        <w:spacing w:line="600" w:lineRule="exact"/>
        <w:ind w:firstLine="600" w:firstLineChars="200"/>
        <w:rPr>
          <w:rFonts w:ascii="仿宋_GB2312" w:hAnsi="宋体" w:eastAsia="仿宋_GB2312"/>
          <w:sz w:val="30"/>
          <w:szCs w:val="30"/>
        </w:rPr>
      </w:pPr>
      <w:r>
        <w:rPr>
          <w:rFonts w:hint="eastAsia" w:ascii="仿宋_GB2312" w:hAnsi="宋体" w:eastAsia="仿宋_GB2312"/>
          <w:sz w:val="30"/>
          <w:szCs w:val="30"/>
        </w:rPr>
        <w:t>特此公告。</w:t>
      </w:r>
    </w:p>
    <w:p w14:paraId="07E5B6DC">
      <w:pPr>
        <w:spacing w:line="600" w:lineRule="exact"/>
        <w:ind w:firstLine="600" w:firstLineChars="200"/>
        <w:jc w:val="right"/>
        <w:rPr>
          <w:rFonts w:ascii="仿宋_GB2312" w:hAnsi="宋体" w:eastAsia="仿宋_GB2312"/>
          <w:sz w:val="30"/>
          <w:szCs w:val="30"/>
        </w:rPr>
      </w:pPr>
    </w:p>
    <w:p w14:paraId="69C91B98">
      <w:pPr>
        <w:spacing w:line="600" w:lineRule="exact"/>
        <w:ind w:firstLine="600" w:firstLineChars="200"/>
        <w:jc w:val="right"/>
        <w:rPr>
          <w:rFonts w:ascii="仿宋_GB2312" w:hAnsi="宋体" w:eastAsia="仿宋_GB2312"/>
          <w:sz w:val="30"/>
          <w:szCs w:val="30"/>
        </w:rPr>
      </w:pPr>
      <w:r>
        <w:rPr>
          <w:rFonts w:hint="eastAsia" w:ascii="仿宋_GB2312" w:hAnsi="宋体" w:eastAsia="仿宋_GB2312"/>
          <w:sz w:val="30"/>
          <w:szCs w:val="30"/>
        </w:rPr>
        <w:t>发行人：XXXX股份有限公司</w:t>
      </w:r>
    </w:p>
    <w:p w14:paraId="0C9294BA">
      <w:pPr>
        <w:spacing w:line="600" w:lineRule="exact"/>
        <w:ind w:firstLine="600" w:firstLineChars="200"/>
        <w:jc w:val="right"/>
        <w:rPr>
          <w:rFonts w:ascii="仿宋_GB2312" w:hAnsi="宋体" w:eastAsia="仿宋_GB2312"/>
          <w:sz w:val="30"/>
          <w:szCs w:val="30"/>
        </w:rPr>
      </w:pPr>
      <w:r>
        <w:rPr>
          <w:rFonts w:hint="eastAsia" w:ascii="仿宋_GB2312" w:eastAsia="仿宋_GB2312"/>
          <w:sz w:val="30"/>
          <w:szCs w:val="30"/>
        </w:rPr>
        <w:t>获授权的</w:t>
      </w:r>
      <w:r>
        <w:rPr>
          <w:rFonts w:hint="eastAsia" w:ascii="仿宋_GB2312" w:hAnsi="宋体" w:eastAsia="仿宋_GB2312"/>
          <w:sz w:val="30"/>
          <w:szCs w:val="30"/>
        </w:rPr>
        <w:t>主承销商：XXXX公司</w:t>
      </w:r>
    </w:p>
    <w:p w14:paraId="267F1A5A">
      <w:pPr>
        <w:adjustRightInd w:val="0"/>
        <w:snapToGrid w:val="0"/>
        <w:spacing w:line="600" w:lineRule="exact"/>
        <w:ind w:firstLine="600" w:firstLineChars="200"/>
        <w:jc w:val="right"/>
        <w:rPr>
          <w:rFonts w:ascii="仿宋_GB2312" w:hAnsi="宋体" w:eastAsia="仿宋_GB2312"/>
          <w:color w:val="000000"/>
          <w:sz w:val="30"/>
          <w:szCs w:val="30"/>
        </w:rPr>
      </w:pPr>
      <w:r>
        <w:rPr>
          <w:rFonts w:hint="eastAsia" w:ascii="仿宋_GB2312" w:hAnsi="宋体" w:eastAsia="仿宋_GB2312"/>
          <w:color w:val="000000"/>
          <w:sz w:val="30"/>
          <w:szCs w:val="30"/>
        </w:rPr>
        <w:t>年  月  日</w:t>
      </w:r>
    </w:p>
    <w:p w14:paraId="69B4BAF0">
      <w:pPr>
        <w:widowControl/>
        <w:spacing w:line="600" w:lineRule="exact"/>
        <w:jc w:val="left"/>
        <w:rPr>
          <w:rFonts w:ascii="黑体" w:hAnsi="黑体" w:eastAsia="黑体"/>
          <w:b/>
          <w:bCs/>
          <w:kern w:val="44"/>
          <w:sz w:val="36"/>
          <w:szCs w:val="30"/>
        </w:rPr>
      </w:pPr>
    </w:p>
    <w:p w14:paraId="4D651D15">
      <w:pPr>
        <w:pStyle w:val="13"/>
        <w:widowControl w:val="0"/>
        <w:numPr>
          <w:ilvl w:val="0"/>
          <w:numId w:val="2"/>
        </w:numPr>
        <w:spacing w:before="0" w:beforeAutospacing="0" w:after="0" w:afterAutospacing="0" w:line="600" w:lineRule="exact"/>
        <w:ind w:left="0" w:firstLine="602" w:firstLineChars="200"/>
        <w:jc w:val="both"/>
        <w:rPr>
          <w:rFonts w:ascii="仿宋_GB2312" w:eastAsia="仿宋_GB2312"/>
          <w:b/>
          <w:color w:val="000000"/>
          <w:sz w:val="30"/>
          <w:szCs w:val="30"/>
        </w:rPr>
      </w:pPr>
      <w:r>
        <w:rPr>
          <w:rFonts w:hint="eastAsia" w:ascii="仿宋_GB2312" w:eastAsia="仿宋_GB2312"/>
          <w:b/>
          <w:color w:val="000000"/>
          <w:sz w:val="30"/>
          <w:szCs w:val="30"/>
        </w:rPr>
        <w:t>报备文件</w:t>
      </w:r>
    </w:p>
    <w:p w14:paraId="5F03F679">
      <w:pPr>
        <w:autoSpaceDE w:val="0"/>
        <w:autoSpaceDN w:val="0"/>
        <w:adjustRightInd w:val="0"/>
        <w:snapToGrid w:val="0"/>
        <w:spacing w:line="600" w:lineRule="exact"/>
        <w:ind w:firstLine="600" w:firstLineChars="200"/>
      </w:pPr>
      <w:r>
        <w:rPr>
          <w:rFonts w:hint="eastAsia" w:ascii="仿宋_GB2312" w:hAnsi="宋体" w:eastAsia="仿宋_GB2312"/>
          <w:color w:val="000000"/>
          <w:sz w:val="30"/>
          <w:szCs w:val="30"/>
        </w:rPr>
        <w:t>中国证券登记结算有限责任公司上海分公司出具的超额配售选择权专用账户持股数量查询证明。</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Book Antiqua">
    <w:panose1 w:val="02040602050305030304"/>
    <w:charset w:val="00"/>
    <w:family w:val="roman"/>
    <w:pitch w:val="default"/>
    <w:sig w:usb0="00000287" w:usb1="00000000" w:usb2="00000000" w:usb3="00000000" w:csb0="2000009F" w:csb1="DFD7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D6FCB6">
    <w:pPr>
      <w:pStyle w:val="6"/>
      <w:jc w:val="center"/>
    </w:pPr>
    <w:r>
      <w:fldChar w:fldCharType="begin"/>
    </w:r>
    <w:r>
      <w:instrText xml:space="preserve"> PAGE   \* MERGEFORMAT </w:instrText>
    </w:r>
    <w:r>
      <w:fldChar w:fldCharType="separate"/>
    </w:r>
    <w:r>
      <w:rPr>
        <w:lang w:val="zh-CN"/>
      </w:rPr>
      <w:t>1</w:t>
    </w:r>
    <w:r>
      <w:fldChar w:fldCharType="end"/>
    </w:r>
  </w:p>
  <w:p w14:paraId="2CB50137">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6C19D3A"/>
    <w:multiLevelType w:val="multilevel"/>
    <w:tmpl w:val="56C19D3A"/>
    <w:lvl w:ilvl="0" w:tentative="0">
      <w:start w:val="1"/>
      <w:numFmt w:val="bullet"/>
      <w:lvlText w:val=""/>
      <w:lvlJc w:val="left"/>
      <w:pPr>
        <w:ind w:left="420" w:hanging="420"/>
      </w:pPr>
      <w:rPr>
        <w:rFonts w:hint="default" w:ascii="Wingdings" w:hAnsi="Wingdings"/>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5D2478A0"/>
    <w:multiLevelType w:val="multilevel"/>
    <w:tmpl w:val="5D2478A0"/>
    <w:lvl w:ilvl="0" w:tentative="0">
      <w:start w:val="1"/>
      <w:numFmt w:val="bullet"/>
      <w:lvlText w:val=""/>
      <w:lvlJc w:val="left"/>
      <w:pPr>
        <w:tabs>
          <w:tab w:val="left" w:pos="900"/>
        </w:tabs>
        <w:ind w:left="900" w:hanging="420"/>
      </w:pPr>
      <w:rPr>
        <w:rFonts w:hint="default" w:ascii="Wingdings" w:hAnsi="Wingdings"/>
      </w:rPr>
    </w:lvl>
    <w:lvl w:ilvl="1" w:tentative="0">
      <w:start w:val="1"/>
      <w:numFmt w:val="bullet"/>
      <w:lvlText w:val=""/>
      <w:lvlJc w:val="left"/>
      <w:pPr>
        <w:tabs>
          <w:tab w:val="left" w:pos="1320"/>
        </w:tabs>
        <w:ind w:left="1320" w:hanging="420"/>
      </w:pPr>
      <w:rPr>
        <w:rFonts w:hint="default" w:ascii="Wingdings" w:hAnsi="Wingdings"/>
      </w:rPr>
    </w:lvl>
    <w:lvl w:ilvl="2" w:tentative="0">
      <w:start w:val="1"/>
      <w:numFmt w:val="bullet"/>
      <w:lvlText w:val=""/>
      <w:lvlJc w:val="left"/>
      <w:pPr>
        <w:tabs>
          <w:tab w:val="left" w:pos="1740"/>
        </w:tabs>
        <w:ind w:left="1740" w:hanging="420"/>
      </w:pPr>
      <w:rPr>
        <w:rFonts w:hint="default" w:ascii="Wingdings" w:hAnsi="Wingdings"/>
      </w:rPr>
    </w:lvl>
    <w:lvl w:ilvl="3" w:tentative="0">
      <w:start w:val="1"/>
      <w:numFmt w:val="bullet"/>
      <w:lvlText w:val=""/>
      <w:lvlJc w:val="left"/>
      <w:pPr>
        <w:tabs>
          <w:tab w:val="left" w:pos="2160"/>
        </w:tabs>
        <w:ind w:left="2160" w:hanging="420"/>
      </w:pPr>
      <w:rPr>
        <w:rFonts w:hint="default" w:ascii="Wingdings" w:hAnsi="Wingdings"/>
      </w:rPr>
    </w:lvl>
    <w:lvl w:ilvl="4" w:tentative="0">
      <w:start w:val="1"/>
      <w:numFmt w:val="bullet"/>
      <w:lvlText w:val=""/>
      <w:lvlJc w:val="left"/>
      <w:pPr>
        <w:tabs>
          <w:tab w:val="left" w:pos="2580"/>
        </w:tabs>
        <w:ind w:left="2580" w:hanging="420"/>
      </w:pPr>
      <w:rPr>
        <w:rFonts w:hint="default" w:ascii="Wingdings" w:hAnsi="Wingdings"/>
      </w:rPr>
    </w:lvl>
    <w:lvl w:ilvl="5" w:tentative="0">
      <w:start w:val="1"/>
      <w:numFmt w:val="bullet"/>
      <w:lvlText w:val=""/>
      <w:lvlJc w:val="left"/>
      <w:pPr>
        <w:tabs>
          <w:tab w:val="left" w:pos="3000"/>
        </w:tabs>
        <w:ind w:left="3000" w:hanging="420"/>
      </w:pPr>
      <w:rPr>
        <w:rFonts w:hint="default" w:ascii="Wingdings" w:hAnsi="Wingdings"/>
      </w:rPr>
    </w:lvl>
    <w:lvl w:ilvl="6" w:tentative="0">
      <w:start w:val="1"/>
      <w:numFmt w:val="bullet"/>
      <w:lvlText w:val=""/>
      <w:lvlJc w:val="left"/>
      <w:pPr>
        <w:tabs>
          <w:tab w:val="left" w:pos="3420"/>
        </w:tabs>
        <w:ind w:left="3420" w:hanging="420"/>
      </w:pPr>
      <w:rPr>
        <w:rFonts w:hint="default" w:ascii="Wingdings" w:hAnsi="Wingdings"/>
      </w:rPr>
    </w:lvl>
    <w:lvl w:ilvl="7" w:tentative="0">
      <w:start w:val="1"/>
      <w:numFmt w:val="bullet"/>
      <w:lvlText w:val=""/>
      <w:lvlJc w:val="left"/>
      <w:pPr>
        <w:tabs>
          <w:tab w:val="left" w:pos="3840"/>
        </w:tabs>
        <w:ind w:left="3840" w:hanging="420"/>
      </w:pPr>
      <w:rPr>
        <w:rFonts w:hint="default" w:ascii="Wingdings" w:hAnsi="Wingdings"/>
      </w:rPr>
    </w:lvl>
    <w:lvl w:ilvl="8" w:tentative="0">
      <w:start w:val="1"/>
      <w:numFmt w:val="bullet"/>
      <w:lvlText w:val=""/>
      <w:lvlJc w:val="left"/>
      <w:pPr>
        <w:tabs>
          <w:tab w:val="left" w:pos="4260"/>
        </w:tabs>
        <w:ind w:left="4260" w:hanging="42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70D7"/>
    <w:rsid w:val="00027ACC"/>
    <w:rsid w:val="000655FA"/>
    <w:rsid w:val="00134DBB"/>
    <w:rsid w:val="00161F36"/>
    <w:rsid w:val="00231300"/>
    <w:rsid w:val="002400C2"/>
    <w:rsid w:val="002B1575"/>
    <w:rsid w:val="002C6B9E"/>
    <w:rsid w:val="002D19B5"/>
    <w:rsid w:val="002E4333"/>
    <w:rsid w:val="00310B8E"/>
    <w:rsid w:val="00327888"/>
    <w:rsid w:val="003D58D5"/>
    <w:rsid w:val="00405815"/>
    <w:rsid w:val="00431FC1"/>
    <w:rsid w:val="00473B26"/>
    <w:rsid w:val="004E2C63"/>
    <w:rsid w:val="00500421"/>
    <w:rsid w:val="00501BFE"/>
    <w:rsid w:val="00576A4C"/>
    <w:rsid w:val="005B45F2"/>
    <w:rsid w:val="005E2501"/>
    <w:rsid w:val="005F6600"/>
    <w:rsid w:val="006D6F85"/>
    <w:rsid w:val="00705E68"/>
    <w:rsid w:val="0077536E"/>
    <w:rsid w:val="007F0BD2"/>
    <w:rsid w:val="007F13DF"/>
    <w:rsid w:val="007F2DF3"/>
    <w:rsid w:val="008320EC"/>
    <w:rsid w:val="008870D7"/>
    <w:rsid w:val="008A6BA4"/>
    <w:rsid w:val="008B563F"/>
    <w:rsid w:val="00905FC9"/>
    <w:rsid w:val="009126F2"/>
    <w:rsid w:val="00943148"/>
    <w:rsid w:val="00966D91"/>
    <w:rsid w:val="009932CB"/>
    <w:rsid w:val="009D635C"/>
    <w:rsid w:val="009E49ED"/>
    <w:rsid w:val="00A82EA2"/>
    <w:rsid w:val="00AC37CB"/>
    <w:rsid w:val="00AE172D"/>
    <w:rsid w:val="00AF15FA"/>
    <w:rsid w:val="00AF6A6D"/>
    <w:rsid w:val="00B65F5A"/>
    <w:rsid w:val="00B82CB5"/>
    <w:rsid w:val="00BA3304"/>
    <w:rsid w:val="00C1054C"/>
    <w:rsid w:val="00C41676"/>
    <w:rsid w:val="00CB2C8B"/>
    <w:rsid w:val="00CD411B"/>
    <w:rsid w:val="00CD63C5"/>
    <w:rsid w:val="00D60D4F"/>
    <w:rsid w:val="00D67302"/>
    <w:rsid w:val="00DE6E2E"/>
    <w:rsid w:val="00E443E7"/>
    <w:rsid w:val="00E62F16"/>
    <w:rsid w:val="00EB6393"/>
    <w:rsid w:val="00F27F66"/>
    <w:rsid w:val="00F5602E"/>
    <w:rsid w:val="00FE22D6"/>
    <w:rsid w:val="00FF32AA"/>
    <w:rsid w:val="1F72787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nhideWhenUsed="0" w:uiPriority="0" w:semiHidden="0" w:name="annotation text"/>
    <w:lsdException w:uiPriority="99"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kern w:val="2"/>
      <w:sz w:val="21"/>
      <w:szCs w:val="24"/>
      <w:lang w:val="en-US" w:eastAsia="zh-CN" w:bidi="ar-SA"/>
    </w:rPr>
  </w:style>
  <w:style w:type="paragraph" w:styleId="2">
    <w:name w:val="heading 1"/>
    <w:basedOn w:val="1"/>
    <w:next w:val="1"/>
    <w:link w:val="11"/>
    <w:qFormat/>
    <w:uiPriority w:val="0"/>
    <w:pPr>
      <w:keepNext/>
      <w:keepLines/>
      <w:spacing w:line="360" w:lineRule="auto"/>
      <w:jc w:val="center"/>
      <w:outlineLvl w:val="0"/>
    </w:pPr>
    <w:rPr>
      <w:rFonts w:eastAsia="黑体"/>
      <w:b/>
      <w:bCs/>
      <w:kern w:val="44"/>
      <w:sz w:val="36"/>
      <w:szCs w:val="44"/>
    </w:rPr>
  </w:style>
  <w:style w:type="character" w:default="1" w:styleId="9">
    <w:name w:val="Default Paragraph Font"/>
    <w:semiHidden/>
    <w:unhideWhenUsed/>
    <w:uiPriority w:val="1"/>
  </w:style>
  <w:style w:type="table" w:default="1" w:styleId="8">
    <w:name w:val="Normal Table"/>
    <w:semiHidden/>
    <w:unhideWhenUsed/>
    <w:qFormat/>
    <w:uiPriority w:val="99"/>
    <w:tblPr>
      <w:tblStyle w:val="8"/>
      <w:tblCellMar>
        <w:top w:w="0" w:type="dxa"/>
        <w:left w:w="108" w:type="dxa"/>
        <w:bottom w:w="0" w:type="dxa"/>
        <w:right w:w="108" w:type="dxa"/>
      </w:tblCellMar>
    </w:tblPr>
    <w:trPr>
      <w:wBefore w:w="0" w:type="dxa"/>
    </w:trPr>
  </w:style>
  <w:style w:type="paragraph" w:styleId="3">
    <w:name w:val="Document Map"/>
    <w:basedOn w:val="1"/>
    <w:link w:val="18"/>
    <w:semiHidden/>
    <w:unhideWhenUsed/>
    <w:uiPriority w:val="99"/>
    <w:rPr>
      <w:rFonts w:ascii="宋体"/>
      <w:sz w:val="18"/>
      <w:szCs w:val="18"/>
    </w:rPr>
  </w:style>
  <w:style w:type="paragraph" w:styleId="4">
    <w:name w:val="annotation text"/>
    <w:basedOn w:val="1"/>
    <w:link w:val="12"/>
    <w:uiPriority w:val="0"/>
    <w:pPr>
      <w:jc w:val="left"/>
    </w:pPr>
    <w:rPr>
      <w:kern w:val="0"/>
      <w:sz w:val="20"/>
    </w:rPr>
  </w:style>
  <w:style w:type="paragraph" w:styleId="5">
    <w:name w:val="Balloon Text"/>
    <w:basedOn w:val="1"/>
    <w:link w:val="15"/>
    <w:semiHidden/>
    <w:unhideWhenUsed/>
    <w:uiPriority w:val="99"/>
    <w:rPr>
      <w:sz w:val="18"/>
      <w:szCs w:val="18"/>
    </w:rPr>
  </w:style>
  <w:style w:type="paragraph" w:styleId="6">
    <w:name w:val="footer"/>
    <w:basedOn w:val="1"/>
    <w:link w:val="17"/>
    <w:unhideWhenUsed/>
    <w:uiPriority w:val="99"/>
    <w:pPr>
      <w:tabs>
        <w:tab w:val="center" w:pos="4153"/>
        <w:tab w:val="right" w:pos="8306"/>
      </w:tabs>
      <w:snapToGrid w:val="0"/>
      <w:jc w:val="left"/>
    </w:pPr>
    <w:rPr>
      <w:sz w:val="18"/>
      <w:szCs w:val="18"/>
    </w:rPr>
  </w:style>
  <w:style w:type="paragraph" w:styleId="7">
    <w:name w:val="header"/>
    <w:basedOn w:val="1"/>
    <w:link w:val="16"/>
    <w:semiHidden/>
    <w:unhideWhenUsed/>
    <w:uiPriority w:val="99"/>
    <w:pPr>
      <w:pBdr>
        <w:bottom w:val="single" w:color="auto" w:sz="6" w:space="1"/>
      </w:pBdr>
      <w:tabs>
        <w:tab w:val="center" w:pos="4153"/>
        <w:tab w:val="right" w:pos="8306"/>
      </w:tabs>
      <w:snapToGrid w:val="0"/>
      <w:jc w:val="center"/>
    </w:pPr>
    <w:rPr>
      <w:sz w:val="18"/>
      <w:szCs w:val="18"/>
    </w:rPr>
  </w:style>
  <w:style w:type="character" w:styleId="10">
    <w:name w:val="annotation reference"/>
    <w:uiPriority w:val="0"/>
    <w:rPr>
      <w:sz w:val="21"/>
      <w:szCs w:val="21"/>
    </w:rPr>
  </w:style>
  <w:style w:type="character" w:customStyle="1" w:styleId="11">
    <w:name w:val="标题 1 Char"/>
    <w:basedOn w:val="9"/>
    <w:link w:val="2"/>
    <w:uiPriority w:val="0"/>
    <w:rPr>
      <w:rFonts w:ascii="Times New Roman" w:hAnsi="Times New Roman" w:eastAsia="黑体" w:cs="Times New Roman"/>
      <w:b/>
      <w:bCs/>
      <w:kern w:val="44"/>
      <w:sz w:val="36"/>
      <w:szCs w:val="44"/>
    </w:rPr>
  </w:style>
  <w:style w:type="character" w:customStyle="1" w:styleId="12">
    <w:name w:val="批注文字 Char"/>
    <w:basedOn w:val="9"/>
    <w:link w:val="4"/>
    <w:uiPriority w:val="0"/>
    <w:rPr>
      <w:rFonts w:ascii="Times New Roman" w:hAnsi="Times New Roman" w:eastAsia="宋体" w:cs="Times New Roman"/>
      <w:kern w:val="0"/>
      <w:sz w:val="20"/>
      <w:szCs w:val="24"/>
    </w:rPr>
  </w:style>
  <w:style w:type="paragraph" w:customStyle="1" w:styleId="13">
    <w:name w:val="列出段落1"/>
    <w:basedOn w:val="1"/>
    <w:qFormat/>
    <w:uiPriority w:val="0"/>
    <w:pPr>
      <w:widowControl/>
      <w:spacing w:before="100" w:beforeAutospacing="1" w:after="100" w:afterAutospacing="1"/>
      <w:jc w:val="left"/>
    </w:pPr>
    <w:rPr>
      <w:rFonts w:ascii="宋体" w:hAnsi="宋体"/>
      <w:kern w:val="0"/>
      <w:sz w:val="24"/>
    </w:rPr>
  </w:style>
  <w:style w:type="paragraph" w:customStyle="1" w:styleId="14">
    <w:name w:val="p0"/>
    <w:basedOn w:val="1"/>
    <w:uiPriority w:val="0"/>
    <w:pPr>
      <w:widowControl/>
    </w:pPr>
    <w:rPr>
      <w:rFonts w:ascii="Book Antiqua" w:hAnsi="Book Antiqua" w:cs="宋体"/>
      <w:kern w:val="0"/>
      <w:sz w:val="24"/>
    </w:rPr>
  </w:style>
  <w:style w:type="character" w:customStyle="1" w:styleId="15">
    <w:name w:val="批注框文本 Char"/>
    <w:basedOn w:val="9"/>
    <w:link w:val="5"/>
    <w:semiHidden/>
    <w:uiPriority w:val="99"/>
    <w:rPr>
      <w:rFonts w:ascii="Times New Roman" w:hAnsi="Times New Roman" w:eastAsia="宋体" w:cs="Times New Roman"/>
      <w:sz w:val="18"/>
      <w:szCs w:val="18"/>
    </w:rPr>
  </w:style>
  <w:style w:type="character" w:customStyle="1" w:styleId="16">
    <w:name w:val="页眉 Char"/>
    <w:basedOn w:val="9"/>
    <w:link w:val="7"/>
    <w:semiHidden/>
    <w:uiPriority w:val="99"/>
    <w:rPr>
      <w:rFonts w:ascii="Times New Roman" w:hAnsi="Times New Roman" w:eastAsia="宋体" w:cs="Times New Roman"/>
      <w:sz w:val="18"/>
      <w:szCs w:val="18"/>
    </w:rPr>
  </w:style>
  <w:style w:type="character" w:customStyle="1" w:styleId="17">
    <w:name w:val="页脚 Char"/>
    <w:basedOn w:val="9"/>
    <w:link w:val="6"/>
    <w:uiPriority w:val="99"/>
    <w:rPr>
      <w:rFonts w:ascii="Times New Roman" w:hAnsi="Times New Roman" w:eastAsia="宋体" w:cs="Times New Roman"/>
      <w:sz w:val="18"/>
      <w:szCs w:val="18"/>
    </w:rPr>
  </w:style>
  <w:style w:type="character" w:customStyle="1" w:styleId="18">
    <w:name w:val="文档结构图 Char"/>
    <w:basedOn w:val="9"/>
    <w:link w:val="3"/>
    <w:semiHidden/>
    <w:uiPriority w:val="99"/>
    <w:rPr>
      <w:rFonts w:ascii="宋体" w:hAnsi="Times New Roman"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217</Words>
  <Characters>1240</Characters>
  <Lines>10</Lines>
  <Paragraphs>2</Paragraphs>
  <TotalTime>0</TotalTime>
  <ScaleCrop>false</ScaleCrop>
  <LinksUpToDate>false</LinksUpToDate>
  <CharactersWithSpaces>1455</CharactersWithSpaces>
  <Application>WPS Office_12.8.2.19309_F1E327BC-269C-435d-A152-05C5408002CA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2019-07-08T01:37:00Z</dcterms:created>
  <dc:creator>wenyihuang</dc:creator>
  <cp:lastModifiedBy>黄文怡</cp:lastModifiedBy>
  <dcterms:modified xsi:type="dcterms:W3CDTF">2025-04-25T08:56:53Z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2052-12.8.2.19309</vt:lpwstr>
  </property>
  <property fmtid="{D5CDD505-2E9C-101B-9397-08002B2CF9AE}" pid="3" name="ICV">
    <vt:lpwstr>07B33973B40D405BA73873853AF92E95_13</vt:lpwstr>
  </property>
</Properties>
</file>