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CC069">
      <w:pPr>
        <w:pStyle w:val="2"/>
        <w:adjustRightInd w:val="0"/>
        <w:snapToGrid w:val="0"/>
        <w:spacing w:before="0" w:after="0" w:line="600" w:lineRule="exact"/>
        <w:jc w:val="center"/>
        <w:rPr>
          <w:rFonts w:ascii="黑体" w:hAnsi="黑体" w:eastAsia="黑体"/>
          <w:sz w:val="36"/>
          <w:szCs w:val="36"/>
        </w:rPr>
      </w:pPr>
      <w:bookmarkStart w:id="0" w:name="_Toc330904141"/>
      <w:bookmarkStart w:id="1" w:name="_Toc340839626"/>
      <w:r>
        <w:rPr>
          <w:rFonts w:ascii="黑体" w:hAnsi="黑体" w:eastAsia="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sz w:val="36"/>
          <w:szCs w:val="36"/>
        </w:rPr>
        <w:instrText xml:space="preserve">ADDIN CNKISM.UserStyle</w:instrText>
      </w:r>
      <w:r>
        <w:rPr>
          <w:rFonts w:ascii="黑体" w:hAnsi="黑体" w:eastAsia="黑体"/>
          <w:sz w:val="36"/>
          <w:szCs w:val="36"/>
        </w:rPr>
        <w:fldChar w:fldCharType="separate"/>
      </w:r>
      <w:r>
        <w:rPr>
          <w:rFonts w:ascii="黑体" w:hAnsi="黑体" w:eastAsia="黑体"/>
          <w:sz w:val="36"/>
          <w:szCs w:val="36"/>
        </w:rPr>
        <w:fldChar w:fldCharType="end"/>
      </w:r>
      <w:r>
        <w:rPr>
          <w:rFonts w:hint="eastAsia" w:ascii="黑体" w:hAnsi="黑体" w:eastAsia="黑体"/>
          <w:sz w:val="36"/>
          <w:szCs w:val="36"/>
        </w:rPr>
        <w:t>第五号 科创板上市公司关联交易公告</w:t>
      </w:r>
      <w:bookmarkEnd w:id="0"/>
      <w:bookmarkEnd w:id="1"/>
    </w:p>
    <w:p w14:paraId="023F59D7">
      <w:pPr>
        <w:spacing w:line="600" w:lineRule="exact"/>
      </w:pPr>
    </w:p>
    <w:p w14:paraId="292BC572">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3A695F7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1.科创板上市公司</w:t>
      </w:r>
      <w:r>
        <w:rPr>
          <w:rFonts w:hint="eastAsia" w:ascii="仿宋_GB2312" w:hAnsi="宋体" w:eastAsia="仿宋_GB2312" w:cs="宋体"/>
          <w:kern w:val="0"/>
          <w:sz w:val="30"/>
          <w:szCs w:val="30"/>
        </w:rPr>
        <w:t>（以下简称上市公司）</w:t>
      </w:r>
      <w:r>
        <w:rPr>
          <w:rFonts w:hint="eastAsia" w:ascii="仿宋_GB2312" w:hAnsi="宋体" w:eastAsia="仿宋_GB2312"/>
          <w:sz w:val="30"/>
          <w:szCs w:val="30"/>
        </w:rPr>
        <w:t>关联交易达到《上海证券交易所科创板股票上市规则》（以下简称《科创板上市规则》）规定的披露标准的，适用本公告格式指引。关联交易标的涉及收购出售资产、对外投资等事项的，同时参照适用相关公告格式指引。</w:t>
      </w:r>
    </w:p>
    <w:p w14:paraId="6C24CB95">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2.上市公司关联交易达到中国证监会、本所关于科创板上市公司重大资产重组相关规定标准的，不适用本公告格式指引，应按照中国证监会及本所相关要求履行信息披露义务。</w:t>
      </w:r>
    </w:p>
    <w:p w14:paraId="15F9B1A3">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3.上市公司日常关联交易预计达到《科创板上市规则》规定的披露标准的，适用本所《科创板上市公司自律监管指南第3号——日常信息披露》所附《第六号 科创板上市公司日常关联交易公告》格式指引。</w:t>
      </w:r>
    </w:p>
    <w:p w14:paraId="3EA70EB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4.上市公司为关联人提供担保的，适用本所《科创板上市公司自律监管指南第3号——日常信息披露》所附《第三号 科创板上市公司为他人提供担保公告》格式指引。</w:t>
      </w:r>
    </w:p>
    <w:p w14:paraId="1AA24659">
      <w:pPr>
        <w:adjustRightInd w:val="0"/>
        <w:snapToGrid w:val="0"/>
        <w:spacing w:line="600" w:lineRule="exact"/>
        <w:ind w:firstLine="600" w:firstLineChars="200"/>
        <w:rPr>
          <w:rFonts w:ascii="仿宋_GB2312" w:hAnsi="宋体" w:eastAsia="仿宋_GB2312"/>
          <w:sz w:val="30"/>
          <w:szCs w:val="30"/>
        </w:rPr>
      </w:pPr>
    </w:p>
    <w:p w14:paraId="35C0F2DD">
      <w:pPr>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2CBDBE39">
      <w:pPr>
        <w:adjustRightInd w:val="0"/>
        <w:snapToGrid w:val="0"/>
        <w:spacing w:line="600" w:lineRule="exact"/>
        <w:rPr>
          <w:rFonts w:ascii="仿宋_GB2312" w:hAnsi="宋体" w:eastAsia="仿宋_GB2312"/>
          <w:sz w:val="30"/>
          <w:szCs w:val="30"/>
        </w:rPr>
      </w:pPr>
    </w:p>
    <w:p w14:paraId="77C44162">
      <w:pPr>
        <w:spacing w:line="60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XXXX股份有限公司关联交易公告</w:t>
      </w:r>
    </w:p>
    <w:p w14:paraId="6E16C7F0">
      <w:pPr>
        <w:adjustRightInd w:val="0"/>
        <w:snapToGrid w:val="0"/>
        <w:spacing w:line="600" w:lineRule="exact"/>
        <w:jc w:val="center"/>
        <w:rPr>
          <w:rFonts w:ascii="仿宋_GB2312" w:hAnsi="宋体" w:eastAsia="仿宋_GB2312"/>
          <w:sz w:val="30"/>
          <w:szCs w:val="30"/>
        </w:rPr>
      </w:pPr>
    </w:p>
    <w:p w14:paraId="13AB1A74">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6BB208D9">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6DEBB5CE">
      <w:pPr>
        <w:adjustRightInd w:val="0"/>
        <w:snapToGrid w:val="0"/>
        <w:spacing w:line="600" w:lineRule="exact"/>
        <w:rPr>
          <w:rFonts w:ascii="仿宋_GB2312" w:hAnsi="宋体" w:eastAsia="仿宋_GB2312"/>
          <w:color w:val="000000"/>
          <w:sz w:val="30"/>
          <w:szCs w:val="30"/>
        </w:rPr>
      </w:pPr>
    </w:p>
    <w:p w14:paraId="5BB35FEF">
      <w:pPr>
        <w:adjustRightInd w:val="0"/>
        <w:snapToGrid w:val="0"/>
        <w:spacing w:line="600" w:lineRule="exact"/>
        <w:ind w:firstLine="602" w:firstLineChars="200"/>
        <w:rPr>
          <w:rFonts w:ascii="仿宋_GB2312" w:hAnsi="宋体" w:eastAsia="仿宋_GB2312"/>
          <w:b/>
          <w:color w:val="000000"/>
          <w:sz w:val="30"/>
          <w:szCs w:val="30"/>
        </w:rPr>
      </w:pPr>
      <w:r>
        <w:rPr>
          <w:rFonts w:hint="eastAsia" w:ascii="仿宋_GB2312" w:hAnsi="宋体" w:eastAsia="仿宋_GB2312"/>
          <w:b/>
          <w:color w:val="000000"/>
          <w:sz w:val="30"/>
          <w:szCs w:val="30"/>
        </w:rPr>
        <w:t>重要内容提示：</w:t>
      </w:r>
    </w:p>
    <w:p w14:paraId="4D6375F6">
      <w:pPr>
        <w:numPr>
          <w:ilvl w:val="0"/>
          <w:numId w:val="1"/>
        </w:numPr>
        <w:tabs>
          <w:tab w:val="left" w:pos="900"/>
        </w:tabs>
        <w:adjustRightInd w:val="0"/>
        <w:snapToGrid w:val="0"/>
        <w:spacing w:line="600" w:lineRule="exact"/>
        <w:ind w:left="0"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交易简要内容（</w:t>
      </w:r>
      <w:r>
        <w:rPr>
          <w:rFonts w:hint="eastAsia" w:ascii="仿宋_GB2312" w:hAnsi="宋体" w:eastAsia="仿宋_GB2312"/>
          <w:sz w:val="30"/>
          <w:szCs w:val="30"/>
        </w:rPr>
        <w:t>交易各方当事人名称；</w:t>
      </w:r>
      <w:r>
        <w:rPr>
          <w:rFonts w:hint="eastAsia" w:ascii="仿宋_GB2312" w:hAnsi="宋体" w:eastAsia="仿宋_GB2312"/>
          <w:color w:val="000000"/>
          <w:sz w:val="30"/>
          <w:szCs w:val="30"/>
        </w:rPr>
        <w:t>交易标的名称和类别；交易金额等）</w:t>
      </w:r>
    </w:p>
    <w:p w14:paraId="0203FCFC">
      <w:pPr>
        <w:numPr>
          <w:ilvl w:val="0"/>
          <w:numId w:val="1"/>
        </w:numPr>
        <w:tabs>
          <w:tab w:val="left" w:pos="900"/>
        </w:tabs>
        <w:adjustRightInd w:val="0"/>
        <w:snapToGrid w:val="0"/>
        <w:spacing w:line="600" w:lineRule="exact"/>
        <w:ind w:left="0"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本次交易未构成重大资产重组</w:t>
      </w:r>
    </w:p>
    <w:p w14:paraId="528B7325">
      <w:pPr>
        <w:numPr>
          <w:ilvl w:val="0"/>
          <w:numId w:val="2"/>
        </w:numPr>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交易实施不存在重大法律障碍</w:t>
      </w:r>
    </w:p>
    <w:p w14:paraId="22B24DDF">
      <w:pPr>
        <w:numPr>
          <w:ilvl w:val="0"/>
          <w:numId w:val="1"/>
        </w:numPr>
        <w:tabs>
          <w:tab w:val="left" w:pos="900"/>
        </w:tabs>
        <w:adjustRightInd w:val="0"/>
        <w:snapToGrid w:val="0"/>
        <w:spacing w:line="600" w:lineRule="exact"/>
        <w:ind w:left="0" w:firstLine="600" w:firstLineChars="200"/>
        <w:rPr>
          <w:rFonts w:ascii="仿宋_GB2312" w:hAnsi="宋体" w:eastAsia="仿宋_GB2312"/>
          <w:color w:val="000000"/>
          <w:sz w:val="30"/>
          <w:szCs w:val="30"/>
        </w:rPr>
      </w:pPr>
      <w:r>
        <w:rPr>
          <w:rFonts w:hint="eastAsia" w:ascii="仿宋_GB2312" w:hAnsi="宋体" w:eastAsia="仿宋_GB2312"/>
          <w:sz w:val="30"/>
          <w:szCs w:val="30"/>
        </w:rPr>
        <w:t>交易实施尚需履行的审批及其他相关程序</w:t>
      </w:r>
    </w:p>
    <w:p w14:paraId="7283A659">
      <w:pPr>
        <w:numPr>
          <w:ilvl w:val="0"/>
          <w:numId w:val="1"/>
        </w:numPr>
        <w:tabs>
          <w:tab w:val="left" w:pos="900"/>
        </w:tabs>
        <w:adjustRightInd w:val="0"/>
        <w:snapToGrid w:val="0"/>
        <w:spacing w:line="600" w:lineRule="exact"/>
        <w:ind w:left="0"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需提请投资者注意的其他事项（如债权人的意见、交易附加条件等）</w:t>
      </w:r>
    </w:p>
    <w:p w14:paraId="4B5F4483">
      <w:pPr>
        <w:adjustRightInd w:val="0"/>
        <w:snapToGrid w:val="0"/>
        <w:spacing w:line="600" w:lineRule="exact"/>
        <w:ind w:firstLine="600" w:firstLineChars="200"/>
        <w:rPr>
          <w:rFonts w:ascii="仿宋_GB2312" w:hAnsi="宋体" w:eastAsia="仿宋_GB2312"/>
          <w:color w:val="000000"/>
          <w:sz w:val="30"/>
          <w:szCs w:val="30"/>
        </w:rPr>
      </w:pPr>
    </w:p>
    <w:p w14:paraId="70F062EA">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一、关联交易概述</w:t>
      </w:r>
    </w:p>
    <w:p w14:paraId="68DBCB97">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上市公司应当阐明本次关联交易的主要内容，包括协议签署日期、地点，交易各方当事人名称，交易标的等情况。明确表示本次关联交易不构成重大资产重组。</w:t>
      </w:r>
    </w:p>
    <w:p w14:paraId="2387AB74">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上市公司应根据《科创板上市规则》的规定，简要说明交易各方的关联关系，并明确表示本次交易构成关联交易。</w:t>
      </w:r>
    </w:p>
    <w:p w14:paraId="4CA11F5B">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说明至本次关联交易为止，过去12个月内</w:t>
      </w:r>
      <w:r>
        <w:rPr>
          <w:rFonts w:hint="eastAsia" w:ascii="仿宋_GB2312" w:hAnsi="宋体" w:eastAsia="仿宋_GB2312"/>
          <w:color w:val="000000"/>
          <w:sz w:val="30"/>
          <w:szCs w:val="30"/>
        </w:rPr>
        <w:t>上市</w:t>
      </w:r>
      <w:r>
        <w:rPr>
          <w:rFonts w:hint="eastAsia" w:ascii="仿宋_GB2312" w:hAnsi="宋体" w:eastAsia="仿宋_GB2312"/>
          <w:sz w:val="30"/>
          <w:szCs w:val="30"/>
        </w:rPr>
        <w:t>公司与同一关联人或与不同关联人之间交易标的类别相关的关联交易是否达到3000万元以上，且占</w:t>
      </w:r>
      <w:r>
        <w:rPr>
          <w:rFonts w:hint="eastAsia" w:ascii="仿宋_GB2312" w:hAnsi="宋体" w:eastAsia="仿宋_GB2312"/>
          <w:color w:val="000000"/>
          <w:sz w:val="30"/>
          <w:szCs w:val="30"/>
        </w:rPr>
        <w:t>上市</w:t>
      </w:r>
      <w:r>
        <w:rPr>
          <w:rFonts w:hint="eastAsia" w:ascii="仿宋_GB2312" w:hAnsi="宋体" w:eastAsia="仿宋_GB2312"/>
          <w:sz w:val="30"/>
          <w:szCs w:val="30"/>
        </w:rPr>
        <w:t>公司最近一期经审计总资产或市值1%以上。</w:t>
      </w:r>
    </w:p>
    <w:p w14:paraId="76795C52">
      <w:pPr>
        <w:adjustRightInd w:val="0"/>
        <w:snapToGrid w:val="0"/>
        <w:spacing w:line="600" w:lineRule="exact"/>
        <w:ind w:firstLine="600" w:firstLineChars="200"/>
        <w:rPr>
          <w:rFonts w:ascii="仿宋_GB2312" w:hAnsi="宋体" w:eastAsia="仿宋_GB2312"/>
          <w:color w:val="000000"/>
          <w:sz w:val="30"/>
          <w:szCs w:val="30"/>
        </w:rPr>
      </w:pPr>
    </w:p>
    <w:p w14:paraId="49C3D6FB">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二、关联人基本情况</w:t>
      </w:r>
    </w:p>
    <w:p w14:paraId="77DD11F4">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（一）关联关系说明</w:t>
      </w:r>
    </w:p>
    <w:p w14:paraId="4C91A3C7">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说明该关联人符合《科创板上市规则》规定的何种关联关系情形。</w:t>
      </w:r>
    </w:p>
    <w:p w14:paraId="0FAA962A">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（二）关联人情况说明</w:t>
      </w:r>
    </w:p>
    <w:p w14:paraId="55E6268E">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关联人为法人的，应当披露企业名称、性质、法定代表人、注册资本、成立日期、住所、主要办公地点、主营业务、主要股东或实际控制人、最近一个会计年度的主要财务数据（总资产、净资产、营业收入、净利润）等，如果关联人成立时间不足一年或是专为本次交易而设立的，</w:t>
      </w:r>
      <w:r>
        <w:rPr>
          <w:rFonts w:hint="eastAsia" w:ascii="仿宋_GB2312" w:hAnsi="宋体" w:eastAsia="仿宋_GB2312"/>
          <w:bCs/>
          <w:sz w:val="30"/>
          <w:szCs w:val="30"/>
        </w:rPr>
        <w:t>则应当披露</w:t>
      </w:r>
      <w:r>
        <w:rPr>
          <w:rFonts w:hint="eastAsia" w:ascii="仿宋_GB2312" w:hAnsi="宋体" w:eastAsia="仿宋_GB2312"/>
          <w:sz w:val="30"/>
          <w:szCs w:val="30"/>
        </w:rPr>
        <w:t>关联人的实际控制人或者控股方的财务资料。若公司无法披露上述财务资料的，应说明原因。</w:t>
      </w:r>
    </w:p>
    <w:p w14:paraId="3AFDACCF">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关联人为自然人的，应当披露其姓名、性别、国籍、最近三年的职业和职务等基本情况。</w:t>
      </w:r>
    </w:p>
    <w:p w14:paraId="0B7CF780">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2.关联人与上市公司之间存在产权、业务、资产、债权债务、人员等方面的其他关系的说明。</w:t>
      </w:r>
    </w:p>
    <w:p w14:paraId="60928C7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3.本所要求的其他内容。</w:t>
      </w:r>
    </w:p>
    <w:p w14:paraId="4C846DBC">
      <w:pPr>
        <w:adjustRightInd w:val="0"/>
        <w:snapToGrid w:val="0"/>
        <w:spacing w:line="600" w:lineRule="exact"/>
        <w:ind w:firstLine="600" w:firstLineChars="200"/>
        <w:rPr>
          <w:rFonts w:ascii="仿宋_GB2312" w:hAnsi="宋体" w:eastAsia="仿宋_GB2312"/>
          <w:color w:val="000000"/>
          <w:sz w:val="30"/>
          <w:szCs w:val="30"/>
        </w:rPr>
      </w:pPr>
    </w:p>
    <w:p w14:paraId="0BEADA1D">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三、关联交易标的基本情况</w:t>
      </w:r>
    </w:p>
    <w:p w14:paraId="187E8292">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（一）交易标的的名称和类别</w:t>
      </w:r>
    </w:p>
    <w:p w14:paraId="6BFFF5F1">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说明该交易属于《科创板上市规则》中的何种交易类型，交易标的的名称和类别。</w:t>
      </w:r>
    </w:p>
    <w:p w14:paraId="2F02B1B0">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（二）交易标的如为资产，需要披露的内容</w:t>
      </w:r>
    </w:p>
    <w:p w14:paraId="0D9CD3B0">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相关资产运营情况的说明（包括出让方经营该项资产的时间或者获得该资产的时间、方式和价格、该项资产投入使用的时间、已计提折旧或摊销的年限、目前能否继续投入正常生产、是否具备正常生产所必须的批准文件、最近一年运作状况及其他需要特别说明的事项）。如该资产最近12个月内曾进行资产评估、交易的，应当披露相关评估、交易的基本情况。</w:t>
      </w:r>
    </w:p>
    <w:p w14:paraId="7B6CF835">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2.权属状况说明（包括交易标的产权是否清晰，是否存在抵押、质押及其他任何限制转让的情况，是否涉及诉讼、仲裁事项或查封、冻结等司法措施，以及是否存在妨碍权属转移的其他情况）。</w:t>
      </w:r>
    </w:p>
    <w:p w14:paraId="39F77CEF">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交易标的最近一年又一期财务报表的账面价值（包括账面原值、已计提的折旧、摊销或减值准备、账面净值等），并注明是否经过审计、审计机构名称及其是否符合《证券法》规定。审计报告为非标准无保留意见的，应在公告中详细披露非标意见所涉事项的具体影响。</w:t>
      </w:r>
    </w:p>
    <w:p w14:paraId="676427E2">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（三）交易标的如为公司股权，需要披露的内容</w:t>
      </w:r>
    </w:p>
    <w:p w14:paraId="095186F0">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1.该公司主要股东及各自持股比例、主营业务、注册资本、成立时间、住所等基本情况。如该公司最近12个月内曾进行资产评估、增资、减资或改制的，应当披露相关评估、增资、减资或改制的基本情况。</w:t>
      </w:r>
    </w:p>
    <w:p w14:paraId="52ED2443">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2.有优先受让权的其他股东是否放弃优先受让权。</w:t>
      </w:r>
    </w:p>
    <w:p w14:paraId="77D0BD10">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3.权属状况说明（包括交易标的产权是否清晰，是否存在抵押、质押及其他任何限制转让的情况，是否涉及诉讼、仲裁事项或查封、冻结等司法措施，以及是否存在妨碍权属转移的其他情况）。</w:t>
      </w:r>
    </w:p>
    <w:p w14:paraId="0DD827A0">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4.该公司最近一年又一期的主要财务数据，包括但不限于资产总额、负债总额、资产净额、营业收入、净利润、扣除非经常性损益后的净利润等，并注明是否经过审计、审计机构名称及其是否符合《证券法》规定。审计报告为非标准无保留意见的，应在公告中详细披露非标意见所涉事项的具体影响。</w:t>
      </w:r>
    </w:p>
    <w:p w14:paraId="51A39D6C">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（四）如交易标的所属地在境外，还需披露相关权属证明文件、当地法律法规及政策的适用风险、交接过户、外汇支付等情况。</w:t>
      </w:r>
    </w:p>
    <w:p w14:paraId="64364ADF">
      <w:pPr>
        <w:adjustRightInd w:val="0"/>
        <w:snapToGrid w:val="0"/>
        <w:spacing w:line="600" w:lineRule="exact"/>
        <w:ind w:firstLine="600" w:firstLineChars="200"/>
        <w:rPr>
          <w:rFonts w:ascii="仿宋_GB2312" w:hAnsi="宋体" w:eastAsia="仿宋_GB2312"/>
          <w:color w:val="000000"/>
          <w:sz w:val="30"/>
          <w:szCs w:val="30"/>
        </w:rPr>
      </w:pPr>
    </w:p>
    <w:p w14:paraId="4225A412">
      <w:pPr>
        <w:adjustRightInd w:val="0"/>
        <w:snapToGrid w:val="0"/>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四、关联交易的定价情况</w:t>
      </w:r>
    </w:p>
    <w:p w14:paraId="4E3AB1C1">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（一）定价原则、方法和依据</w:t>
      </w:r>
    </w:p>
    <w:p w14:paraId="4BDF4630">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披露关联交易的定价原则、方法和依据。如以评估结果为依据确定关联交易价格的，应披露为其提供评估服务的评估机构名称、该机构是否</w:t>
      </w:r>
      <w:r>
        <w:rPr>
          <w:rFonts w:hint="eastAsia" w:ascii="仿宋_GB2312" w:hAnsi="宋体" w:eastAsia="仿宋_GB2312"/>
          <w:sz w:val="30"/>
          <w:szCs w:val="30"/>
        </w:rPr>
        <w:t>符合《证券法》规定</w:t>
      </w:r>
      <w:r>
        <w:rPr>
          <w:rFonts w:hint="eastAsia" w:ascii="仿宋_GB2312" w:hAnsi="宋体" w:eastAsia="仿宋_GB2312"/>
          <w:color w:val="000000"/>
          <w:sz w:val="30"/>
          <w:szCs w:val="30"/>
        </w:rPr>
        <w:t>、评估基准日、评估方法、</w:t>
      </w:r>
      <w:r>
        <w:rPr>
          <w:rFonts w:hint="eastAsia" w:ascii="仿宋_GB2312" w:hAnsi="宋体" w:eastAsia="仿宋_GB2312"/>
          <w:sz w:val="30"/>
          <w:szCs w:val="30"/>
        </w:rPr>
        <w:t>重要假设和参数</w:t>
      </w:r>
      <w:r>
        <w:rPr>
          <w:rFonts w:hint="eastAsia" w:ascii="仿宋_GB2312" w:hAnsi="宋体" w:eastAsia="仿宋_GB2312"/>
          <w:color w:val="000000"/>
          <w:sz w:val="30"/>
          <w:szCs w:val="30"/>
        </w:rPr>
        <w:t>；如采取协商定价的，应披露交易双方协商的过程及定价的原则、方法和依据。</w:t>
      </w:r>
    </w:p>
    <w:p w14:paraId="2FAFFDD6">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sz w:val="30"/>
          <w:szCs w:val="30"/>
        </w:rPr>
        <w:t>如最近12个月内有关机构出具评估报告或估值报告的，应披露与本次定价的差异情况及原因。</w:t>
      </w:r>
    </w:p>
    <w:p w14:paraId="675CE471">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（二）定价的公平合理性分析</w:t>
      </w:r>
    </w:p>
    <w:p w14:paraId="5156285E">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包括成交价格与交易标的账面值、评估值</w:t>
      </w:r>
      <w:r>
        <w:rPr>
          <w:rFonts w:hint="eastAsia" w:ascii="仿宋_GB2312" w:hAnsi="宋体" w:eastAsia="仿宋_GB2312"/>
          <w:sz w:val="30"/>
          <w:szCs w:val="30"/>
        </w:rPr>
        <w:t>（如有）、公开市场价格（如有）</w:t>
      </w:r>
      <w:r>
        <w:rPr>
          <w:rFonts w:hint="eastAsia" w:ascii="仿宋_GB2312" w:hAnsi="宋体" w:eastAsia="仿宋_GB2312"/>
          <w:color w:val="000000"/>
          <w:sz w:val="30"/>
          <w:szCs w:val="30"/>
        </w:rPr>
        <w:t>之间的关系及公平合理性分析，以及因交易标的特殊而需要说明的与定价有关的其他特定事项。</w:t>
      </w:r>
    </w:p>
    <w:p w14:paraId="6085E2AA">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若成</w:t>
      </w:r>
      <w:r>
        <w:rPr>
          <w:rFonts w:hint="eastAsia" w:ascii="仿宋_GB2312" w:hAnsi="宋体" w:eastAsia="仿宋_GB2312"/>
          <w:sz w:val="30"/>
          <w:szCs w:val="30"/>
        </w:rPr>
        <w:t>交价格与账面值、评估值（如有）、公开市场价格（如有）差异超过20%的</w:t>
      </w:r>
      <w:r>
        <w:rPr>
          <w:rFonts w:hint="eastAsia" w:ascii="仿宋_GB2312" w:hAnsi="宋体" w:eastAsia="仿宋_GB2312"/>
          <w:color w:val="000000"/>
          <w:sz w:val="30"/>
          <w:szCs w:val="30"/>
        </w:rPr>
        <w:t>，应当充分披露增减值原因、潜在风险，以及是否存在其他约定或安排。</w:t>
      </w:r>
    </w:p>
    <w:p w14:paraId="42C0AFC0">
      <w:pPr>
        <w:adjustRightInd w:val="0"/>
        <w:snapToGrid w:val="0"/>
        <w:spacing w:line="600" w:lineRule="exact"/>
        <w:ind w:firstLine="450" w:firstLineChars="150"/>
        <w:rPr>
          <w:rFonts w:ascii="仿宋_GB2312" w:hAnsi="宋体" w:eastAsia="仿宋_GB2312"/>
          <w:sz w:val="30"/>
          <w:szCs w:val="30"/>
        </w:rPr>
      </w:pPr>
    </w:p>
    <w:p w14:paraId="3F2B95C5">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五、关联交易协议的主要内容和履约安排</w:t>
      </w:r>
    </w:p>
    <w:p w14:paraId="73357F04">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（一）关联交易协议的主要内容</w:t>
      </w:r>
    </w:p>
    <w:p w14:paraId="14AABB00">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披露关联交易协议的主要条款，包括协议主体、交易价格、支付方式、支付期限、交付或过户时间安排、过渡期间损益安排、协议的生效条件、生效时间、违约责任等。如该协议附带有任何形式的附加或保留条款（如约定将来某种情况发生时资产需恢复原状等）的，应予以特别说明。</w:t>
      </w:r>
    </w:p>
    <w:p w14:paraId="3EF36835">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（二）关联交易的履约安排</w:t>
      </w:r>
    </w:p>
    <w:p w14:paraId="6143FBA1">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1.关联人或他方向上市公司支付款项的，必须说明付款方近三年或自成立之日起至协议签署期间的财务状况，上市公司董事会应当对付款方的支付能力及该等款项收回的或有风险作出判断和说明。</w:t>
      </w:r>
    </w:p>
    <w:p w14:paraId="1CAE6BF6">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交易涉及上市公司向关联人支付款项的，必须说明是否已就购买的资产日后无法交付或过户的情况做出适当的保护上市公司利益的合同安排。截至公告披露日，上市公司已支付金额，是否符合合同约定的付款进度。</w:t>
      </w:r>
    </w:p>
    <w:p w14:paraId="081AA1D1">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3.如交易涉及债务重组，还应说明债务重组协议的有关内容，包括债务重组的具体方式、合同的生效条件、生效时间、违约责任等。债务重组方式为修改负债条件的，应当披露延长还款的期限、利率降低的幅度、免去应付未付的利息额或减少本金的数额等情况。</w:t>
      </w:r>
    </w:p>
    <w:p w14:paraId="24BBFBB6">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4.如交易涉及债权债务转移，应详细说明该项债权债务的基本情况，包括债权债务人名称、债权债务金额、期限、发生日期、发生原因等。对转移的债务，还应当说明已取得债权人的书面认可情况，以及交易完成后上市公司是否存在偿债风险和其他或有风险等。</w:t>
      </w:r>
    </w:p>
    <w:p w14:paraId="64E976C7">
      <w:pPr>
        <w:adjustRightInd w:val="0"/>
        <w:snapToGrid w:val="0"/>
        <w:spacing w:line="600" w:lineRule="exact"/>
        <w:ind w:firstLine="450" w:firstLineChars="150"/>
        <w:rPr>
          <w:rFonts w:ascii="仿宋_GB2312" w:hAnsi="宋体" w:eastAsia="仿宋_GB2312"/>
          <w:sz w:val="30"/>
          <w:szCs w:val="30"/>
        </w:rPr>
      </w:pPr>
    </w:p>
    <w:p w14:paraId="6EA8BBAC">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六、关联交易的必要性以及对上市公司的影响</w:t>
      </w:r>
    </w:p>
    <w:p w14:paraId="7CD338DC">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（一）披露进行此次关联交易的必要性，阐述本次关联交易对上市公司财务状况和经营成果所产生的影响。</w:t>
      </w:r>
    </w:p>
    <w:p w14:paraId="31B3EEF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color w:val="000000"/>
          <w:sz w:val="30"/>
          <w:szCs w:val="30"/>
        </w:rPr>
        <w:t>（二）</w:t>
      </w:r>
      <w:r>
        <w:rPr>
          <w:rFonts w:hint="eastAsia" w:ascii="仿宋_GB2312" w:hAnsi="宋体" w:eastAsia="仿宋_GB2312"/>
          <w:sz w:val="30"/>
          <w:szCs w:val="30"/>
        </w:rPr>
        <w:t>如出售控股子公司股权导致上市公司合并报表范围变更的，还应当说明上市公司是否存在为该子公司提供担保、委托该子公司理财，以及该子公司占用上市公司资金等方面的情况。如存在，应当披露前述事项涉及的金额，对上市公司的影响和解决措施。</w:t>
      </w:r>
    </w:p>
    <w:p w14:paraId="0EC38611">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sz w:val="30"/>
          <w:szCs w:val="30"/>
        </w:rPr>
        <w:t>（三）如收购标的为股权类资产且将导致上市公司合并报表范围变更的，应按照该项交易构成的不同企业合并类型，披露该项交易对公司财务状况和经营成果的影响。如收购的公司重大会计政策或会计估计与上市公司存在较大差异的，应当分析重大会计政策或会计估计的差异对交易标的的影响。如收购完成后，上市公司新增控股子公司的，还应当说明该公司对外担保、委托理财等情况。</w:t>
      </w:r>
    </w:p>
    <w:p w14:paraId="0987298F">
      <w:pPr>
        <w:adjustRightInd w:val="0"/>
        <w:snapToGrid w:val="0"/>
        <w:spacing w:line="600" w:lineRule="exact"/>
        <w:ind w:firstLine="600" w:firstLineChars="200"/>
        <w:rPr>
          <w:rFonts w:ascii="仿宋_GB2312" w:hAnsi="宋体" w:eastAsia="仿宋_GB2312"/>
          <w:color w:val="000000"/>
          <w:sz w:val="30"/>
          <w:szCs w:val="30"/>
        </w:rPr>
      </w:pPr>
    </w:p>
    <w:p w14:paraId="0BFF6B8F">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七、关联交易的审议程序</w:t>
      </w:r>
    </w:p>
    <w:p w14:paraId="2C431BF5">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披露的关联交易，应当经独立董事专门会议审议通过后，提交董事会审议。上市公司需要披露独立董事专门会议审议情况、董事会审议关联交易的表决情况、关联董事回避表决的情况。董事反对或弃权的，应当披露反对或弃权理由。</w:t>
      </w:r>
    </w:p>
    <w:p w14:paraId="5243ACA9">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对于需要提交股东会审议的关联交易，上市公司需要在公告中特别载明：“此项交易尚须获得股东会的批准，与该关联交易有利害关系的关联人将放弃行使在股东会上对该议案的投票权。”</w:t>
      </w:r>
    </w:p>
    <w:p w14:paraId="6CD17B91">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上市公司应当明确说明本次关联交易是否需要经过有关部门批准。</w:t>
      </w:r>
    </w:p>
    <w:p w14:paraId="152DBCFB">
      <w:pPr>
        <w:adjustRightInd w:val="0"/>
        <w:snapToGrid w:val="0"/>
        <w:spacing w:line="600" w:lineRule="exact"/>
        <w:ind w:firstLine="600" w:firstLineChars="200"/>
        <w:rPr>
          <w:rFonts w:ascii="仿宋_GB2312" w:hAnsi="宋体" w:eastAsia="仿宋_GB2312"/>
          <w:sz w:val="30"/>
          <w:szCs w:val="30"/>
        </w:rPr>
      </w:pPr>
    </w:p>
    <w:p w14:paraId="45AD6544">
      <w:pPr>
        <w:spacing w:line="600" w:lineRule="exact"/>
        <w:ind w:firstLine="643" w:firstLineChars="200"/>
        <w:rPr>
          <w:rFonts w:ascii="仿宋_GB2312" w:hAnsi="宋体" w:eastAsia="仿宋_GB2312"/>
          <w:color w:val="000000"/>
          <w:sz w:val="30"/>
          <w:szCs w:val="30"/>
        </w:rPr>
      </w:pPr>
      <w:r>
        <w:rPr>
          <w:rFonts w:hint="eastAsia" w:ascii="黑体" w:hAnsi="黑体" w:eastAsia="黑体" w:cs="宋体"/>
          <w:b/>
          <w:color w:val="000000"/>
          <w:kern w:val="0"/>
          <w:sz w:val="32"/>
          <w:szCs w:val="32"/>
        </w:rPr>
        <w:t>八、中介机构意见（如适用）</w:t>
      </w:r>
    </w:p>
    <w:p w14:paraId="19A90796">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上市公司处于持续督导期间的，或上市公司在关联交易中聘任中介机构（包括但不限于律师、独立财务顾问）出具专业意见的，应明确披露中介机构对本次关联交易的专业意见结论。</w:t>
      </w:r>
    </w:p>
    <w:p w14:paraId="3E668C5A">
      <w:pPr>
        <w:adjustRightInd w:val="0"/>
        <w:snapToGrid w:val="0"/>
        <w:spacing w:line="600" w:lineRule="exact"/>
        <w:ind w:firstLine="600" w:firstLineChars="200"/>
        <w:rPr>
          <w:rFonts w:ascii="仿宋_GB2312" w:hAnsi="宋体" w:eastAsia="仿宋_GB2312"/>
          <w:color w:val="000000"/>
          <w:sz w:val="30"/>
          <w:szCs w:val="30"/>
        </w:rPr>
      </w:pPr>
    </w:p>
    <w:p w14:paraId="22CB2C5D">
      <w:pPr>
        <w:spacing w:line="600" w:lineRule="exact"/>
        <w:ind w:firstLine="643" w:firstLineChars="200"/>
        <w:rPr>
          <w:rFonts w:ascii="仿宋_GB2312" w:hAnsi="宋体" w:eastAsia="仿宋_GB2312"/>
          <w:color w:val="000000"/>
          <w:sz w:val="30"/>
          <w:szCs w:val="30"/>
        </w:rPr>
      </w:pPr>
      <w:r>
        <w:rPr>
          <w:rFonts w:hint="eastAsia" w:ascii="黑体" w:hAnsi="黑体" w:eastAsia="黑体" w:cs="宋体"/>
          <w:b/>
          <w:color w:val="000000"/>
          <w:kern w:val="0"/>
          <w:sz w:val="32"/>
          <w:szCs w:val="32"/>
        </w:rPr>
        <w:t>九、上网公告附件</w:t>
      </w:r>
    </w:p>
    <w:p w14:paraId="0D9FBD89">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（一）相关的财务报表和审计报告（如适用）</w:t>
      </w:r>
    </w:p>
    <w:p w14:paraId="40AC8AA9">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（二）评估报告（如适用）</w:t>
      </w:r>
    </w:p>
    <w:p w14:paraId="43D90494">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（三）中介机构意见（如适用）</w:t>
      </w:r>
    </w:p>
    <w:p w14:paraId="53DA2379">
      <w:pPr>
        <w:adjustRightInd w:val="0"/>
        <w:snapToGrid w:val="0"/>
        <w:spacing w:line="600" w:lineRule="exact"/>
        <w:ind w:firstLine="600" w:firstLineChars="200"/>
        <w:rPr>
          <w:rFonts w:ascii="仿宋_GB2312" w:hAnsi="宋体" w:eastAsia="仿宋_GB2312"/>
          <w:color w:val="000000"/>
          <w:sz w:val="30"/>
          <w:szCs w:val="30"/>
        </w:rPr>
      </w:pPr>
    </w:p>
    <w:p w14:paraId="33B396AA">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color w:val="000000"/>
          <w:sz w:val="30"/>
          <w:szCs w:val="30"/>
        </w:rPr>
        <w:t>特此公告。</w:t>
      </w:r>
    </w:p>
    <w:p w14:paraId="6A82A27F">
      <w:pPr>
        <w:adjustRightInd w:val="0"/>
        <w:snapToGrid w:val="0"/>
        <w:spacing w:line="600" w:lineRule="exact"/>
        <w:jc w:val="right"/>
        <w:rPr>
          <w:rFonts w:ascii="仿宋_GB2312" w:hAnsi="宋体" w:eastAsia="仿宋_GB2312"/>
          <w:color w:val="000000"/>
          <w:sz w:val="30"/>
          <w:szCs w:val="30"/>
        </w:rPr>
      </w:pPr>
    </w:p>
    <w:p w14:paraId="355F884D">
      <w:pPr>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XXXX股份有限公司董事会</w:t>
      </w:r>
    </w:p>
    <w:p w14:paraId="724BB699">
      <w:pPr>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年  月  日</w:t>
      </w:r>
    </w:p>
    <w:p w14:paraId="7CB73CC7">
      <w:pPr>
        <w:adjustRightInd w:val="0"/>
        <w:snapToGrid w:val="0"/>
        <w:spacing w:line="600" w:lineRule="exact"/>
        <w:rPr>
          <w:rFonts w:ascii="仿宋_GB2312" w:hAnsi="宋体" w:eastAsia="仿宋_GB2312"/>
          <w:color w:val="000000"/>
          <w:sz w:val="30"/>
          <w:szCs w:val="30"/>
        </w:rPr>
      </w:pPr>
    </w:p>
    <w:p w14:paraId="1E0CFA91">
      <w:pPr>
        <w:numPr>
          <w:ilvl w:val="0"/>
          <w:numId w:val="3"/>
        </w:numPr>
        <w:adjustRightInd w:val="0"/>
        <w:snapToGrid w:val="0"/>
        <w:spacing w:line="600" w:lineRule="exact"/>
        <w:ind w:left="0" w:firstLine="602" w:firstLineChars="20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14:paraId="40C7E4A5">
      <w:pPr>
        <w:adjustRightInd w:val="0"/>
        <w:snapToGrid w:val="0"/>
        <w:spacing w:line="600" w:lineRule="exact"/>
        <w:ind w:firstLine="600" w:firstLineChars="200"/>
        <w:rPr>
          <w:rFonts w:ascii="仿宋_GB2312" w:hAnsi="宋体" w:eastAsia="仿宋_GB2312"/>
          <w:sz w:val="30"/>
          <w:szCs w:val="30"/>
        </w:rPr>
      </w:pPr>
      <w:bookmarkStart w:id="2" w:name="_GoBack"/>
      <w:bookmarkEnd w:id="2"/>
      <w:r>
        <w:rPr>
          <w:rFonts w:hint="eastAsia" w:ascii="仿宋_GB2312" w:hAnsi="宋体" w:eastAsia="仿宋_GB2312"/>
          <w:color w:val="000000"/>
          <w:sz w:val="30"/>
          <w:szCs w:val="30"/>
        </w:rPr>
        <w:t>意向书、协议或合同</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C51A5">
    <w:pPr>
      <w:pStyle w:val="7"/>
      <w:jc w:val="center"/>
    </w:pPr>
    <w:r>
      <w:fldChar w:fldCharType="begin"/>
    </w:r>
    <w:r>
      <w:instrText xml:space="preserve"> PAGE   \* MERGEFORMAT </w:instrText>
    </w:r>
    <w:r>
      <w:fldChar w:fldCharType="separate"/>
    </w:r>
    <w:r>
      <w:rPr>
        <w:lang w:val="zh-CN"/>
      </w:rPr>
      <w:t>1</w:t>
    </w:r>
    <w:r>
      <w:fldChar w:fldCharType="end"/>
    </w:r>
  </w:p>
  <w:p w14:paraId="2588F45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67F30"/>
    <w:multiLevelType w:val="multilevel"/>
    <w:tmpl w:val="0AC67F3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A6F4A20"/>
    <w:multiLevelType w:val="multilevel"/>
    <w:tmpl w:val="1A6F4A20"/>
    <w:lvl w:ilvl="0" w:tentative="0">
      <w:start w:val="1"/>
      <w:numFmt w:val="bullet"/>
      <w:lvlText w:val=""/>
      <w:lvlJc w:val="left"/>
      <w:pPr>
        <w:tabs>
          <w:tab w:val="left" w:pos="846"/>
        </w:tabs>
        <w:ind w:left="846"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74CA3624"/>
    <w:multiLevelType w:val="multilevel"/>
    <w:tmpl w:val="74CA362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7A7"/>
    <w:rsid w:val="00007EA6"/>
    <w:rsid w:val="00021079"/>
    <w:rsid w:val="00026054"/>
    <w:rsid w:val="00047E2A"/>
    <w:rsid w:val="00060850"/>
    <w:rsid w:val="000842E6"/>
    <w:rsid w:val="00084805"/>
    <w:rsid w:val="000853CC"/>
    <w:rsid w:val="000943F4"/>
    <w:rsid w:val="000A570D"/>
    <w:rsid w:val="000A69B7"/>
    <w:rsid w:val="000B3D50"/>
    <w:rsid w:val="000D4370"/>
    <w:rsid w:val="000F2E4F"/>
    <w:rsid w:val="000F518D"/>
    <w:rsid w:val="001221CF"/>
    <w:rsid w:val="0014052B"/>
    <w:rsid w:val="00155C75"/>
    <w:rsid w:val="0017585B"/>
    <w:rsid w:val="001823D9"/>
    <w:rsid w:val="00185EE8"/>
    <w:rsid w:val="00187097"/>
    <w:rsid w:val="001950BF"/>
    <w:rsid w:val="0019543E"/>
    <w:rsid w:val="00195CBC"/>
    <w:rsid w:val="0019600F"/>
    <w:rsid w:val="00196A4E"/>
    <w:rsid w:val="001A61F7"/>
    <w:rsid w:val="001B2F8F"/>
    <w:rsid w:val="001B3A94"/>
    <w:rsid w:val="001B6138"/>
    <w:rsid w:val="001E4898"/>
    <w:rsid w:val="001E5673"/>
    <w:rsid w:val="001F50BB"/>
    <w:rsid w:val="001F6F81"/>
    <w:rsid w:val="001F75AA"/>
    <w:rsid w:val="002061E0"/>
    <w:rsid w:val="00213C4D"/>
    <w:rsid w:val="002163DA"/>
    <w:rsid w:val="002236A5"/>
    <w:rsid w:val="00224A9E"/>
    <w:rsid w:val="002363ED"/>
    <w:rsid w:val="00236A4A"/>
    <w:rsid w:val="002457B1"/>
    <w:rsid w:val="002841A9"/>
    <w:rsid w:val="00293620"/>
    <w:rsid w:val="00297F3E"/>
    <w:rsid w:val="002D6411"/>
    <w:rsid w:val="002D7041"/>
    <w:rsid w:val="002E3D10"/>
    <w:rsid w:val="003041C1"/>
    <w:rsid w:val="003316D5"/>
    <w:rsid w:val="00331A85"/>
    <w:rsid w:val="003450C2"/>
    <w:rsid w:val="003654A6"/>
    <w:rsid w:val="00371DEF"/>
    <w:rsid w:val="00384B1C"/>
    <w:rsid w:val="003869B0"/>
    <w:rsid w:val="00390123"/>
    <w:rsid w:val="00395200"/>
    <w:rsid w:val="00396908"/>
    <w:rsid w:val="003976EE"/>
    <w:rsid w:val="003A06D4"/>
    <w:rsid w:val="003A4DA7"/>
    <w:rsid w:val="003B6221"/>
    <w:rsid w:val="003C2018"/>
    <w:rsid w:val="003E5FFD"/>
    <w:rsid w:val="003F602D"/>
    <w:rsid w:val="00401346"/>
    <w:rsid w:val="00405138"/>
    <w:rsid w:val="00417AC1"/>
    <w:rsid w:val="004257F1"/>
    <w:rsid w:val="00436D13"/>
    <w:rsid w:val="00443DED"/>
    <w:rsid w:val="0045288D"/>
    <w:rsid w:val="004606B8"/>
    <w:rsid w:val="00465438"/>
    <w:rsid w:val="004673E4"/>
    <w:rsid w:val="00475B53"/>
    <w:rsid w:val="004A081F"/>
    <w:rsid w:val="004A672B"/>
    <w:rsid w:val="004B5FF0"/>
    <w:rsid w:val="004B717D"/>
    <w:rsid w:val="004B71A6"/>
    <w:rsid w:val="004C2581"/>
    <w:rsid w:val="004C5A17"/>
    <w:rsid w:val="00500E58"/>
    <w:rsid w:val="0052079E"/>
    <w:rsid w:val="00544D6A"/>
    <w:rsid w:val="0054551F"/>
    <w:rsid w:val="005476D1"/>
    <w:rsid w:val="005834C8"/>
    <w:rsid w:val="0058573D"/>
    <w:rsid w:val="005926A7"/>
    <w:rsid w:val="005A1E43"/>
    <w:rsid w:val="005A2E77"/>
    <w:rsid w:val="005B329E"/>
    <w:rsid w:val="005C368B"/>
    <w:rsid w:val="005C66F1"/>
    <w:rsid w:val="00600DA4"/>
    <w:rsid w:val="00642058"/>
    <w:rsid w:val="00694957"/>
    <w:rsid w:val="006B0BBB"/>
    <w:rsid w:val="006B1BDF"/>
    <w:rsid w:val="006B2209"/>
    <w:rsid w:val="006B68BA"/>
    <w:rsid w:val="006C62AF"/>
    <w:rsid w:val="006C6B8F"/>
    <w:rsid w:val="006D0133"/>
    <w:rsid w:val="006E51BC"/>
    <w:rsid w:val="00754F36"/>
    <w:rsid w:val="007645C6"/>
    <w:rsid w:val="007646D3"/>
    <w:rsid w:val="00774016"/>
    <w:rsid w:val="00780D2C"/>
    <w:rsid w:val="00792168"/>
    <w:rsid w:val="007A28E6"/>
    <w:rsid w:val="007B28D5"/>
    <w:rsid w:val="007D70FB"/>
    <w:rsid w:val="007E6A71"/>
    <w:rsid w:val="007F2723"/>
    <w:rsid w:val="007F3093"/>
    <w:rsid w:val="00830FBB"/>
    <w:rsid w:val="00843A90"/>
    <w:rsid w:val="00876312"/>
    <w:rsid w:val="008A4E27"/>
    <w:rsid w:val="008B0B6F"/>
    <w:rsid w:val="008B23D9"/>
    <w:rsid w:val="008B4D26"/>
    <w:rsid w:val="008C60DA"/>
    <w:rsid w:val="008C7F48"/>
    <w:rsid w:val="008D703D"/>
    <w:rsid w:val="008E27F9"/>
    <w:rsid w:val="008E43AD"/>
    <w:rsid w:val="008E64CB"/>
    <w:rsid w:val="00900CCF"/>
    <w:rsid w:val="0093467C"/>
    <w:rsid w:val="009431DD"/>
    <w:rsid w:val="00943229"/>
    <w:rsid w:val="00946C9C"/>
    <w:rsid w:val="009503F6"/>
    <w:rsid w:val="00955532"/>
    <w:rsid w:val="00971C14"/>
    <w:rsid w:val="00983E7E"/>
    <w:rsid w:val="00996B4D"/>
    <w:rsid w:val="009972DF"/>
    <w:rsid w:val="009A3989"/>
    <w:rsid w:val="009A6186"/>
    <w:rsid w:val="009C08B1"/>
    <w:rsid w:val="009E3C66"/>
    <w:rsid w:val="009E4937"/>
    <w:rsid w:val="00A01669"/>
    <w:rsid w:val="00A0500F"/>
    <w:rsid w:val="00A15CBA"/>
    <w:rsid w:val="00A16F24"/>
    <w:rsid w:val="00A17194"/>
    <w:rsid w:val="00A212DB"/>
    <w:rsid w:val="00A21C02"/>
    <w:rsid w:val="00A244B0"/>
    <w:rsid w:val="00A33E41"/>
    <w:rsid w:val="00A526B5"/>
    <w:rsid w:val="00A67087"/>
    <w:rsid w:val="00A71F2A"/>
    <w:rsid w:val="00A82D8D"/>
    <w:rsid w:val="00A97C5F"/>
    <w:rsid w:val="00AA7603"/>
    <w:rsid w:val="00AE6D85"/>
    <w:rsid w:val="00B16767"/>
    <w:rsid w:val="00B67436"/>
    <w:rsid w:val="00B7694E"/>
    <w:rsid w:val="00B97EFD"/>
    <w:rsid w:val="00BB0307"/>
    <w:rsid w:val="00BB6BA8"/>
    <w:rsid w:val="00BC57A7"/>
    <w:rsid w:val="00BD2268"/>
    <w:rsid w:val="00BD5719"/>
    <w:rsid w:val="00BE5682"/>
    <w:rsid w:val="00BF3B09"/>
    <w:rsid w:val="00C01BE6"/>
    <w:rsid w:val="00C023FE"/>
    <w:rsid w:val="00C04FAA"/>
    <w:rsid w:val="00C11C35"/>
    <w:rsid w:val="00C161A5"/>
    <w:rsid w:val="00C17516"/>
    <w:rsid w:val="00C216F6"/>
    <w:rsid w:val="00C2348E"/>
    <w:rsid w:val="00C27CC1"/>
    <w:rsid w:val="00C37F29"/>
    <w:rsid w:val="00C46279"/>
    <w:rsid w:val="00C570AA"/>
    <w:rsid w:val="00C97CB6"/>
    <w:rsid w:val="00CA300F"/>
    <w:rsid w:val="00CA308D"/>
    <w:rsid w:val="00CB18B8"/>
    <w:rsid w:val="00CB6D83"/>
    <w:rsid w:val="00CF4B5B"/>
    <w:rsid w:val="00D01A16"/>
    <w:rsid w:val="00D24ACC"/>
    <w:rsid w:val="00D32FBD"/>
    <w:rsid w:val="00D57800"/>
    <w:rsid w:val="00D6176D"/>
    <w:rsid w:val="00D61CD5"/>
    <w:rsid w:val="00D701A8"/>
    <w:rsid w:val="00D85FF7"/>
    <w:rsid w:val="00D8711F"/>
    <w:rsid w:val="00DB7E82"/>
    <w:rsid w:val="00DD6FA7"/>
    <w:rsid w:val="00E15BF5"/>
    <w:rsid w:val="00E40D25"/>
    <w:rsid w:val="00E470FA"/>
    <w:rsid w:val="00E65B48"/>
    <w:rsid w:val="00E802B1"/>
    <w:rsid w:val="00E86231"/>
    <w:rsid w:val="00E906D2"/>
    <w:rsid w:val="00EA4F8D"/>
    <w:rsid w:val="00EB0827"/>
    <w:rsid w:val="00EC454C"/>
    <w:rsid w:val="00EC53BB"/>
    <w:rsid w:val="00ED1C6F"/>
    <w:rsid w:val="00ED5E3E"/>
    <w:rsid w:val="00EF5E6A"/>
    <w:rsid w:val="00F1145A"/>
    <w:rsid w:val="00F21D1A"/>
    <w:rsid w:val="00F3413D"/>
    <w:rsid w:val="00F34534"/>
    <w:rsid w:val="00F40B92"/>
    <w:rsid w:val="00F619E8"/>
    <w:rsid w:val="00F6441E"/>
    <w:rsid w:val="00F82E35"/>
    <w:rsid w:val="00F93C55"/>
    <w:rsid w:val="00FC3121"/>
    <w:rsid w:val="00FF0A15"/>
    <w:rsid w:val="00FF6C20"/>
    <w:rsid w:val="00FF76F7"/>
    <w:rsid w:val="0DC715F4"/>
    <w:rsid w:val="15DA31E7"/>
    <w:rsid w:val="19CC0E55"/>
    <w:rsid w:val="38F2332B"/>
    <w:rsid w:val="4A627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0"/>
    <w:pPr>
      <w:keepNext/>
      <w:keepLines/>
      <w:spacing w:before="260" w:after="260" w:line="416" w:lineRule="auto"/>
      <w:outlineLvl w:val="1"/>
    </w:pPr>
    <w:rPr>
      <w:rFonts w:ascii="Cambria" w:hAnsi="Cambria"/>
      <w:b/>
      <w:bCs/>
      <w:sz w:val="32"/>
      <w:szCs w:val="32"/>
      <w:lang w:bidi="mn-Mong-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6"/>
    <w:qFormat/>
    <w:uiPriority w:val="0"/>
    <w:rPr>
      <w:rFonts w:ascii="宋体"/>
      <w:sz w:val="18"/>
      <w:szCs w:val="18"/>
      <w:lang w:bidi="mn-Mong-CN"/>
    </w:rPr>
  </w:style>
  <w:style w:type="paragraph" w:styleId="5">
    <w:name w:val="annotation text"/>
    <w:basedOn w:val="1"/>
    <w:link w:val="17"/>
    <w:qFormat/>
    <w:uiPriority w:val="0"/>
    <w:pPr>
      <w:jc w:val="left"/>
    </w:pPr>
    <w:rPr>
      <w:lang w:bidi="mn-Mong-CN"/>
    </w:rPr>
  </w:style>
  <w:style w:type="paragraph" w:styleId="6">
    <w:name w:val="Balloon Text"/>
    <w:basedOn w:val="1"/>
    <w:link w:val="18"/>
    <w:qFormat/>
    <w:uiPriority w:val="0"/>
    <w:rPr>
      <w:sz w:val="18"/>
      <w:szCs w:val="18"/>
      <w:lang w:bidi="mn-Mong-CN"/>
    </w:rPr>
  </w:style>
  <w:style w:type="paragraph" w:styleId="7">
    <w:name w:val="footer"/>
    <w:basedOn w:val="1"/>
    <w:link w:val="19"/>
    <w:qFormat/>
    <w:uiPriority w:val="99"/>
    <w:pPr>
      <w:tabs>
        <w:tab w:val="center" w:pos="4153"/>
        <w:tab w:val="right" w:pos="8306"/>
      </w:tabs>
      <w:snapToGrid w:val="0"/>
      <w:jc w:val="left"/>
    </w:pPr>
    <w:rPr>
      <w:sz w:val="18"/>
      <w:szCs w:val="18"/>
      <w:lang w:bidi="mn-Mong-CN"/>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lang w:bidi="mn-Mong-CN"/>
    </w:rPr>
  </w:style>
  <w:style w:type="paragraph" w:styleId="9">
    <w:name w:val="annotation subject"/>
    <w:basedOn w:val="5"/>
    <w:next w:val="5"/>
    <w:link w:val="21"/>
    <w:qFormat/>
    <w:uiPriority w:val="0"/>
    <w:rPr>
      <w:b/>
      <w:bCs/>
    </w:rPr>
  </w:style>
  <w:style w:type="character" w:styleId="12">
    <w:name w:val="page number"/>
    <w:basedOn w:val="11"/>
    <w:qFormat/>
    <w:uiPriority w:val="0"/>
  </w:style>
  <w:style w:type="character" w:styleId="13">
    <w:name w:val="annotation reference"/>
    <w:qFormat/>
    <w:uiPriority w:val="0"/>
    <w:rPr>
      <w:sz w:val="21"/>
      <w:szCs w:val="21"/>
    </w:rPr>
  </w:style>
  <w:style w:type="character" w:customStyle="1" w:styleId="14">
    <w:name w:val="标题 1 字符"/>
    <w:link w:val="2"/>
    <w:qFormat/>
    <w:uiPriority w:val="0"/>
    <w:rPr>
      <w:rFonts w:eastAsia="宋体"/>
      <w:b/>
      <w:bCs/>
      <w:kern w:val="44"/>
      <w:sz w:val="44"/>
      <w:szCs w:val="44"/>
      <w:lang w:val="en-US" w:eastAsia="zh-CN" w:bidi="ar-SA"/>
    </w:rPr>
  </w:style>
  <w:style w:type="character" w:customStyle="1" w:styleId="15">
    <w:name w:val="标题 2 字符"/>
    <w:link w:val="3"/>
    <w:semiHidden/>
    <w:qFormat/>
    <w:uiPriority w:val="0"/>
    <w:rPr>
      <w:rFonts w:ascii="Cambria" w:hAnsi="Cambria" w:eastAsia="宋体" w:cs="Times New Roman"/>
      <w:b/>
      <w:bCs/>
      <w:kern w:val="2"/>
      <w:sz w:val="32"/>
      <w:szCs w:val="32"/>
    </w:rPr>
  </w:style>
  <w:style w:type="character" w:customStyle="1" w:styleId="16">
    <w:name w:val="文档结构图 字符"/>
    <w:link w:val="4"/>
    <w:qFormat/>
    <w:uiPriority w:val="0"/>
    <w:rPr>
      <w:rFonts w:ascii="宋体"/>
      <w:kern w:val="2"/>
      <w:sz w:val="18"/>
      <w:szCs w:val="18"/>
    </w:rPr>
  </w:style>
  <w:style w:type="character" w:customStyle="1" w:styleId="17">
    <w:name w:val="批注文字 字符"/>
    <w:link w:val="5"/>
    <w:qFormat/>
    <w:uiPriority w:val="0"/>
    <w:rPr>
      <w:kern w:val="2"/>
      <w:sz w:val="21"/>
      <w:szCs w:val="24"/>
    </w:rPr>
  </w:style>
  <w:style w:type="character" w:customStyle="1" w:styleId="18">
    <w:name w:val="批注框文本 字符"/>
    <w:link w:val="6"/>
    <w:qFormat/>
    <w:uiPriority w:val="0"/>
    <w:rPr>
      <w:kern w:val="2"/>
      <w:sz w:val="18"/>
      <w:szCs w:val="18"/>
    </w:rPr>
  </w:style>
  <w:style w:type="character" w:customStyle="1" w:styleId="19">
    <w:name w:val="页脚 字符"/>
    <w:link w:val="7"/>
    <w:qFormat/>
    <w:uiPriority w:val="99"/>
    <w:rPr>
      <w:kern w:val="2"/>
      <w:sz w:val="18"/>
      <w:szCs w:val="18"/>
    </w:rPr>
  </w:style>
  <w:style w:type="character" w:customStyle="1" w:styleId="20">
    <w:name w:val="页眉 字符"/>
    <w:link w:val="8"/>
    <w:qFormat/>
    <w:uiPriority w:val="0"/>
    <w:rPr>
      <w:kern w:val="2"/>
      <w:sz w:val="18"/>
      <w:szCs w:val="18"/>
    </w:rPr>
  </w:style>
  <w:style w:type="character" w:customStyle="1" w:styleId="21">
    <w:name w:val="批注主题 字符"/>
    <w:link w:val="9"/>
    <w:qFormat/>
    <w:uiPriority w:val="0"/>
    <w:rPr>
      <w:b/>
      <w:bCs/>
      <w:kern w:val="2"/>
      <w:sz w:val="21"/>
      <w:szCs w:val="24"/>
    </w:rPr>
  </w:style>
  <w:style w:type="paragraph" w:customStyle="1" w:styleId="22">
    <w:name w:val="_Style 21"/>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1941</Words>
  <Characters>1962</Characters>
  <Lines>103</Lines>
  <Paragraphs>78</Paragraphs>
  <TotalTime>2</TotalTime>
  <ScaleCrop>false</ScaleCrop>
  <LinksUpToDate>false</LinksUpToDate>
  <CharactersWithSpaces>3825</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2023-06-21T06:47:00Z</dcterms:created>
  <dc:creator>sse</dc:creator>
  <cp:lastModifiedBy>yjqin</cp:lastModifiedBy>
  <cp:lastPrinted>2019-03-30T01:47:00Z</cp:lastPrinted>
  <dcterms:modified xsi:type="dcterms:W3CDTF">2025-08-21T11:57:59Z</dcterms:modified>
  <dc:title>第十号 上市公司关联交易公告</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67791D32950848B4A44B80EC501BCB20_13</vt:lpwstr>
  </property>
</Properties>
</file>