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8ECD">
      <w:pPr>
        <w:jc w:val="center"/>
        <w:rPr>
          <w:rFonts w:ascii="Times New Roman" w:hAnsi="Times New Roman" w:eastAsia="黑体"/>
          <w:b/>
          <w:bCs/>
          <w:sz w:val="36"/>
          <w:szCs w:val="36"/>
        </w:rPr>
      </w:pPr>
      <w:bookmarkStart w:id="2" w:name="_GoBack"/>
      <w:bookmarkEnd w:id="2"/>
      <w:bookmarkStart w:id="0" w:name="_Toc330904139"/>
      <w:bookmarkStart w:id="1" w:name="_Toc340839624"/>
      <w:r>
        <w:rPr>
          <w:rFonts w:ascii="Times New Roman" w:hAnsi="Times New Roman" w:eastAsia="黑体"/>
          <w:b/>
          <w:bCs/>
          <w:sz w:val="36"/>
          <w:szCs w:val="36"/>
        </w:rPr>
        <w:t>第二十</w:t>
      </w:r>
      <w:r>
        <w:rPr>
          <w:rFonts w:hint="eastAsia" w:ascii="Times New Roman" w:hAnsi="Times New Roman" w:eastAsia="黑体"/>
          <w:b/>
          <w:bCs/>
          <w:sz w:val="36"/>
          <w:szCs w:val="36"/>
        </w:rPr>
        <w:t>九</w:t>
      </w:r>
      <w:r>
        <w:rPr>
          <w:rFonts w:ascii="Times New Roman" w:hAnsi="Times New Roman" w:eastAsia="黑体"/>
          <w:b/>
          <w:bCs/>
          <w:sz w:val="36"/>
          <w:szCs w:val="36"/>
        </w:rPr>
        <w:t>号 上市公司重大诉讼（仲裁）公告</w:t>
      </w:r>
      <w:bookmarkEnd w:id="0"/>
      <w:bookmarkEnd w:id="1"/>
    </w:p>
    <w:p w14:paraId="15831030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6010C060">
      <w:pPr>
        <w:autoSpaceDE w:val="0"/>
        <w:autoSpaceDN w:val="0"/>
        <w:adjustRightInd w:val="0"/>
        <w:snapToGrid w:val="0"/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适用情形：</w:t>
      </w:r>
    </w:p>
    <w:p w14:paraId="7DB112E4">
      <w:pPr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．</w:t>
      </w:r>
      <w:r>
        <w:rPr>
          <w:rFonts w:ascii="Times New Roman" w:hAnsi="Times New Roman" w:eastAsia="仿宋_GB2312"/>
          <w:color w:val="000000"/>
          <w:sz w:val="30"/>
          <w:szCs w:val="30"/>
        </w:rPr>
        <w:t>上市公司发生《股票上市规则》第七章第四节规定的情形，应当适用本公告格式披露公告。单个诉讼、仲裁涉案金额虽未达到披露要求，但连续12个月内发生的诉讼和仲裁涉案金额累计发生额达到上述标准金额的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，</w:t>
      </w:r>
      <w:r>
        <w:rPr>
          <w:rFonts w:ascii="Times New Roman" w:hAnsi="Times New Roman" w:eastAsia="仿宋_GB2312"/>
          <w:color w:val="000000"/>
          <w:sz w:val="30"/>
          <w:szCs w:val="30"/>
        </w:rPr>
        <w:t>可以仅将本次诉讼（仲裁）事项按照本所相关要求披露，并在公告中逐项简要说明前期累计未达到披露标准的诉讼（仲裁）事项。</w:t>
      </w:r>
    </w:p>
    <w:p w14:paraId="0D2EA3E0">
      <w:pPr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．</w:t>
      </w:r>
      <w:r>
        <w:rPr>
          <w:rFonts w:ascii="Times New Roman" w:hAnsi="Times New Roman" w:eastAsia="仿宋_GB2312"/>
          <w:color w:val="000000"/>
          <w:sz w:val="30"/>
          <w:szCs w:val="30"/>
        </w:rPr>
        <w:t>上市公司应当适用本公告格式及时披露重大诉讼、仲裁事项的重大进展情况及其对公司的影响，包括但不限于诉讼案件的一审和二审裁判结果、仲裁案件的裁决结果以及裁判、裁决执行情况、对公司的影响等。</w:t>
      </w:r>
    </w:p>
    <w:p w14:paraId="51518358">
      <w:pPr>
        <w:spacing w:line="560" w:lineRule="exact"/>
        <w:rPr>
          <w:rFonts w:ascii="Times New Roman" w:hAnsi="Times New Roman" w:eastAsia="仿宋_GB2312"/>
          <w:sz w:val="30"/>
          <w:szCs w:val="30"/>
        </w:rPr>
      </w:pPr>
    </w:p>
    <w:p w14:paraId="3F289EEF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证券代码：             证券简称：            公告编号：</w:t>
      </w:r>
    </w:p>
    <w:p w14:paraId="14661A1B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2C044B23">
      <w:pPr>
        <w:snapToGrid w:val="0"/>
        <w:spacing w:line="560" w:lineRule="exact"/>
        <w:jc w:val="center"/>
        <w:rPr>
          <w:rFonts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XXXX股份有限公司重大诉讼（仲裁）公告</w:t>
      </w:r>
    </w:p>
    <w:p w14:paraId="3BC34293">
      <w:pPr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4CDDD878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本公司董事会及全体董事保证本公告内容不存在任何虚假记载、误导性陈述或者重大遗漏，并对其内容的真实性、准确性和完整性承担法律责任。</w:t>
      </w:r>
    </w:p>
    <w:p w14:paraId="75C64FFA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53F72899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</w:p>
    <w:p w14:paraId="4BDD5C4F">
      <w:pPr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重要内容提示：</w:t>
      </w:r>
    </w:p>
    <w:p w14:paraId="062B1DAB">
      <w:pPr>
        <w:pStyle w:val="11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案件所处的诉讼（仲裁）阶段</w:t>
      </w:r>
    </w:p>
    <w:p w14:paraId="3F1DC9D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上市公司所处的当事人地位</w:t>
      </w:r>
    </w:p>
    <w:p w14:paraId="74D60B95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涉案的金额</w:t>
      </w:r>
    </w:p>
    <w:p w14:paraId="52874D5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是否会对上市公司损益产生负面影响</w:t>
      </w:r>
    </w:p>
    <w:p w14:paraId="2BAEBFF9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/>
          <w:b/>
          <w:sz w:val="30"/>
          <w:szCs w:val="30"/>
        </w:rPr>
      </w:pPr>
    </w:p>
    <w:p w14:paraId="6A07843A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/>
          <w:b/>
          <w:sz w:val="30"/>
          <w:szCs w:val="30"/>
        </w:rPr>
      </w:pPr>
      <w:r>
        <w:rPr>
          <w:rFonts w:ascii="Times New Roman" w:hAnsi="Times New Roman" w:eastAsia="黑体"/>
          <w:b/>
          <w:sz w:val="30"/>
          <w:szCs w:val="30"/>
        </w:rPr>
        <w:t>一、本次重大诉讼起诉或仲裁申请的基本情况（或者被起诉或被申请仲裁的基本情况）</w:t>
      </w:r>
    </w:p>
    <w:p w14:paraId="3D689DEE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说明本次诉讼或仲裁起诉时间、受理时间，诉讼或仲裁机构名称及所在地，诉讼或仲裁各方当事人、代理人及其单位的姓名或名称。</w:t>
      </w:r>
    </w:p>
    <w:p w14:paraId="717F8CC6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被起诉或被申请仲裁的，说明公司收到起诉状或申请书的时间，诉讼或仲裁机构名称及所在地，诉讼或仲裁各方当事人、代理人及其单位的姓名或名称。</w:t>
      </w:r>
    </w:p>
    <w:p w14:paraId="4548758D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07D2722D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二、诉讼或仲裁的案件事实、请求、反诉或反请求的内容及其理由</w:t>
      </w:r>
    </w:p>
    <w:p w14:paraId="2F72D48F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说明本案的基本情况，包括案件事实、诉讼或仲裁的请求内容、理由等，本方或对方的反诉或反请求内容及其理由（如有）。</w:t>
      </w:r>
    </w:p>
    <w:p w14:paraId="63512BDE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3C0CCD26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三、诉讼裁判情况或仲裁裁决情况（适用于裁判或裁决阶段）</w:t>
      </w:r>
    </w:p>
    <w:p w14:paraId="5226FB0D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说明诉讼裁判或仲裁裁决的日期、结果、是否已经生效以及各方当事人对结果的意见（如有）。</w:t>
      </w:r>
    </w:p>
    <w:p w14:paraId="3C7A102B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31CB116C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四、案件执行情况（适用于执行阶段）</w:t>
      </w:r>
    </w:p>
    <w:p w14:paraId="566820DE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说明案件自愿执行或执行和解情况。</w:t>
      </w:r>
    </w:p>
    <w:p w14:paraId="73C1CD2C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败诉方不履行的，说明申请强制执行的法院名称、时间及申请内容。</w:t>
      </w:r>
    </w:p>
    <w:p w14:paraId="6CE8F9BB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对执行有异议的，说明书面异议的内容、时间以及有关执行裁定内容。</w:t>
      </w:r>
    </w:p>
    <w:p w14:paraId="40C178BD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5941C399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五、调解情况（如适用）</w:t>
      </w:r>
    </w:p>
    <w:p w14:paraId="4AF9B5B9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进行调解的理由，达成调解协议的时间及其内容，收到调解书的时间及其内容。</w:t>
      </w:r>
    </w:p>
    <w:p w14:paraId="68BD5EAF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43E64FAB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六、二审情况（如适用）</w:t>
      </w:r>
    </w:p>
    <w:p w14:paraId="758B22C4">
      <w:pPr>
        <w:autoSpaceDE w:val="0"/>
        <w:autoSpaceDN w:val="0"/>
        <w:adjustRightInd w:val="0"/>
        <w:spacing w:line="560" w:lineRule="exact"/>
        <w:ind w:firstLine="576" w:firstLineChars="192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说明上诉的时间、请求、理由、受理的法院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、裁判结果（如有）</w:t>
      </w:r>
      <w:r>
        <w:rPr>
          <w:rFonts w:ascii="Times New Roman" w:hAnsi="Times New Roman" w:eastAsia="仿宋_GB2312"/>
          <w:color w:val="000000"/>
          <w:sz w:val="30"/>
          <w:szCs w:val="30"/>
        </w:rPr>
        <w:t>等。</w:t>
      </w:r>
    </w:p>
    <w:p w14:paraId="75C1BCA0">
      <w:pPr>
        <w:autoSpaceDE w:val="0"/>
        <w:autoSpaceDN w:val="0"/>
        <w:adjustRightInd w:val="0"/>
        <w:spacing w:line="560" w:lineRule="exact"/>
        <w:ind w:firstLine="576" w:firstLineChars="192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被上诉的，说明收到对方上诉状的时间、对方的请求、理由、受理的法院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、裁判结果（如有）</w:t>
      </w:r>
      <w:r>
        <w:rPr>
          <w:rFonts w:ascii="Times New Roman" w:hAnsi="Times New Roman" w:eastAsia="仿宋_GB2312"/>
          <w:color w:val="000000"/>
          <w:sz w:val="30"/>
          <w:szCs w:val="30"/>
        </w:rPr>
        <w:t>等。</w:t>
      </w:r>
    </w:p>
    <w:p w14:paraId="246E370B">
      <w:pPr>
        <w:autoSpaceDE w:val="0"/>
        <w:autoSpaceDN w:val="0"/>
        <w:adjustRightInd w:val="0"/>
        <w:spacing w:line="560" w:lineRule="exact"/>
        <w:ind w:firstLine="576" w:firstLineChars="192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334270A5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七、再审情况（如适用）</w:t>
      </w:r>
    </w:p>
    <w:p w14:paraId="16E84701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说明申请再审的时间、请求、理由、受理的法院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、裁判结果（如有）</w:t>
      </w:r>
      <w:r>
        <w:rPr>
          <w:rFonts w:ascii="Times New Roman" w:hAnsi="Times New Roman" w:eastAsia="仿宋_GB2312"/>
          <w:color w:val="000000"/>
          <w:sz w:val="30"/>
          <w:szCs w:val="30"/>
        </w:rPr>
        <w:t>等。</w:t>
      </w:r>
    </w:p>
    <w:p w14:paraId="67F8BBC4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被申请再审的，说明收到对方再审申请书的时间、对方的请求、理由、受理的法院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、裁判结果（如有）</w:t>
      </w:r>
      <w:r>
        <w:rPr>
          <w:rFonts w:ascii="Times New Roman" w:hAnsi="Times New Roman" w:eastAsia="仿宋_GB2312"/>
          <w:color w:val="000000"/>
          <w:sz w:val="30"/>
          <w:szCs w:val="30"/>
        </w:rPr>
        <w:t>等。</w:t>
      </w:r>
    </w:p>
    <w:p w14:paraId="4C483634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0954473B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八、本次公告的诉讼、仲裁对公司本期利润或期后利润等的影响</w:t>
      </w:r>
    </w:p>
    <w:p w14:paraId="013D49DA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</w:p>
    <w:p w14:paraId="2746D224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九、公司（包括控股子公司在内）是否还存在尚未披露的其他诉讼、仲裁事项</w:t>
      </w:r>
      <w:r>
        <w:rPr>
          <w:rFonts w:ascii="Times New Roman" w:hAnsi="Times New Roman" w:eastAsia="仿宋_GB2312"/>
          <w:color w:val="000000"/>
          <w:sz w:val="30"/>
          <w:szCs w:val="30"/>
        </w:rPr>
        <w:cr/>
      </w:r>
    </w:p>
    <w:p w14:paraId="62F86D6B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特此公告。</w:t>
      </w:r>
    </w:p>
    <w:p w14:paraId="6F8A8C01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</w:p>
    <w:p w14:paraId="3129FAB3">
      <w:pPr>
        <w:autoSpaceDE w:val="0"/>
        <w:autoSpaceDN w:val="0"/>
        <w:adjustRightInd w:val="0"/>
        <w:spacing w:line="560" w:lineRule="exact"/>
        <w:jc w:val="right"/>
        <w:rPr>
          <w:rFonts w:ascii="仿宋_GB2312" w:hAnsi="Times New Roman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kern w:val="0"/>
          <w:sz w:val="30"/>
          <w:szCs w:val="30"/>
        </w:rPr>
        <w:t>××××股份有限公司董事会</w:t>
      </w:r>
    </w:p>
    <w:p w14:paraId="32837414">
      <w:pPr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 xml:space="preserve"> 年  月  日</w:t>
      </w:r>
    </w:p>
    <w:p w14:paraId="7808EEF1">
      <w:pPr>
        <w:rPr>
          <w:rFonts w:ascii="Times New Roman" w:hAnsi="Times New Roman"/>
          <w:kern w:val="0"/>
        </w:rPr>
      </w:pPr>
    </w:p>
    <w:p w14:paraId="7FE837E3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01252"/>
      <w:docPartObj>
        <w:docPartGallery w:val="autotext"/>
      </w:docPartObj>
    </w:sdtPr>
    <w:sdtContent>
      <w:p w14:paraId="5494EF71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0B2A20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0764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CD"/>
    <w:rsid w:val="00000558"/>
    <w:rsid w:val="00013753"/>
    <w:rsid w:val="00050D3D"/>
    <w:rsid w:val="00065E1E"/>
    <w:rsid w:val="00092C9E"/>
    <w:rsid w:val="000A1447"/>
    <w:rsid w:val="000C5603"/>
    <w:rsid w:val="000D1016"/>
    <w:rsid w:val="000E0E00"/>
    <w:rsid w:val="000F1DBC"/>
    <w:rsid w:val="00111786"/>
    <w:rsid w:val="00117CF8"/>
    <w:rsid w:val="00126188"/>
    <w:rsid w:val="0013027C"/>
    <w:rsid w:val="001368F4"/>
    <w:rsid w:val="00170AB9"/>
    <w:rsid w:val="001B3D91"/>
    <w:rsid w:val="00202605"/>
    <w:rsid w:val="00261A4A"/>
    <w:rsid w:val="00285A01"/>
    <w:rsid w:val="00292AB0"/>
    <w:rsid w:val="0029522F"/>
    <w:rsid w:val="00313A26"/>
    <w:rsid w:val="003157CF"/>
    <w:rsid w:val="00333C5C"/>
    <w:rsid w:val="00364399"/>
    <w:rsid w:val="003933D6"/>
    <w:rsid w:val="003A5EBF"/>
    <w:rsid w:val="003C27D1"/>
    <w:rsid w:val="003E3248"/>
    <w:rsid w:val="004101E3"/>
    <w:rsid w:val="00412966"/>
    <w:rsid w:val="00413D8B"/>
    <w:rsid w:val="00433AAF"/>
    <w:rsid w:val="004C29BB"/>
    <w:rsid w:val="004C6B8D"/>
    <w:rsid w:val="00501CDA"/>
    <w:rsid w:val="00503EAC"/>
    <w:rsid w:val="005062D3"/>
    <w:rsid w:val="00511A24"/>
    <w:rsid w:val="00570CB1"/>
    <w:rsid w:val="00583ACF"/>
    <w:rsid w:val="00592E71"/>
    <w:rsid w:val="005D0FB3"/>
    <w:rsid w:val="005F19E0"/>
    <w:rsid w:val="00631267"/>
    <w:rsid w:val="00640F12"/>
    <w:rsid w:val="006445A8"/>
    <w:rsid w:val="006506A6"/>
    <w:rsid w:val="00671F22"/>
    <w:rsid w:val="006754DD"/>
    <w:rsid w:val="00685663"/>
    <w:rsid w:val="006B2E3E"/>
    <w:rsid w:val="006B45CE"/>
    <w:rsid w:val="006B6E10"/>
    <w:rsid w:val="006E7296"/>
    <w:rsid w:val="006F29C0"/>
    <w:rsid w:val="006F29D7"/>
    <w:rsid w:val="006F5E1E"/>
    <w:rsid w:val="007338BC"/>
    <w:rsid w:val="00760629"/>
    <w:rsid w:val="0076233A"/>
    <w:rsid w:val="007956F6"/>
    <w:rsid w:val="007D0842"/>
    <w:rsid w:val="007D4F8E"/>
    <w:rsid w:val="007F5949"/>
    <w:rsid w:val="00812243"/>
    <w:rsid w:val="0086542F"/>
    <w:rsid w:val="00865F29"/>
    <w:rsid w:val="00874313"/>
    <w:rsid w:val="00876A9F"/>
    <w:rsid w:val="00887343"/>
    <w:rsid w:val="008964A6"/>
    <w:rsid w:val="00896982"/>
    <w:rsid w:val="008E2FF0"/>
    <w:rsid w:val="00966BC8"/>
    <w:rsid w:val="00987F33"/>
    <w:rsid w:val="009A7868"/>
    <w:rsid w:val="00A11137"/>
    <w:rsid w:val="00A245CA"/>
    <w:rsid w:val="00A24EC4"/>
    <w:rsid w:val="00A3130B"/>
    <w:rsid w:val="00A317FA"/>
    <w:rsid w:val="00A3270F"/>
    <w:rsid w:val="00A3706D"/>
    <w:rsid w:val="00A420F7"/>
    <w:rsid w:val="00A81AF7"/>
    <w:rsid w:val="00A925B4"/>
    <w:rsid w:val="00AA1DF6"/>
    <w:rsid w:val="00AA4577"/>
    <w:rsid w:val="00AB25F9"/>
    <w:rsid w:val="00AC6182"/>
    <w:rsid w:val="00AD3E2C"/>
    <w:rsid w:val="00B2381A"/>
    <w:rsid w:val="00B32C8E"/>
    <w:rsid w:val="00B3338B"/>
    <w:rsid w:val="00B43E76"/>
    <w:rsid w:val="00BC695E"/>
    <w:rsid w:val="00BC7A73"/>
    <w:rsid w:val="00BF22A8"/>
    <w:rsid w:val="00BF2ECD"/>
    <w:rsid w:val="00C41018"/>
    <w:rsid w:val="00C43ABA"/>
    <w:rsid w:val="00C578DC"/>
    <w:rsid w:val="00C63137"/>
    <w:rsid w:val="00C66EA6"/>
    <w:rsid w:val="00CD0630"/>
    <w:rsid w:val="00CD235E"/>
    <w:rsid w:val="00CE1CDF"/>
    <w:rsid w:val="00D14999"/>
    <w:rsid w:val="00D43119"/>
    <w:rsid w:val="00D60B59"/>
    <w:rsid w:val="00D63AF4"/>
    <w:rsid w:val="00D67E47"/>
    <w:rsid w:val="00D90BBC"/>
    <w:rsid w:val="00DD0C07"/>
    <w:rsid w:val="00DD5D73"/>
    <w:rsid w:val="00E31B71"/>
    <w:rsid w:val="00E7371E"/>
    <w:rsid w:val="00E813D0"/>
    <w:rsid w:val="00E96D0B"/>
    <w:rsid w:val="00F0656D"/>
    <w:rsid w:val="00F274BF"/>
    <w:rsid w:val="00F34874"/>
    <w:rsid w:val="00F40FCD"/>
    <w:rsid w:val="00F45081"/>
    <w:rsid w:val="00F5099B"/>
    <w:rsid w:val="00F62EC0"/>
    <w:rsid w:val="00F877B2"/>
    <w:rsid w:val="00FC6E09"/>
    <w:rsid w:val="045F50B9"/>
    <w:rsid w:val="40942D0D"/>
    <w:rsid w:val="4C07091A"/>
    <w:rsid w:val="75F7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7">
    <w:name w:val="hitclass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</Words>
  <Characters>1140</Characters>
  <Lines>9</Lines>
  <Paragraphs>2</Paragraphs>
  <TotalTime>1246</TotalTime>
  <ScaleCrop>false</ScaleCrop>
  <LinksUpToDate>false</LinksUpToDate>
  <CharactersWithSpaces>1338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2021-01-22T19:49:00Z</dcterms:created>
  <dc:creator>whzhou</dc:creator>
  <cp:lastModifiedBy>wentinglou</cp:lastModifiedBy>
  <dcterms:modified xsi:type="dcterms:W3CDTF">2025-08-25T15:38:34Z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34E85F31452E4C8EACAB008705DBE0D0_13</vt:lpwstr>
  </property>
</Properties>
</file>