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9FAE0">
      <w:pPr>
        <w:spacing w:line="600" w:lineRule="exact"/>
        <w:rPr>
          <w:rFonts w:ascii="仿宋_GB2312" w:hAnsi="仿宋_GB2312" w:eastAsia="仿宋_GB2312" w:cs="仿宋_GB2312"/>
          <w:sz w:val="30"/>
          <w:szCs w:val="30"/>
        </w:rPr>
      </w:pPr>
    </w:p>
    <w:p w14:paraId="0BD64B37">
      <w:pPr>
        <w:spacing w:line="600" w:lineRule="exact"/>
        <w:rPr>
          <w:rFonts w:ascii="仿宋_GB2312" w:hAnsi="仿宋_GB2312" w:eastAsia="仿宋_GB2312" w:cs="仿宋_GB2312"/>
          <w:sz w:val="30"/>
          <w:szCs w:val="30"/>
        </w:rPr>
      </w:pPr>
    </w:p>
    <w:p w14:paraId="50DEE188">
      <w:pPr>
        <w:jc w:val="center"/>
        <w:rPr>
          <w:rFonts w:ascii="黑体" w:hAnsi="黑体" w:eastAsia="黑体"/>
          <w:sz w:val="36"/>
          <w:szCs w:val="36"/>
        </w:rPr>
      </w:pPr>
      <w:r>
        <w:rPr>
          <w:rFonts w:hint="eastAsia" w:ascii="黑体" w:hAnsi="黑体" w:eastAsia="黑体"/>
          <w:sz w:val="36"/>
          <w:szCs w:val="36"/>
        </w:rPr>
        <w:t>第五十号 上市公司股票风险警示及终止上市相关事项公告</w:t>
      </w:r>
    </w:p>
    <w:p w14:paraId="266B9CF8">
      <w:pPr>
        <w:autoSpaceDE w:val="0"/>
        <w:autoSpaceDN w:val="0"/>
        <w:adjustRightInd w:val="0"/>
        <w:spacing w:line="560" w:lineRule="exact"/>
        <w:jc w:val="left"/>
        <w:rPr>
          <w:rFonts w:ascii="仿宋_GB2312" w:eastAsia="仿宋_GB2312"/>
          <w:color w:val="000000"/>
          <w:sz w:val="30"/>
          <w:szCs w:val="30"/>
        </w:rPr>
      </w:pPr>
    </w:p>
    <w:p w14:paraId="66817C9D">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上市公司涉及风险警示及终止上市等情形的披露，</w:t>
      </w:r>
      <w:r>
        <w:rPr>
          <w:rFonts w:ascii="仿宋_GB2312" w:eastAsia="仿宋_GB2312"/>
          <w:color w:val="000000"/>
          <w:sz w:val="30"/>
          <w:szCs w:val="30"/>
        </w:rPr>
        <w:t>应当</w:t>
      </w:r>
      <w:r>
        <w:rPr>
          <w:rFonts w:hint="eastAsia" w:ascii="仿宋_GB2312" w:eastAsia="仿宋_GB2312"/>
          <w:color w:val="000000"/>
          <w:sz w:val="30"/>
          <w:szCs w:val="30"/>
        </w:rPr>
        <w:t>适用本公告格式。公告标题或正文中的“风险警示</w:t>
      </w:r>
      <w:bookmarkStart w:id="18" w:name="_GoBack"/>
      <w:bookmarkEnd w:id="18"/>
      <w:r>
        <w:rPr>
          <w:rFonts w:hint="eastAsia" w:ascii="仿宋_GB2312" w:eastAsia="仿宋_GB2312"/>
          <w:color w:val="000000"/>
          <w:sz w:val="30"/>
          <w:szCs w:val="30"/>
        </w:rPr>
        <w:t>”字样，</w:t>
      </w:r>
      <w:r>
        <w:rPr>
          <w:rFonts w:ascii="仿宋_GB2312" w:eastAsia="仿宋_GB2312"/>
          <w:color w:val="000000"/>
          <w:sz w:val="30"/>
          <w:szCs w:val="30"/>
        </w:rPr>
        <w:t>应当</w:t>
      </w:r>
      <w:r>
        <w:rPr>
          <w:rFonts w:hint="eastAsia" w:ascii="仿宋_GB2312" w:eastAsia="仿宋_GB2312"/>
          <w:color w:val="000000"/>
          <w:sz w:val="30"/>
          <w:szCs w:val="30"/>
        </w:rPr>
        <w:t>根据实际情况，明确表述为“退市风险警示”或“其他风险警示”。如上市公司同时存在实施风险警示和撤销风险警示的情况，需按照相关公告格式，将应当披露的内容全部完整披露。</w:t>
      </w:r>
    </w:p>
    <w:p w14:paraId="5E05EF03">
      <w:pPr>
        <w:spacing w:line="560" w:lineRule="exact"/>
        <w:ind w:firstLine="600" w:firstLineChars="200"/>
        <w:rPr>
          <w:rFonts w:ascii="仿宋_GB2312" w:eastAsia="仿宋_GB2312"/>
          <w:color w:val="000000"/>
          <w:sz w:val="30"/>
          <w:szCs w:val="30"/>
        </w:rPr>
      </w:pPr>
    </w:p>
    <w:sdt>
      <w:sdtPr>
        <w:rPr>
          <w:rFonts w:hint="eastAsia" w:ascii="Calibri" w:eastAsia="宋体"/>
          <w:sz w:val="21"/>
          <w:szCs w:val="22"/>
          <w:lang w:val="zh-CN"/>
        </w:rPr>
        <w:id w:val="409848108"/>
        <w:docPartObj>
          <w:docPartGallery w:val="Table of Contents"/>
          <w:docPartUnique/>
        </w:docPartObj>
      </w:sdtPr>
      <w:sdtEndPr>
        <w:rPr>
          <w:rFonts w:hint="eastAsia" w:ascii="Calibri" w:eastAsia="宋体"/>
          <w:sz w:val="21"/>
          <w:szCs w:val="22"/>
          <w:lang w:val="en-US"/>
        </w:rPr>
      </w:sdtEndPr>
      <w:sdtContent>
        <w:p w14:paraId="1ABCDFDF">
          <w:pPr>
            <w:pStyle w:val="9"/>
            <w:rPr>
              <w:rFonts w:hAnsiTheme="minorHAnsi" w:cstheme="minorBidi"/>
            </w:rPr>
          </w:pPr>
          <w:r>
            <w:rPr>
              <w:rFonts w:hint="eastAsia" w:hAnsiTheme="majorHAnsi" w:cstheme="majorBidi"/>
              <w:color w:val="376092" w:themeColor="accent1" w:themeShade="BF"/>
              <w:kern w:val="0"/>
            </w:rPr>
            <w:fldChar w:fldCharType="begin"/>
          </w:r>
          <w:r>
            <w:instrText xml:space="preserve"> TOC \o "1-3" \h \z \u </w:instrText>
          </w:r>
          <w:r>
            <w:rPr>
              <w:rFonts w:hint="eastAsia" w:hAnsiTheme="majorHAnsi" w:cstheme="majorBidi"/>
              <w:color w:val="376092" w:themeColor="accent1" w:themeShade="BF"/>
              <w:kern w:val="0"/>
            </w:rPr>
            <w:fldChar w:fldCharType="separate"/>
          </w:r>
          <w:r>
            <w:fldChar w:fldCharType="begin"/>
          </w:r>
          <w:r>
            <w:instrText xml:space="preserve"> HYPERLINK \l "_Toc101642601" </w:instrText>
          </w:r>
          <w:r>
            <w:fldChar w:fldCharType="separate"/>
          </w:r>
          <w:r>
            <w:rPr>
              <w:rStyle w:val="16"/>
              <w:rFonts w:hint="eastAsia"/>
              <w:b/>
              <w:bCs/>
            </w:rPr>
            <w:t>一、风险警示的实施与撤销相关公告</w:t>
          </w:r>
          <w:r>
            <w:tab/>
          </w:r>
          <w:r>
            <w:fldChar w:fldCharType="begin"/>
          </w:r>
          <w:r>
            <w:instrText xml:space="preserve"> PAGEREF _Toc101642601 \h </w:instrText>
          </w:r>
          <w:r>
            <w:fldChar w:fldCharType="separate"/>
          </w:r>
          <w:r>
            <w:t>2</w:t>
          </w:r>
          <w:r>
            <w:fldChar w:fldCharType="end"/>
          </w:r>
          <w:r>
            <w:fldChar w:fldCharType="end"/>
          </w:r>
        </w:p>
        <w:p w14:paraId="72C5D683">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"_Toc101642602" </w:instrText>
          </w:r>
          <w:r>
            <w:fldChar w:fldCharType="separate"/>
          </w:r>
          <w:r>
            <w:rPr>
              <w:rStyle w:val="16"/>
              <w:rFonts w:hint="eastAsia" w:ascii="仿宋_GB2312" w:eastAsia="仿宋_GB2312"/>
              <w:sz w:val="30"/>
              <w:szCs w:val="30"/>
            </w:rPr>
            <w:t>1.上市公司股票可能被实施退市风险警示的风险提示公告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_Toc101642602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14:paraId="7F579FF6">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"_Toc101642603" </w:instrText>
          </w:r>
          <w:r>
            <w:fldChar w:fldCharType="separate"/>
          </w:r>
          <w:r>
            <w:rPr>
              <w:rStyle w:val="16"/>
              <w:rFonts w:hint="eastAsia" w:ascii="仿宋_GB2312" w:eastAsia="仿宋_GB2312"/>
              <w:sz w:val="30"/>
              <w:szCs w:val="30"/>
            </w:rPr>
            <w:t>2.上市公司股票实施风险警示</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_Toc101642603 \h </w:instrText>
          </w:r>
          <w:r>
            <w:rPr>
              <w:rFonts w:ascii="仿宋_GB2312" w:eastAsia="仿宋_GB2312"/>
              <w:sz w:val="30"/>
              <w:szCs w:val="30"/>
            </w:rPr>
            <w:fldChar w:fldCharType="separate"/>
          </w:r>
          <w:r>
            <w:rPr>
              <w:rFonts w:ascii="仿宋_GB2312" w:eastAsia="仿宋_GB2312"/>
              <w:sz w:val="30"/>
              <w:szCs w:val="30"/>
            </w:rPr>
            <w:t>4</w:t>
          </w:r>
          <w:r>
            <w:rPr>
              <w:rFonts w:ascii="仿宋_GB2312" w:eastAsia="仿宋_GB2312"/>
              <w:sz w:val="30"/>
              <w:szCs w:val="30"/>
            </w:rPr>
            <w:fldChar w:fldCharType="end"/>
          </w:r>
          <w:r>
            <w:rPr>
              <w:rFonts w:ascii="仿宋_GB2312" w:eastAsia="仿宋_GB2312"/>
              <w:sz w:val="30"/>
              <w:szCs w:val="30"/>
            </w:rPr>
            <w:fldChar w:fldCharType="end"/>
          </w:r>
        </w:p>
        <w:p w14:paraId="598983AC">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"_Toc101642604" </w:instrText>
          </w:r>
          <w:r>
            <w:fldChar w:fldCharType="separate"/>
          </w:r>
          <w:r>
            <w:rPr>
              <w:rStyle w:val="16"/>
              <w:rFonts w:hint="eastAsia" w:ascii="仿宋_GB2312" w:eastAsia="仿宋_GB2312"/>
              <w:sz w:val="30"/>
              <w:szCs w:val="30"/>
            </w:rPr>
            <w:t>3.上市公司股票撤销风险警示</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_Toc101642604 \h </w:instrText>
          </w:r>
          <w:r>
            <w:rPr>
              <w:rFonts w:ascii="仿宋_GB2312" w:eastAsia="仿宋_GB2312"/>
              <w:sz w:val="30"/>
              <w:szCs w:val="30"/>
            </w:rPr>
            <w:fldChar w:fldCharType="separate"/>
          </w:r>
          <w:r>
            <w:rPr>
              <w:rFonts w:ascii="仿宋_GB2312" w:eastAsia="仿宋_GB2312"/>
              <w:sz w:val="30"/>
              <w:szCs w:val="30"/>
            </w:rPr>
            <w:t>7</w:t>
          </w:r>
          <w:r>
            <w:rPr>
              <w:rFonts w:ascii="仿宋_GB2312" w:eastAsia="仿宋_GB2312"/>
              <w:sz w:val="30"/>
              <w:szCs w:val="30"/>
            </w:rPr>
            <w:fldChar w:fldCharType="end"/>
          </w:r>
          <w:r>
            <w:rPr>
              <w:rFonts w:ascii="仿宋_GB2312" w:eastAsia="仿宋_GB2312"/>
              <w:sz w:val="30"/>
              <w:szCs w:val="30"/>
            </w:rPr>
            <w:fldChar w:fldCharType="end"/>
          </w:r>
        </w:p>
        <w:p w14:paraId="7B5604E0">
          <w:pPr>
            <w:pStyle w:val="9"/>
            <w:rPr>
              <w:rFonts w:hAnsiTheme="minorHAnsi" w:cstheme="minorBidi"/>
            </w:rPr>
          </w:pPr>
          <w:r>
            <w:fldChar w:fldCharType="begin"/>
          </w:r>
          <w:r>
            <w:instrText xml:space="preserve"> HYPERLINK \l "_Toc101642605" </w:instrText>
          </w:r>
          <w:r>
            <w:fldChar w:fldCharType="separate"/>
          </w:r>
          <w:r>
            <w:rPr>
              <w:rStyle w:val="16"/>
              <w:rFonts w:hint="eastAsia"/>
              <w:b/>
              <w:bCs/>
            </w:rPr>
            <w:t>二、终止上市相关公告</w:t>
          </w:r>
          <w:r>
            <w:tab/>
          </w:r>
          <w:r>
            <w:fldChar w:fldCharType="begin"/>
          </w:r>
          <w:r>
            <w:instrText xml:space="preserve"> PAGEREF _Toc101642605 \h </w:instrText>
          </w:r>
          <w:r>
            <w:fldChar w:fldCharType="separate"/>
          </w:r>
          <w:r>
            <w:t>10</w:t>
          </w:r>
          <w:r>
            <w:fldChar w:fldCharType="end"/>
          </w:r>
          <w:r>
            <w:fldChar w:fldCharType="end"/>
          </w:r>
        </w:p>
        <w:p w14:paraId="33F77327">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"_Toc101642606" </w:instrText>
          </w:r>
          <w:r>
            <w:fldChar w:fldCharType="separate"/>
          </w:r>
          <w:r>
            <w:rPr>
              <w:rStyle w:val="16"/>
              <w:rFonts w:hint="eastAsia" w:ascii="仿宋_GB2312" w:eastAsia="仿宋_GB2312"/>
              <w:sz w:val="30"/>
              <w:szCs w:val="30"/>
            </w:rPr>
            <w:t>4.上市公司股票可能被终止上市的风险提示公告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_Toc101642606 \h </w:instrText>
          </w:r>
          <w:r>
            <w:rPr>
              <w:rFonts w:ascii="仿宋_GB2312" w:eastAsia="仿宋_GB2312"/>
              <w:sz w:val="30"/>
              <w:szCs w:val="30"/>
            </w:rPr>
            <w:fldChar w:fldCharType="separate"/>
          </w:r>
          <w:r>
            <w:rPr>
              <w:rFonts w:ascii="仿宋_GB2312" w:eastAsia="仿宋_GB2312"/>
              <w:sz w:val="30"/>
              <w:szCs w:val="30"/>
            </w:rPr>
            <w:t>10</w:t>
          </w:r>
          <w:r>
            <w:rPr>
              <w:rFonts w:ascii="仿宋_GB2312" w:eastAsia="仿宋_GB2312"/>
              <w:sz w:val="30"/>
              <w:szCs w:val="30"/>
            </w:rPr>
            <w:fldChar w:fldCharType="end"/>
          </w:r>
          <w:r>
            <w:rPr>
              <w:rFonts w:ascii="仿宋_GB2312" w:eastAsia="仿宋_GB2312"/>
              <w:sz w:val="30"/>
              <w:szCs w:val="30"/>
            </w:rPr>
            <w:fldChar w:fldCharType="end"/>
          </w:r>
        </w:p>
        <w:p w14:paraId="54B15625">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"_Toc101642607" </w:instrText>
          </w:r>
          <w:r>
            <w:fldChar w:fldCharType="separate"/>
          </w:r>
          <w:r>
            <w:rPr>
              <w:rStyle w:val="16"/>
              <w:rFonts w:hint="eastAsia" w:ascii="仿宋_GB2312" w:eastAsia="仿宋_GB2312"/>
              <w:sz w:val="30"/>
              <w:szCs w:val="30"/>
            </w:rPr>
            <w:t>5.上市公司收到股票终止上市决定的公告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_Toc101642607 \h </w:instrText>
          </w:r>
          <w:r>
            <w:rPr>
              <w:rFonts w:ascii="仿宋_GB2312" w:eastAsia="仿宋_GB2312"/>
              <w:sz w:val="30"/>
              <w:szCs w:val="30"/>
            </w:rPr>
            <w:fldChar w:fldCharType="separate"/>
          </w:r>
          <w:r>
            <w:rPr>
              <w:rFonts w:ascii="仿宋_GB2312" w:eastAsia="仿宋_GB2312"/>
              <w:sz w:val="30"/>
              <w:szCs w:val="30"/>
            </w:rPr>
            <w:t>14</w:t>
          </w:r>
          <w:r>
            <w:rPr>
              <w:rFonts w:ascii="仿宋_GB2312" w:eastAsia="仿宋_GB2312"/>
              <w:sz w:val="30"/>
              <w:szCs w:val="30"/>
            </w:rPr>
            <w:fldChar w:fldCharType="end"/>
          </w:r>
          <w:r>
            <w:rPr>
              <w:rFonts w:ascii="仿宋_GB2312" w:eastAsia="仿宋_GB2312"/>
              <w:sz w:val="30"/>
              <w:szCs w:val="30"/>
            </w:rPr>
            <w:fldChar w:fldCharType="end"/>
          </w:r>
        </w:p>
        <w:p w14:paraId="1A8914E9">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"_Toc101642608" </w:instrText>
          </w:r>
          <w:r>
            <w:fldChar w:fldCharType="separate"/>
          </w:r>
          <w:r>
            <w:rPr>
              <w:rStyle w:val="16"/>
              <w:rFonts w:hint="eastAsia" w:ascii="仿宋_GB2312" w:eastAsia="仿宋_GB2312"/>
              <w:sz w:val="30"/>
              <w:szCs w:val="30"/>
            </w:rPr>
            <w:t>6.上市公司股票进入退市整理期交易的公告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_Toc101642608 \h </w:instrText>
          </w:r>
          <w:r>
            <w:rPr>
              <w:rFonts w:ascii="仿宋_GB2312" w:eastAsia="仿宋_GB2312"/>
              <w:sz w:val="30"/>
              <w:szCs w:val="30"/>
            </w:rPr>
            <w:fldChar w:fldCharType="separate"/>
          </w:r>
          <w:r>
            <w:rPr>
              <w:rFonts w:ascii="仿宋_GB2312" w:eastAsia="仿宋_GB2312"/>
              <w:sz w:val="30"/>
              <w:szCs w:val="30"/>
            </w:rPr>
            <w:t>17</w:t>
          </w:r>
          <w:r>
            <w:rPr>
              <w:rFonts w:ascii="仿宋_GB2312" w:eastAsia="仿宋_GB2312"/>
              <w:sz w:val="30"/>
              <w:szCs w:val="30"/>
            </w:rPr>
            <w:fldChar w:fldCharType="end"/>
          </w:r>
          <w:r>
            <w:rPr>
              <w:rFonts w:ascii="仿宋_GB2312" w:eastAsia="仿宋_GB2312"/>
              <w:sz w:val="30"/>
              <w:szCs w:val="30"/>
            </w:rPr>
            <w:fldChar w:fldCharType="end"/>
          </w:r>
        </w:p>
        <w:p w14:paraId="506E06E7">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"_Toc101642609" </w:instrText>
          </w:r>
          <w:r>
            <w:fldChar w:fldCharType="separate"/>
          </w:r>
          <w:r>
            <w:rPr>
              <w:rStyle w:val="16"/>
              <w:rFonts w:hint="eastAsia" w:ascii="仿宋_GB2312" w:eastAsia="仿宋_GB2312"/>
              <w:sz w:val="30"/>
              <w:szCs w:val="30"/>
            </w:rPr>
            <w:t>7.上市公司股票于退市整理期交易的风险提示公告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_Toc101642609 \h </w:instrText>
          </w:r>
          <w:r>
            <w:rPr>
              <w:rFonts w:ascii="仿宋_GB2312" w:eastAsia="仿宋_GB2312"/>
              <w:sz w:val="30"/>
              <w:szCs w:val="30"/>
            </w:rPr>
            <w:fldChar w:fldCharType="separate"/>
          </w:r>
          <w:r>
            <w:rPr>
              <w:rFonts w:ascii="仿宋_GB2312" w:eastAsia="仿宋_GB2312"/>
              <w:sz w:val="30"/>
              <w:szCs w:val="30"/>
            </w:rPr>
            <w:t>20</w:t>
          </w:r>
          <w:r>
            <w:rPr>
              <w:rFonts w:ascii="仿宋_GB2312" w:eastAsia="仿宋_GB2312"/>
              <w:sz w:val="30"/>
              <w:szCs w:val="30"/>
            </w:rPr>
            <w:fldChar w:fldCharType="end"/>
          </w:r>
          <w:r>
            <w:rPr>
              <w:rFonts w:ascii="仿宋_GB2312" w:eastAsia="仿宋_GB2312"/>
              <w:sz w:val="30"/>
              <w:szCs w:val="30"/>
            </w:rPr>
            <w:fldChar w:fldCharType="end"/>
          </w:r>
        </w:p>
        <w:p w14:paraId="627005A8">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"_Toc101642610" </w:instrText>
          </w:r>
          <w:r>
            <w:fldChar w:fldCharType="separate"/>
          </w:r>
          <w:r>
            <w:rPr>
              <w:rStyle w:val="16"/>
              <w:rFonts w:hint="eastAsia" w:ascii="仿宋_GB2312" w:eastAsia="仿宋_GB2312"/>
              <w:sz w:val="30"/>
              <w:szCs w:val="30"/>
            </w:rPr>
            <w:t>8.上市公司股票终止上市暨摘牌的公告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_Toc101642610 \h </w:instrText>
          </w:r>
          <w:r>
            <w:rPr>
              <w:rFonts w:ascii="仿宋_GB2312" w:eastAsia="仿宋_GB2312"/>
              <w:sz w:val="30"/>
              <w:szCs w:val="30"/>
            </w:rPr>
            <w:fldChar w:fldCharType="separate"/>
          </w:r>
          <w:r>
            <w:rPr>
              <w:rFonts w:ascii="仿宋_GB2312" w:eastAsia="仿宋_GB2312"/>
              <w:sz w:val="30"/>
              <w:szCs w:val="30"/>
            </w:rPr>
            <w:t>23</w:t>
          </w:r>
          <w:r>
            <w:rPr>
              <w:rFonts w:ascii="仿宋_GB2312" w:eastAsia="仿宋_GB2312"/>
              <w:sz w:val="30"/>
              <w:szCs w:val="30"/>
            </w:rPr>
            <w:fldChar w:fldCharType="end"/>
          </w:r>
          <w:r>
            <w:rPr>
              <w:rFonts w:ascii="仿宋_GB2312" w:eastAsia="仿宋_GB2312"/>
              <w:sz w:val="30"/>
              <w:szCs w:val="30"/>
            </w:rPr>
            <w:fldChar w:fldCharType="end"/>
          </w:r>
        </w:p>
        <w:p w14:paraId="2043A28D">
          <w:pPr>
            <w:rPr>
              <w:rFonts w:ascii="仿宋_GB2312" w:eastAsia="仿宋_GB2312"/>
              <w:sz w:val="30"/>
              <w:szCs w:val="30"/>
            </w:rPr>
          </w:pPr>
          <w:r>
            <w:rPr>
              <w:rFonts w:hint="eastAsia" w:ascii="仿宋_GB2312" w:eastAsia="仿宋_GB2312"/>
              <w:sz w:val="30"/>
              <w:szCs w:val="30"/>
            </w:rPr>
            <w:fldChar w:fldCharType="end"/>
          </w:r>
        </w:p>
      </w:sdtContent>
    </w:sdt>
    <w:p w14:paraId="0A15A973">
      <w:pPr>
        <w:pStyle w:val="2"/>
        <w:rPr>
          <w:rFonts w:ascii="黑体" w:hAnsi="黑体"/>
          <w:sz w:val="32"/>
          <w:szCs w:val="32"/>
        </w:rPr>
      </w:pPr>
      <w:bookmarkStart w:id="0" w:name="_Toc1300369147_WPSOffice_Level1"/>
      <w:bookmarkStart w:id="1" w:name="_Toc101642601"/>
      <w:r>
        <w:rPr>
          <w:rFonts w:hint="eastAsia" w:ascii="黑体" w:hAnsi="黑体"/>
          <w:sz w:val="32"/>
          <w:szCs w:val="32"/>
        </w:rPr>
        <w:t>一、风险警示的实施与撤销相关公告</w:t>
      </w:r>
      <w:bookmarkEnd w:id="0"/>
      <w:bookmarkEnd w:id="1"/>
    </w:p>
    <w:p w14:paraId="064906B8">
      <w:pPr>
        <w:pStyle w:val="3"/>
        <w:rPr>
          <w:rFonts w:ascii="黑体" w:hAnsi="黑体"/>
          <w:szCs w:val="32"/>
        </w:rPr>
      </w:pPr>
      <w:bookmarkStart w:id="2" w:name="_Toc1623694197_WPSOffice_Level2"/>
      <w:bookmarkStart w:id="3" w:name="_Toc101642602"/>
      <w:r>
        <w:rPr>
          <w:rFonts w:ascii="黑体" w:hAnsi="黑体"/>
          <w:szCs w:val="32"/>
        </w:rPr>
        <w:t>1</w:t>
      </w:r>
      <w:r>
        <w:rPr>
          <w:rFonts w:hint="eastAsia" w:ascii="黑体" w:hAnsi="黑体"/>
          <w:szCs w:val="32"/>
        </w:rPr>
        <w:t>.上市公司股票可能被实施退市风险警示的风险提示公告</w:t>
      </w:r>
      <w:bookmarkEnd w:id="2"/>
      <w:bookmarkEnd w:id="3"/>
    </w:p>
    <w:p w14:paraId="697EB1F6">
      <w:pPr>
        <w:spacing w:line="560" w:lineRule="exact"/>
        <w:rPr>
          <w:rFonts w:ascii="仿宋_GB2312" w:hAnsi="宋体" w:eastAsia="仿宋_GB2312" w:cs="宋体"/>
          <w:sz w:val="30"/>
          <w:szCs w:val="30"/>
        </w:rPr>
      </w:pPr>
    </w:p>
    <w:p w14:paraId="0D87535E">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C229A17">
      <w:pPr>
        <w:adjustRightInd w:val="0"/>
        <w:snapToGrid w:val="0"/>
        <w:spacing w:line="560" w:lineRule="exact"/>
        <w:jc w:val="center"/>
        <w:rPr>
          <w:rFonts w:ascii="仿宋_GB2312" w:hAnsi="宋体" w:eastAsia="仿宋_GB2312"/>
          <w:color w:val="000000"/>
          <w:sz w:val="30"/>
          <w:szCs w:val="30"/>
        </w:rPr>
      </w:pPr>
    </w:p>
    <w:p w14:paraId="3EAF9AF7">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w:t>
      </w:r>
    </w:p>
    <w:p w14:paraId="25CE84BE">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可能被实施退市风险警示的风险提示公告</w:t>
      </w:r>
    </w:p>
    <w:p w14:paraId="29EE401A">
      <w:pPr>
        <w:snapToGrid w:val="0"/>
        <w:spacing w:line="560" w:lineRule="exact"/>
        <w:jc w:val="center"/>
        <w:rPr>
          <w:rFonts w:ascii="仿宋_GB2312" w:hAnsi="宋体" w:eastAsia="仿宋_GB2312"/>
          <w:color w:val="000000"/>
          <w:sz w:val="30"/>
          <w:szCs w:val="30"/>
        </w:rPr>
      </w:pPr>
    </w:p>
    <w:p w14:paraId="00C8C9DC">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472182D5">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w:t>
      </w:r>
      <w:r>
        <w:rPr>
          <w:rFonts w:ascii="仿宋_GB2312" w:eastAsia="仿宋_GB2312"/>
          <w:color w:val="000000"/>
          <w:sz w:val="30"/>
          <w:szCs w:val="30"/>
        </w:rPr>
        <w:t>应当</w:t>
      </w:r>
      <w:r>
        <w:rPr>
          <w:rFonts w:hint="eastAsia" w:ascii="仿宋_GB2312" w:eastAsia="仿宋_GB2312"/>
          <w:color w:val="000000"/>
          <w:sz w:val="30"/>
          <w:szCs w:val="30"/>
        </w:rPr>
        <w:t>严格按照《股票上市规则》的要求，针对不同的退市风险警示情形，在规定的时间内及时披露风险提示公告。</w:t>
      </w:r>
    </w:p>
    <w:p w14:paraId="13BA8611">
      <w:pPr>
        <w:snapToGrid w:val="0"/>
        <w:spacing w:line="560" w:lineRule="exact"/>
        <w:jc w:val="center"/>
        <w:rPr>
          <w:rFonts w:ascii="仿宋_GB2312" w:hAnsi="宋体" w:eastAsia="仿宋_GB2312"/>
          <w:color w:val="000000"/>
          <w:sz w:val="30"/>
          <w:szCs w:val="30"/>
        </w:rPr>
      </w:pPr>
    </w:p>
    <w:p w14:paraId="5671C22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62D71F1D">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321F0BF6">
      <w:pPr>
        <w:adjustRightInd w:val="0"/>
        <w:snapToGrid w:val="0"/>
        <w:spacing w:line="560" w:lineRule="exact"/>
        <w:ind w:firstLine="602" w:firstLineChars="200"/>
        <w:rPr>
          <w:rFonts w:ascii="仿宋_GB2312" w:hAnsi="宋体" w:eastAsia="仿宋_GB2312"/>
          <w:b/>
          <w:sz w:val="30"/>
          <w:szCs w:val="30"/>
        </w:rPr>
      </w:pPr>
    </w:p>
    <w:p w14:paraId="7798B56A">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32241A74">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依据《股票上市规则》规定，本公司股票可能被上海证券交易所实施退市风险警示，请广大投资者注意投资风险。</w:t>
      </w:r>
    </w:p>
    <w:p w14:paraId="7A48315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3EBABA4F">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一、可能被实施退市风险警示的原因</w:t>
      </w:r>
    </w:p>
    <w:p w14:paraId="122AA80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对照《股票上市规则》第×条，说明公司股票可能被实施退市风险警示的适用情形。</w:t>
      </w:r>
    </w:p>
    <w:p w14:paraId="69ED531F">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67886EAF">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二、公司股票停牌情况及退市风险警示实施安排</w:t>
      </w:r>
    </w:p>
    <w:p w14:paraId="1010877D">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说明公司股票目前的停牌情况，以及触及退市风险警示情形后的停牌和实施退市风险警示的相关安排。</w:t>
      </w:r>
    </w:p>
    <w:p w14:paraId="19E6D51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64D19688">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三、其他事项</w:t>
      </w:r>
    </w:p>
    <w:p w14:paraId="29EEF52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简要说明可能被实施退市风险警示的风险提示公告的披露情况，如公告日期、公告编号等。</w:t>
      </w:r>
    </w:p>
    <w:p w14:paraId="2B253606">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其他需要说明的事项，如对公司其他证券产品（公司债、可转债）等进行相关风险提示。</w:t>
      </w:r>
    </w:p>
    <w:p w14:paraId="3E9A6EE5">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p>
    <w:p w14:paraId="62157326">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091CA101">
      <w:pPr>
        <w:adjustRightInd w:val="0"/>
        <w:snapToGrid w:val="0"/>
        <w:spacing w:line="560" w:lineRule="exact"/>
        <w:ind w:firstLine="600" w:firstLineChars="200"/>
        <w:rPr>
          <w:rFonts w:ascii="仿宋_GB2312" w:hAnsi="仿宋" w:eastAsia="仿宋_GB2312"/>
          <w:sz w:val="30"/>
          <w:szCs w:val="30"/>
        </w:rPr>
      </w:pPr>
    </w:p>
    <w:p w14:paraId="168460E7">
      <w:pPr>
        <w:adjustRightInd w:val="0"/>
        <w:snapToGrid w:val="0"/>
        <w:spacing w:beforeLines="50" w:afterLines="50" w:line="560" w:lineRule="exact"/>
        <w:ind w:firstLine="600" w:firstLineChars="200"/>
        <w:jc w:val="right"/>
        <w:rPr>
          <w:rFonts w:hint="eastAsia" w:ascii="仿宋_GB2312" w:hAnsi="仿宋" w:eastAsia="仿宋_GB2312"/>
          <w:bCs/>
          <w:sz w:val="30"/>
          <w:szCs w:val="30"/>
          <w:lang w:eastAsia="zh-CN"/>
        </w:rPr>
      </w:pPr>
      <w:r>
        <w:rPr>
          <w:rFonts w:hint="eastAsia" w:ascii="仿宋_GB2312" w:hAnsi="仿宋" w:eastAsia="仿宋_GB2312"/>
          <w:bCs/>
          <w:sz w:val="30"/>
          <w:szCs w:val="30"/>
        </w:rPr>
        <w:t>XXXX股份有限公司</w:t>
      </w:r>
      <w:r>
        <w:rPr>
          <w:rFonts w:hint="eastAsia" w:ascii="仿宋_GB2312" w:hAnsi="仿宋" w:eastAsia="仿宋_GB2312"/>
          <w:bCs/>
          <w:sz w:val="30"/>
          <w:szCs w:val="30"/>
          <w:lang w:eastAsia="zh-CN"/>
        </w:rPr>
        <w:t>董事会</w:t>
      </w:r>
    </w:p>
    <w:p w14:paraId="4C569BBA">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rPr>
      </w:pPr>
      <w:r>
        <w:rPr>
          <w:rFonts w:hint="eastAsia" w:ascii="仿宋_GB2312" w:hAnsi="仿宋" w:eastAsia="仿宋_GB2312"/>
          <w:bCs/>
          <w:sz w:val="30"/>
          <w:szCs w:val="30"/>
        </w:rPr>
        <w:t>年  月  日</w:t>
      </w:r>
    </w:p>
    <w:p w14:paraId="6B004AE7">
      <w:pPr>
        <w:autoSpaceDE w:val="0"/>
        <w:autoSpaceDN w:val="0"/>
        <w:adjustRightInd w:val="0"/>
        <w:spacing w:line="560" w:lineRule="exact"/>
        <w:ind w:firstLine="578" w:firstLineChars="192"/>
        <w:jc w:val="right"/>
        <w:rPr>
          <w:rFonts w:ascii="黑体" w:hAnsi="黑体" w:eastAsia="黑体" w:cs="宋体-WinCharSetFFFF-H"/>
          <w:b/>
          <w:color w:val="000000"/>
          <w:kern w:val="0"/>
          <w:sz w:val="30"/>
          <w:szCs w:val="30"/>
        </w:rPr>
      </w:pPr>
    </w:p>
    <w:p w14:paraId="45CE8A42">
      <w:pPr>
        <w:widowControl/>
        <w:jc w:val="left"/>
        <w:rPr>
          <w:rFonts w:ascii="黑体" w:hAnsi="黑体" w:eastAsia="黑体" w:cs="宋体-WinCharSetFFFF-H"/>
          <w:b/>
          <w:color w:val="000000"/>
          <w:kern w:val="0"/>
          <w:sz w:val="30"/>
          <w:szCs w:val="30"/>
        </w:rPr>
      </w:pPr>
      <w:r>
        <w:rPr>
          <w:rFonts w:ascii="黑体" w:hAnsi="黑体" w:eastAsia="黑体" w:cs="宋体-WinCharSetFFFF-H"/>
          <w:b/>
          <w:color w:val="000000"/>
          <w:kern w:val="0"/>
          <w:sz w:val="30"/>
          <w:szCs w:val="30"/>
        </w:rPr>
        <w:br w:type="page"/>
      </w:r>
    </w:p>
    <w:p w14:paraId="6078AC20">
      <w:pPr>
        <w:pStyle w:val="3"/>
        <w:rPr>
          <w:rFonts w:ascii="黑体" w:hAnsi="黑体"/>
        </w:rPr>
      </w:pPr>
      <w:bookmarkStart w:id="4" w:name="_Toc101642603"/>
      <w:bookmarkStart w:id="5" w:name="_Toc1353666550_WPSOffice_Level2"/>
      <w:r>
        <w:rPr>
          <w:rFonts w:ascii="黑体" w:hAnsi="黑体"/>
        </w:rPr>
        <w:t>2.</w:t>
      </w:r>
      <w:r>
        <w:rPr>
          <w:rFonts w:hint="eastAsia" w:ascii="黑体" w:hAnsi="黑体"/>
        </w:rPr>
        <w:t>上市公司股票实施风险警示</w:t>
      </w:r>
      <w:bookmarkEnd w:id="4"/>
      <w:bookmarkEnd w:id="5"/>
    </w:p>
    <w:p w14:paraId="0F6C6A30">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27CC5B30">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09DD074">
      <w:pPr>
        <w:adjustRightInd w:val="0"/>
        <w:snapToGrid w:val="0"/>
        <w:spacing w:line="560" w:lineRule="exact"/>
        <w:jc w:val="center"/>
        <w:rPr>
          <w:rFonts w:ascii="仿宋_GB2312" w:hAnsi="宋体" w:eastAsia="仿宋_GB2312"/>
          <w:color w:val="000000"/>
          <w:sz w:val="30"/>
          <w:szCs w:val="30"/>
        </w:rPr>
      </w:pPr>
    </w:p>
    <w:p w14:paraId="0FBD080C">
      <w:pPr>
        <w:snapToGrid w:val="0"/>
        <w:spacing w:line="560" w:lineRule="exact"/>
        <w:jc w:val="center"/>
        <w:rPr>
          <w:rFonts w:ascii="仿宋_GB2312" w:hAnsi="宋体" w:eastAsia="仿宋_GB2312"/>
          <w:color w:val="000000"/>
          <w:sz w:val="30"/>
          <w:szCs w:val="30"/>
        </w:rPr>
      </w:pPr>
      <w:r>
        <w:rPr>
          <w:rFonts w:ascii="仿宋_GB2312" w:hAnsi="宋体" w:eastAsia="仿宋_GB2312"/>
          <w:color w:val="000000"/>
          <w:sz w:val="30"/>
          <w:szCs w:val="30"/>
        </w:rPr>
        <w:t>XXXX</w:t>
      </w:r>
      <w:r>
        <w:rPr>
          <w:rFonts w:hint="eastAsia" w:ascii="仿宋_GB2312" w:hAnsi="宋体" w:eastAsia="仿宋_GB2312"/>
          <w:color w:val="000000"/>
          <w:sz w:val="30"/>
          <w:szCs w:val="30"/>
        </w:rPr>
        <w:t>股份有限公司</w:t>
      </w:r>
    </w:p>
    <w:p w14:paraId="083969C0">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股票被实施风险警示的公告</w:t>
      </w:r>
    </w:p>
    <w:p w14:paraId="7E629556">
      <w:pPr>
        <w:snapToGrid w:val="0"/>
        <w:spacing w:line="560" w:lineRule="exact"/>
        <w:jc w:val="center"/>
        <w:rPr>
          <w:rFonts w:ascii="仿宋_GB2312" w:hAnsi="宋体" w:eastAsia="仿宋_GB2312"/>
          <w:color w:val="000000"/>
          <w:sz w:val="30"/>
          <w:szCs w:val="30"/>
        </w:rPr>
      </w:pPr>
    </w:p>
    <w:p w14:paraId="76F18B8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E32E001">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7C28BF6C">
      <w:pPr>
        <w:adjustRightInd w:val="0"/>
        <w:snapToGrid w:val="0"/>
        <w:spacing w:line="560" w:lineRule="exact"/>
        <w:rPr>
          <w:rFonts w:ascii="仿宋_GB2312" w:hAnsi="宋体" w:eastAsia="仿宋_GB2312"/>
          <w:b/>
          <w:sz w:val="30"/>
          <w:szCs w:val="30"/>
        </w:rPr>
      </w:pPr>
    </w:p>
    <w:p w14:paraId="67AC0C71">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5C7CA2F0">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停牌安排</w:t>
      </w:r>
    </w:p>
    <w:p w14:paraId="3B70D6E5">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实施风险警示的起始日</w:t>
      </w:r>
    </w:p>
    <w:p w14:paraId="5474715E">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实施风险警示后的证券简称、证券代码、股票价格的日涨跌幅限制</w:t>
      </w:r>
    </w:p>
    <w:p w14:paraId="201D5347">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实施风险警示后股票将（或继续）在风险警示板交易</w:t>
      </w:r>
    </w:p>
    <w:p w14:paraId="2E4BA8E9">
      <w:pPr>
        <w:autoSpaceDE w:val="0"/>
        <w:autoSpaceDN w:val="0"/>
        <w:adjustRightInd w:val="0"/>
        <w:spacing w:line="560" w:lineRule="exact"/>
        <w:ind w:firstLine="600" w:firstLineChars="200"/>
        <w:rPr>
          <w:rFonts w:ascii="仿宋_GB2312" w:eastAsia="仿宋_GB2312"/>
          <w:color w:val="000000"/>
          <w:sz w:val="30"/>
          <w:szCs w:val="30"/>
        </w:rPr>
      </w:pPr>
    </w:p>
    <w:p w14:paraId="029052E2">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一、证券种类与简称、证券代码以及实施风险警示的起始日</w:t>
      </w:r>
    </w:p>
    <w:p w14:paraId="08B2E67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（一）证券种类与简称</w:t>
      </w:r>
    </w:p>
    <w:p w14:paraId="4C94E3B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A股股票简称由“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w:t>
      </w:r>
    </w:p>
    <w:p w14:paraId="772EAB4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B股股票简称由“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”（如适用）；</w:t>
      </w:r>
    </w:p>
    <w:p w14:paraId="75E30A4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（二）证券代码仍为“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（如适用）”；</w:t>
      </w:r>
    </w:p>
    <w:p w14:paraId="6FFE950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（三）实施风险警示的起始日：20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w:t>
      </w:r>
    </w:p>
    <w:p w14:paraId="260B88C5">
      <w:pPr>
        <w:autoSpaceDE w:val="0"/>
        <w:autoSpaceDN w:val="0"/>
        <w:adjustRightInd w:val="0"/>
        <w:spacing w:line="560" w:lineRule="exact"/>
        <w:ind w:firstLine="600" w:firstLineChars="200"/>
        <w:rPr>
          <w:rFonts w:ascii="仿宋_GB2312" w:eastAsia="仿宋_GB2312"/>
          <w:color w:val="000000"/>
          <w:sz w:val="30"/>
          <w:szCs w:val="30"/>
        </w:rPr>
      </w:pPr>
    </w:p>
    <w:p w14:paraId="25811091">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二、实施风险警示的适用情形</w:t>
      </w:r>
    </w:p>
    <w:p w14:paraId="6CB9E8D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简要说明公司出现实施风险警示情形的有关情况，根据《股票上市规则》第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条等相关规定，公司股票将（或继续）被实施风险警示。</w:t>
      </w:r>
    </w:p>
    <w:p w14:paraId="418090E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说明公司履行相关内部决策程序以及向上海证券交易所提交相关申请、上交所作出相关决定的情况（如适用)。</w:t>
      </w:r>
    </w:p>
    <w:p w14:paraId="4BB27696">
      <w:pPr>
        <w:autoSpaceDE w:val="0"/>
        <w:autoSpaceDN w:val="0"/>
        <w:adjustRightInd w:val="0"/>
        <w:spacing w:line="560" w:lineRule="exact"/>
        <w:ind w:firstLine="600" w:firstLineChars="200"/>
        <w:rPr>
          <w:rFonts w:ascii="仿宋_GB2312" w:eastAsia="仿宋_GB2312"/>
          <w:color w:val="000000"/>
          <w:sz w:val="30"/>
          <w:szCs w:val="30"/>
        </w:rPr>
      </w:pPr>
    </w:p>
    <w:p w14:paraId="1CD7DAA5">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三、实施风险警示的有关事项提示</w:t>
      </w:r>
    </w:p>
    <w:p w14:paraId="01E9D78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条等相关规定，公司股票将于20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日停牌1天，</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日起实施风险警示，实施风险警示后股票价格的日涨跌幅限制为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p>
    <w:p w14:paraId="1C2424E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提示实施风险警示后公司股票将（或继续）在风险警示板交易。</w:t>
      </w:r>
    </w:p>
    <w:p w14:paraId="6AA984AB">
      <w:pPr>
        <w:autoSpaceDE w:val="0"/>
        <w:autoSpaceDN w:val="0"/>
        <w:adjustRightInd w:val="0"/>
        <w:spacing w:line="560" w:lineRule="exact"/>
        <w:ind w:firstLine="600" w:firstLineChars="200"/>
        <w:rPr>
          <w:rFonts w:ascii="仿宋_GB2312" w:eastAsia="仿宋_GB2312"/>
          <w:color w:val="000000"/>
          <w:sz w:val="30"/>
          <w:szCs w:val="30"/>
        </w:rPr>
      </w:pPr>
    </w:p>
    <w:p w14:paraId="656A42C4">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四、公司董事会关于争取撤销风险警示的意见及具体措施</w:t>
      </w:r>
    </w:p>
    <w:p w14:paraId="5E19D59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说明公司董事会关于争取撤销风险警示的意见及具体措施。</w:t>
      </w:r>
    </w:p>
    <w:p w14:paraId="5FFBE7E8">
      <w:pPr>
        <w:autoSpaceDE w:val="0"/>
        <w:autoSpaceDN w:val="0"/>
        <w:adjustRightInd w:val="0"/>
        <w:spacing w:line="560" w:lineRule="exact"/>
        <w:ind w:firstLine="600" w:firstLineChars="200"/>
        <w:rPr>
          <w:rFonts w:ascii="仿宋_GB2312" w:eastAsia="仿宋_GB2312"/>
          <w:color w:val="000000"/>
          <w:sz w:val="30"/>
          <w:szCs w:val="30"/>
        </w:rPr>
      </w:pPr>
    </w:p>
    <w:p w14:paraId="58F46F4E">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五、公司股票可能被终止上市的风险提示（如适用）</w:t>
      </w:r>
    </w:p>
    <w:p w14:paraId="4D9F727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条等相关规定，若公司出现</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情形，公司股票交易将可能被终止上市。</w:t>
      </w:r>
    </w:p>
    <w:p w14:paraId="5595D079">
      <w:pPr>
        <w:autoSpaceDE w:val="0"/>
        <w:autoSpaceDN w:val="0"/>
        <w:adjustRightInd w:val="0"/>
        <w:spacing w:line="560" w:lineRule="exact"/>
        <w:ind w:firstLine="600" w:firstLineChars="200"/>
        <w:rPr>
          <w:rFonts w:ascii="仿宋_GB2312" w:eastAsia="仿宋_GB2312"/>
          <w:color w:val="000000"/>
          <w:sz w:val="30"/>
          <w:szCs w:val="30"/>
        </w:rPr>
      </w:pPr>
    </w:p>
    <w:p w14:paraId="134DEA4E">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六、其他风险提示或者需要提醒投资者重点关注的事项</w:t>
      </w:r>
    </w:p>
    <w:p w14:paraId="584F83CE">
      <w:pPr>
        <w:autoSpaceDE w:val="0"/>
        <w:autoSpaceDN w:val="0"/>
        <w:adjustRightInd w:val="0"/>
        <w:spacing w:line="560" w:lineRule="exact"/>
        <w:ind w:firstLine="600" w:firstLineChars="200"/>
        <w:rPr>
          <w:rFonts w:ascii="仿宋_GB2312" w:eastAsia="仿宋_GB2312"/>
          <w:color w:val="000000"/>
          <w:sz w:val="30"/>
          <w:szCs w:val="30"/>
        </w:rPr>
      </w:pPr>
    </w:p>
    <w:p w14:paraId="23B2F1F5">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七、实施风险警示期间，公司接受投资者咨询的联系方式如下：</w:t>
      </w:r>
    </w:p>
    <w:p w14:paraId="7F9237B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（一）联系人</w:t>
      </w:r>
    </w:p>
    <w:p w14:paraId="4585B99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（二）联系地址</w:t>
      </w:r>
    </w:p>
    <w:p w14:paraId="1750E22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（三）咨询电话</w:t>
      </w:r>
    </w:p>
    <w:p w14:paraId="2CB8564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（四）传真</w:t>
      </w:r>
    </w:p>
    <w:p w14:paraId="46E265B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（五）电子信箱</w:t>
      </w:r>
    </w:p>
    <w:p w14:paraId="68BB64FE">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（编制提醒：如公司同时触及退市风险警示（*ST）情形和其他风险警示（ST）情形，需披露触及的全部风险警示情形。）</w:t>
      </w:r>
    </w:p>
    <w:p w14:paraId="72EE4512">
      <w:pPr>
        <w:autoSpaceDE w:val="0"/>
        <w:autoSpaceDN w:val="0"/>
        <w:adjustRightInd w:val="0"/>
        <w:spacing w:line="560" w:lineRule="exact"/>
        <w:ind w:firstLine="600" w:firstLineChars="200"/>
        <w:rPr>
          <w:rFonts w:ascii="仿宋_GB2312" w:eastAsia="仿宋_GB2312"/>
          <w:color w:val="000000"/>
          <w:sz w:val="30"/>
          <w:szCs w:val="30"/>
        </w:rPr>
      </w:pPr>
    </w:p>
    <w:p w14:paraId="40DC4A24">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665333DB">
      <w:pPr>
        <w:adjustRightInd w:val="0"/>
        <w:snapToGrid w:val="0"/>
        <w:spacing w:line="560" w:lineRule="exact"/>
        <w:ind w:firstLine="600" w:firstLineChars="200"/>
        <w:rPr>
          <w:rFonts w:ascii="仿宋_GB2312" w:hAnsi="仿宋" w:eastAsia="仿宋_GB2312"/>
          <w:sz w:val="30"/>
          <w:szCs w:val="30"/>
        </w:rPr>
      </w:pPr>
    </w:p>
    <w:p w14:paraId="28EB0E84">
      <w:pPr>
        <w:adjustRightInd w:val="0"/>
        <w:snapToGrid w:val="0"/>
        <w:spacing w:beforeLines="50" w:afterLines="50" w:line="560" w:lineRule="exact"/>
        <w:ind w:firstLine="600" w:firstLineChars="200"/>
        <w:jc w:val="right"/>
        <w:rPr>
          <w:rFonts w:hint="eastAsia" w:ascii="仿宋_GB2312" w:hAnsi="仿宋" w:eastAsia="仿宋_GB2312"/>
          <w:bCs/>
          <w:sz w:val="30"/>
          <w:szCs w:val="30"/>
          <w:lang w:eastAsia="zh-CN"/>
        </w:rPr>
      </w:pPr>
      <w:r>
        <w:rPr>
          <w:rFonts w:hint="eastAsia" w:ascii="仿宋_GB2312" w:hAnsi="仿宋" w:eastAsia="仿宋_GB2312"/>
          <w:bCs/>
          <w:sz w:val="30"/>
          <w:szCs w:val="30"/>
        </w:rPr>
        <w:t>XXXX股份有限公司</w:t>
      </w:r>
      <w:r>
        <w:rPr>
          <w:rFonts w:hint="eastAsia" w:ascii="仿宋_GB2312" w:hAnsi="仿宋" w:eastAsia="仿宋_GB2312"/>
          <w:bCs/>
          <w:sz w:val="30"/>
          <w:szCs w:val="30"/>
          <w:lang w:eastAsia="zh-CN"/>
        </w:rPr>
        <w:t>董事会</w:t>
      </w:r>
    </w:p>
    <w:p w14:paraId="58A5E66A">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rPr>
      </w:pPr>
      <w:r>
        <w:rPr>
          <w:rFonts w:hint="eastAsia" w:ascii="仿宋_GB2312" w:hAnsi="仿宋" w:eastAsia="仿宋_GB2312"/>
          <w:bCs/>
          <w:sz w:val="30"/>
          <w:szCs w:val="30"/>
        </w:rPr>
        <w:t>年  月  日</w:t>
      </w:r>
    </w:p>
    <w:p w14:paraId="6C02B4A6">
      <w:pPr>
        <w:widowControl/>
        <w:jc w:val="left"/>
        <w:rPr>
          <w:rFonts w:ascii="仿宋_GB2312" w:eastAsia="仿宋_GB2312"/>
          <w:color w:val="000000"/>
          <w:sz w:val="30"/>
          <w:szCs w:val="30"/>
        </w:rPr>
      </w:pPr>
      <w:r>
        <w:rPr>
          <w:rFonts w:ascii="仿宋_GB2312" w:eastAsia="仿宋_GB2312"/>
          <w:color w:val="000000"/>
          <w:sz w:val="30"/>
          <w:szCs w:val="30"/>
        </w:rPr>
        <w:br w:type="page"/>
      </w:r>
    </w:p>
    <w:p w14:paraId="4E57EF27">
      <w:pPr>
        <w:pStyle w:val="3"/>
        <w:rPr>
          <w:rFonts w:ascii="黑体" w:hAnsi="黑体"/>
        </w:rPr>
      </w:pPr>
      <w:bookmarkStart w:id="6" w:name="_Toc631949532_WPSOffice_Level2"/>
      <w:bookmarkStart w:id="7" w:name="_Toc101642604"/>
      <w:r>
        <w:rPr>
          <w:rFonts w:ascii="黑体" w:hAnsi="黑体"/>
        </w:rPr>
        <w:t>3.</w:t>
      </w:r>
      <w:r>
        <w:rPr>
          <w:rFonts w:hint="eastAsia" w:ascii="黑体" w:hAnsi="黑体"/>
        </w:rPr>
        <w:t>上市公司股票撤销风险警示</w:t>
      </w:r>
      <w:bookmarkEnd w:id="6"/>
      <w:bookmarkEnd w:id="7"/>
    </w:p>
    <w:p w14:paraId="2793DF74">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3E8DA71D">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6F98A9A1">
      <w:pPr>
        <w:adjustRightInd w:val="0"/>
        <w:snapToGrid w:val="0"/>
        <w:spacing w:line="560" w:lineRule="exact"/>
        <w:jc w:val="center"/>
        <w:rPr>
          <w:rFonts w:ascii="仿宋_GB2312" w:hAnsi="宋体" w:eastAsia="仿宋_GB2312"/>
          <w:color w:val="000000"/>
          <w:sz w:val="30"/>
          <w:szCs w:val="30"/>
        </w:rPr>
      </w:pPr>
    </w:p>
    <w:p w14:paraId="336743A8">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w:t>
      </w:r>
    </w:p>
    <w:p w14:paraId="62F271CC">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撤销风险警示的公告</w:t>
      </w:r>
    </w:p>
    <w:p w14:paraId="75CA841E">
      <w:pPr>
        <w:snapToGrid w:val="0"/>
        <w:spacing w:line="560" w:lineRule="exact"/>
        <w:rPr>
          <w:rFonts w:ascii="仿宋_GB2312" w:hAnsi="宋体" w:eastAsia="仿宋_GB2312"/>
          <w:color w:val="000000"/>
          <w:sz w:val="30"/>
          <w:szCs w:val="30"/>
        </w:rPr>
      </w:pPr>
    </w:p>
    <w:p w14:paraId="6609193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590341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11F8D469">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79682D30">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14:paraId="0DDEB9F3">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停牌安排</w:t>
      </w:r>
    </w:p>
    <w:p w14:paraId="66EB335C">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撤销风险警示的起始日</w:t>
      </w:r>
    </w:p>
    <w:p w14:paraId="76129A9E">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撤销风险警示后的证券简称、证券代码、股票价格的日涨跌幅限制</w:t>
      </w:r>
    </w:p>
    <w:p w14:paraId="4EE84D5E">
      <w:pPr>
        <w:autoSpaceDE w:val="0"/>
        <w:autoSpaceDN w:val="0"/>
        <w:adjustRightInd w:val="0"/>
        <w:spacing w:line="560" w:lineRule="exact"/>
        <w:ind w:firstLine="600" w:firstLineChars="200"/>
        <w:rPr>
          <w:rFonts w:ascii="仿宋_GB2312" w:eastAsia="仿宋_GB2312"/>
          <w:color w:val="000000"/>
          <w:sz w:val="30"/>
          <w:szCs w:val="30"/>
        </w:rPr>
      </w:pPr>
    </w:p>
    <w:p w14:paraId="0C488A29">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一、证券种类与简称、证券代码以及撤销风险警示的起始日</w:t>
      </w:r>
    </w:p>
    <w:p w14:paraId="0536240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1.证券种类与简称：</w:t>
      </w:r>
    </w:p>
    <w:p w14:paraId="695125E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A股股票简称由“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”；B股股票简称由“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”（如适用）；</w:t>
      </w:r>
    </w:p>
    <w:p w14:paraId="1EE68E8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2.证券代码仍为“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（如适用)”；</w:t>
      </w:r>
    </w:p>
    <w:p w14:paraId="27FF0F8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3.撤销风险警示的起始日：20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w:t>
      </w:r>
    </w:p>
    <w:p w14:paraId="08EC29BD">
      <w:pPr>
        <w:autoSpaceDE w:val="0"/>
        <w:autoSpaceDN w:val="0"/>
        <w:adjustRightInd w:val="0"/>
        <w:spacing w:line="560" w:lineRule="exact"/>
        <w:ind w:firstLine="600" w:firstLineChars="200"/>
        <w:rPr>
          <w:rFonts w:ascii="仿宋_GB2312" w:eastAsia="仿宋_GB2312"/>
          <w:color w:val="000000"/>
          <w:sz w:val="30"/>
          <w:szCs w:val="30"/>
        </w:rPr>
      </w:pPr>
    </w:p>
    <w:p w14:paraId="43A6DA00">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二、撤销风险警示的适用情形</w:t>
      </w:r>
    </w:p>
    <w:p w14:paraId="06C138E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简要说明公司符合撤销风险警示情形的有关情况，根据《股票上市规则》第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条等相关规定，公司股票将被撤销风险警示。</w:t>
      </w:r>
    </w:p>
    <w:p w14:paraId="459B4531">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说明公司履行相关内部决策程序以及向上海证券交易所提交相关申请、上交所作出相关决定的情况。</w:t>
      </w:r>
    </w:p>
    <w:p w14:paraId="04C3E71F">
      <w:pPr>
        <w:autoSpaceDE w:val="0"/>
        <w:autoSpaceDN w:val="0"/>
        <w:adjustRightInd w:val="0"/>
        <w:spacing w:line="560" w:lineRule="exact"/>
        <w:ind w:firstLine="600" w:firstLineChars="200"/>
        <w:rPr>
          <w:rFonts w:ascii="仿宋_GB2312" w:eastAsia="仿宋_GB2312"/>
          <w:color w:val="000000"/>
          <w:sz w:val="30"/>
          <w:szCs w:val="30"/>
        </w:rPr>
      </w:pPr>
    </w:p>
    <w:p w14:paraId="45E856FD">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三、撤销风险警示的有关事项提示</w:t>
      </w:r>
    </w:p>
    <w:p w14:paraId="262B5B0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条等相关规定，公司股票将于20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日停牌1天，</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日起撤销风险警示，撤销风险警示后股票价格的日涨跌幅限制为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p>
    <w:p w14:paraId="62071B5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提示撤销风险警示后公司股票转出风险警示板交易（如适用）。</w:t>
      </w:r>
    </w:p>
    <w:p w14:paraId="2455CC45">
      <w:pPr>
        <w:autoSpaceDE w:val="0"/>
        <w:autoSpaceDN w:val="0"/>
        <w:adjustRightInd w:val="0"/>
        <w:spacing w:line="560" w:lineRule="exact"/>
        <w:ind w:firstLine="600" w:firstLineChars="200"/>
        <w:rPr>
          <w:rFonts w:ascii="仿宋_GB2312" w:eastAsia="仿宋_GB2312"/>
          <w:color w:val="000000"/>
          <w:sz w:val="30"/>
          <w:szCs w:val="30"/>
        </w:rPr>
      </w:pPr>
    </w:p>
    <w:p w14:paraId="5EB7BA88">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四、其他风险提示或者需要提醒投资者重点关注的事项</w:t>
      </w:r>
    </w:p>
    <w:p w14:paraId="6BFE2E8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w:t>
      </w:r>
      <w:r>
        <w:rPr>
          <w:rFonts w:ascii="仿宋_GB2312" w:eastAsia="仿宋_GB2312"/>
          <w:color w:val="000000"/>
          <w:sz w:val="30"/>
          <w:szCs w:val="30"/>
        </w:rPr>
        <w:t>应当</w:t>
      </w:r>
      <w:r>
        <w:rPr>
          <w:rFonts w:hint="eastAsia" w:ascii="仿宋_GB2312" w:eastAsia="仿宋_GB2312"/>
          <w:color w:val="000000"/>
          <w:sz w:val="30"/>
          <w:szCs w:val="30"/>
        </w:rPr>
        <w:t>就主营业务、财务状况、盈利能力、行业与市场等方面存在的风险进行必要的说明。</w:t>
      </w:r>
    </w:p>
    <w:p w14:paraId="06881EA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提醒投资者关注的其他事项。</w:t>
      </w:r>
    </w:p>
    <w:p w14:paraId="6099F3CE">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（编制提醒：如公司同时存在多项风险警示情形，仅满足部分风险警示情形的撤销条件的，需在公告中列明申请撤销风险警示的情形为哪些，仍触及何种风险警示情形。）</w:t>
      </w:r>
    </w:p>
    <w:p w14:paraId="63050C91">
      <w:pPr>
        <w:widowControl/>
        <w:adjustRightInd w:val="0"/>
        <w:snapToGrid w:val="0"/>
        <w:spacing w:line="560" w:lineRule="exact"/>
        <w:ind w:firstLine="600" w:firstLineChars="200"/>
        <w:rPr>
          <w:rFonts w:ascii="仿宋_GB2312" w:hAnsi="仿宋" w:eastAsia="仿宋_GB2312" w:cs="宋体"/>
          <w:kern w:val="0"/>
          <w:sz w:val="30"/>
          <w:szCs w:val="30"/>
        </w:rPr>
      </w:pPr>
    </w:p>
    <w:p w14:paraId="1CFA7896">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77C23DAB">
      <w:pPr>
        <w:adjustRightInd w:val="0"/>
        <w:snapToGrid w:val="0"/>
        <w:spacing w:line="560" w:lineRule="exact"/>
        <w:ind w:firstLine="600" w:firstLineChars="200"/>
        <w:rPr>
          <w:rFonts w:ascii="仿宋_GB2312" w:hAnsi="仿宋" w:eastAsia="仿宋_GB2312"/>
          <w:sz w:val="30"/>
          <w:szCs w:val="30"/>
        </w:rPr>
      </w:pPr>
    </w:p>
    <w:p w14:paraId="2B2C2ACC">
      <w:pPr>
        <w:adjustRightInd w:val="0"/>
        <w:snapToGrid w:val="0"/>
        <w:spacing w:beforeLines="50" w:afterLines="50" w:line="560" w:lineRule="exact"/>
        <w:ind w:firstLine="600" w:firstLineChars="200"/>
        <w:jc w:val="right"/>
        <w:rPr>
          <w:rFonts w:hint="eastAsia" w:ascii="仿宋_GB2312" w:hAnsi="仿宋" w:eastAsia="仿宋_GB2312"/>
          <w:bCs/>
          <w:sz w:val="30"/>
          <w:szCs w:val="30"/>
          <w:lang w:eastAsia="zh-CN"/>
        </w:rPr>
      </w:pPr>
      <w:r>
        <w:rPr>
          <w:rFonts w:hint="eastAsia" w:ascii="仿宋_GB2312" w:hAnsi="仿宋" w:eastAsia="仿宋_GB2312"/>
          <w:bCs/>
          <w:sz w:val="30"/>
          <w:szCs w:val="30"/>
        </w:rPr>
        <w:t>XXXX股份有限公司</w:t>
      </w:r>
      <w:r>
        <w:rPr>
          <w:rFonts w:hint="eastAsia" w:ascii="仿宋_GB2312" w:hAnsi="仿宋" w:eastAsia="仿宋_GB2312"/>
          <w:bCs/>
          <w:sz w:val="30"/>
          <w:szCs w:val="30"/>
          <w:lang w:eastAsia="zh-CN"/>
        </w:rPr>
        <w:t>董事会</w:t>
      </w:r>
    </w:p>
    <w:p w14:paraId="26589B2B">
      <w:pPr>
        <w:autoSpaceDE w:val="0"/>
        <w:autoSpaceDN w:val="0"/>
        <w:adjustRightInd w:val="0"/>
        <w:spacing w:line="560" w:lineRule="exact"/>
        <w:ind w:firstLine="600" w:firstLineChars="200"/>
        <w:jc w:val="right"/>
        <w:rPr>
          <w:rFonts w:ascii="仿宋_GB2312" w:eastAsia="仿宋_GB2312"/>
          <w:color w:val="000000"/>
          <w:sz w:val="30"/>
          <w:szCs w:val="30"/>
        </w:rPr>
      </w:pPr>
      <w:r>
        <w:rPr>
          <w:rFonts w:hint="eastAsia" w:ascii="仿宋_GB2312" w:hAnsi="仿宋" w:eastAsia="仿宋_GB2312"/>
          <w:bCs/>
          <w:sz w:val="30"/>
          <w:szCs w:val="30"/>
        </w:rPr>
        <w:t>年  月  日</w:t>
      </w:r>
    </w:p>
    <w:p w14:paraId="4B03FCD8">
      <w:pPr>
        <w:autoSpaceDE w:val="0"/>
        <w:autoSpaceDN w:val="0"/>
        <w:adjustRightInd w:val="0"/>
        <w:spacing w:line="560" w:lineRule="exact"/>
        <w:ind w:firstLine="600" w:firstLineChars="200"/>
        <w:rPr>
          <w:rFonts w:ascii="仿宋_GB2312" w:eastAsia="仿宋_GB2312"/>
          <w:color w:val="000000"/>
          <w:sz w:val="30"/>
          <w:szCs w:val="30"/>
        </w:rPr>
      </w:pPr>
    </w:p>
    <w:p w14:paraId="3B93E6DF">
      <w:pPr>
        <w:pStyle w:val="19"/>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5B531C72">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1.证券公司、年审会计师等中介机构专项核查意见（如适用）</w:t>
      </w:r>
    </w:p>
    <w:p w14:paraId="357345FA">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2.最近一年内部控制审计报告（如适用）</w:t>
      </w:r>
    </w:p>
    <w:p w14:paraId="55702D5B">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3.最近一年审计报告（如适用）</w:t>
      </w:r>
    </w:p>
    <w:p w14:paraId="22C004C9">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4.律师事务所法律意见书（如适用）</w:t>
      </w:r>
    </w:p>
    <w:p w14:paraId="7632AC53">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w:t>
      </w:r>
      <w:r>
        <w:rPr>
          <w:rFonts w:ascii="仿宋_GB2312" w:eastAsia="仿宋_GB2312"/>
          <w:color w:val="000000"/>
          <w:sz w:val="30"/>
          <w:szCs w:val="30"/>
        </w:rPr>
        <w:t>.</w:t>
      </w:r>
      <w:r>
        <w:rPr>
          <w:rFonts w:hint="eastAsia" w:ascii="仿宋_GB2312" w:eastAsia="仿宋_GB2312"/>
          <w:color w:val="000000"/>
          <w:sz w:val="30"/>
          <w:szCs w:val="30"/>
        </w:rPr>
        <w:t>破产管理人出具的监督报告（如适用）</w:t>
      </w:r>
    </w:p>
    <w:p w14:paraId="6BEF0500">
      <w:pPr>
        <w:widowControl/>
        <w:jc w:val="left"/>
      </w:pPr>
      <w:r>
        <w:br w:type="page"/>
      </w:r>
    </w:p>
    <w:p w14:paraId="07805FAC">
      <w:pPr>
        <w:pStyle w:val="2"/>
        <w:spacing w:before="0" w:after="0" w:line="240" w:lineRule="auto"/>
        <w:rPr>
          <w:rFonts w:ascii="黑体" w:hAnsi="黑体"/>
          <w:sz w:val="32"/>
          <w:szCs w:val="32"/>
        </w:rPr>
      </w:pPr>
      <w:bookmarkStart w:id="8" w:name="_Toc101642605"/>
      <w:bookmarkStart w:id="9" w:name="_Toc1623694197_WPSOffice_Level1"/>
      <w:r>
        <w:rPr>
          <w:rFonts w:hint="eastAsia" w:ascii="黑体" w:hAnsi="黑体"/>
          <w:sz w:val="32"/>
          <w:szCs w:val="32"/>
        </w:rPr>
        <w:t>二、终止上市相关公告</w:t>
      </w:r>
      <w:bookmarkEnd w:id="8"/>
      <w:bookmarkEnd w:id="9"/>
    </w:p>
    <w:p w14:paraId="2147C79A">
      <w:pPr>
        <w:pStyle w:val="3"/>
        <w:rPr>
          <w:rFonts w:ascii="黑体" w:hAnsi="黑体"/>
          <w:szCs w:val="32"/>
        </w:rPr>
      </w:pPr>
      <w:bookmarkStart w:id="10" w:name="_Toc101642606"/>
      <w:bookmarkStart w:id="11" w:name="_Toc1869149909_WPSOffice_Level2"/>
      <w:r>
        <w:rPr>
          <w:rFonts w:ascii="黑体" w:hAnsi="黑体"/>
          <w:szCs w:val="32"/>
        </w:rPr>
        <w:t>4</w:t>
      </w:r>
      <w:r>
        <w:rPr>
          <w:rFonts w:hint="eastAsia" w:ascii="黑体" w:hAnsi="黑体"/>
          <w:szCs w:val="32"/>
        </w:rPr>
        <w:t>.上市公司股票可能被终止上市的风险提示公告</w:t>
      </w:r>
      <w:bookmarkEnd w:id="10"/>
    </w:p>
    <w:p w14:paraId="08E8DCED">
      <w:pPr>
        <w:adjustRightInd w:val="0"/>
        <w:snapToGrid w:val="0"/>
        <w:spacing w:beforeLines="50"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30BBCBDC">
      <w:pPr>
        <w:adjustRightInd w:val="0"/>
        <w:snapToGrid w:val="0"/>
        <w:spacing w:line="440" w:lineRule="exact"/>
        <w:jc w:val="center"/>
        <w:rPr>
          <w:rFonts w:ascii="仿宋_GB2312" w:hAnsi="宋体" w:eastAsia="仿宋_GB2312"/>
          <w:color w:val="000000"/>
          <w:sz w:val="30"/>
          <w:szCs w:val="30"/>
        </w:rPr>
      </w:pPr>
    </w:p>
    <w:p w14:paraId="55C33917">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XXXX股份有限公司股票</w:t>
      </w:r>
    </w:p>
    <w:p w14:paraId="41699D23">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可能被终止上市的风险提示公告</w:t>
      </w:r>
    </w:p>
    <w:p w14:paraId="744E5F00">
      <w:pPr>
        <w:snapToGrid w:val="0"/>
        <w:spacing w:line="440" w:lineRule="exact"/>
        <w:jc w:val="center"/>
        <w:rPr>
          <w:rFonts w:ascii="仿宋_GB2312" w:hAnsi="宋体" w:eastAsia="仿宋_GB2312"/>
          <w:color w:val="000000"/>
          <w:sz w:val="22"/>
          <w:szCs w:val="30"/>
        </w:rPr>
      </w:pPr>
    </w:p>
    <w:p w14:paraId="458AC63F">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562319EC">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t xml:space="preserve"> </w:t>
      </w:r>
      <w:r>
        <w:rPr>
          <w:rFonts w:hint="eastAsia" w:ascii="仿宋_GB2312" w:eastAsia="仿宋_GB2312"/>
          <w:color w:val="000000"/>
          <w:sz w:val="30"/>
          <w:szCs w:val="30"/>
        </w:rPr>
        <w:t>上市公司应当严格按照《股票上市规则》的要求，针对不同的终止上市情形，在规定的时间内及时披露风险提示公告。股票已被实施财务类退市风险警示的公司，应当在首次披露风险提示公告后至年度报告披露前，每10个交易日披露1次风险提示公告。</w:t>
      </w:r>
    </w:p>
    <w:p w14:paraId="01B187EF">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2.上市公司其他证券产品（如可转债等）出现终止上市情况的，参照本公告格式发布相应的风险提示公告。</w:t>
      </w:r>
    </w:p>
    <w:p w14:paraId="2E5C0132">
      <w:pPr>
        <w:snapToGrid w:val="0"/>
        <w:spacing w:line="560" w:lineRule="exact"/>
        <w:jc w:val="center"/>
        <w:rPr>
          <w:rFonts w:ascii="仿宋_GB2312" w:hAnsi="宋体" w:eastAsia="仿宋_GB2312"/>
          <w:color w:val="000000"/>
          <w:sz w:val="30"/>
          <w:szCs w:val="30"/>
        </w:rPr>
      </w:pPr>
    </w:p>
    <w:p w14:paraId="68DC57E8">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6EACA78F">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5E95E4A3">
      <w:pPr>
        <w:adjustRightInd w:val="0"/>
        <w:snapToGrid w:val="0"/>
        <w:spacing w:line="560" w:lineRule="exact"/>
        <w:ind w:firstLine="602" w:firstLineChars="200"/>
        <w:rPr>
          <w:rFonts w:ascii="仿宋_GB2312" w:hAnsi="宋体" w:eastAsia="仿宋_GB2312"/>
          <w:b/>
          <w:sz w:val="30"/>
          <w:szCs w:val="30"/>
        </w:rPr>
      </w:pPr>
    </w:p>
    <w:p w14:paraId="4549FA39">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2008DA0A">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简要说明公司股票存在终止上市风险的适用情形。如：公司于20XX年X月X日披露了《关于公司股票交易被实施退市风险警示的公告》，公司股票于20XX年X月X日起被实施退市风险警示。若公司出现《股票上市规则》第X条规定的情形，公司股票可能被上海证券交易所终止上市，请广大投资者注意投资风险。</w:t>
      </w:r>
    </w:p>
    <w:p w14:paraId="213F3391">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如可能触及交易类退市情形，公司应当充分提示无退市整理期。</w:t>
      </w:r>
    </w:p>
    <w:p w14:paraId="471B74A1">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公司实际已触及终止上市情形而披露本公告时，应当说明披露本公告后的停牌安排。</w:t>
      </w:r>
    </w:p>
    <w:p w14:paraId="323FDAB4">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76C4B3AF">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一、可能被终止上市的原因</w:t>
      </w:r>
    </w:p>
    <w:p w14:paraId="66E721E6">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公司应当逐项对照《股票上市规则》所列终止上市情形，结合自身各项风险情况，详细说明股票是否存在可能被终止上市的具体适用情形及其原因。</w:t>
      </w:r>
    </w:p>
    <w:p w14:paraId="53DAA4A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69CD6307">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二、重点提示的风险事项（如适用）</w:t>
      </w:r>
    </w:p>
    <w:p w14:paraId="7D783B50">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对于股票已被实施财务类退市风险警示的公司，如存在以下情形，需明确说明相关情况，充分提示退市风险，采取的措施（如有）：</w:t>
      </w:r>
    </w:p>
    <w:p w14:paraId="618B1A0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1.年度</w:t>
      </w:r>
      <w:r>
        <w:rPr>
          <w:rFonts w:ascii="仿宋_GB2312" w:hAnsi="宋体" w:eastAsia="仿宋_GB2312"/>
          <w:color w:val="000000"/>
          <w:kern w:val="0"/>
          <w:sz w:val="30"/>
          <w:szCs w:val="30"/>
        </w:rPr>
        <w:t>业绩预告预计相关指标将</w:t>
      </w:r>
      <w:r>
        <w:rPr>
          <w:rFonts w:hint="eastAsia" w:ascii="仿宋_GB2312" w:hAnsi="宋体" w:eastAsia="仿宋_GB2312"/>
          <w:color w:val="000000"/>
          <w:kern w:val="0"/>
          <w:sz w:val="30"/>
          <w:szCs w:val="30"/>
        </w:rPr>
        <w:t>触及《股票</w:t>
      </w:r>
      <w:r>
        <w:rPr>
          <w:rFonts w:ascii="仿宋_GB2312" w:hAnsi="宋体" w:eastAsia="仿宋_GB2312"/>
          <w:color w:val="000000"/>
          <w:kern w:val="0"/>
          <w:sz w:val="30"/>
          <w:szCs w:val="30"/>
        </w:rPr>
        <w:t>上市规则》第</w:t>
      </w:r>
      <w:r>
        <w:rPr>
          <w:rFonts w:hint="eastAsia" w:ascii="仿宋_GB2312" w:hAnsi="宋体" w:eastAsia="仿宋_GB2312"/>
          <w:color w:val="000000"/>
          <w:kern w:val="0"/>
          <w:sz w:val="30"/>
          <w:szCs w:val="30"/>
        </w:rPr>
        <w:t>9</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3</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7</w:t>
      </w:r>
      <w:r>
        <w:rPr>
          <w:rFonts w:ascii="仿宋_GB2312" w:hAnsi="宋体" w:eastAsia="仿宋_GB2312"/>
          <w:color w:val="000000"/>
          <w:kern w:val="0"/>
          <w:sz w:val="30"/>
          <w:szCs w:val="30"/>
        </w:rPr>
        <w:t>条第一款</w:t>
      </w:r>
      <w:r>
        <w:rPr>
          <w:rFonts w:hint="eastAsia" w:ascii="仿宋_GB2312" w:hAnsi="宋体" w:eastAsia="仿宋_GB2312"/>
          <w:color w:val="000000"/>
          <w:kern w:val="0"/>
          <w:sz w:val="30"/>
          <w:szCs w:val="30"/>
        </w:rPr>
        <w:t>第（一）项至第（五）项规定的</w:t>
      </w:r>
      <w:r>
        <w:rPr>
          <w:rFonts w:ascii="仿宋_GB2312" w:hAnsi="宋体" w:eastAsia="仿宋_GB2312"/>
          <w:color w:val="000000"/>
          <w:kern w:val="0"/>
          <w:sz w:val="30"/>
          <w:szCs w:val="30"/>
        </w:rPr>
        <w:t>任一情形，</w:t>
      </w:r>
      <w:r>
        <w:rPr>
          <w:rFonts w:hint="eastAsia" w:ascii="仿宋_GB2312" w:hAnsi="宋体" w:eastAsia="仿宋_GB2312"/>
          <w:color w:val="000000"/>
          <w:kern w:val="0"/>
          <w:sz w:val="30"/>
          <w:szCs w:val="30"/>
        </w:rPr>
        <w:t>其</w:t>
      </w:r>
      <w:r>
        <w:rPr>
          <w:rFonts w:ascii="仿宋_GB2312" w:hAnsi="宋体" w:eastAsia="仿宋_GB2312"/>
          <w:color w:val="000000"/>
          <w:kern w:val="0"/>
          <w:sz w:val="30"/>
          <w:szCs w:val="30"/>
        </w:rPr>
        <w:t>股票可能被终止上市</w:t>
      </w:r>
      <w:r>
        <w:rPr>
          <w:rFonts w:hint="eastAsia" w:ascii="仿宋_GB2312" w:hAnsi="宋体" w:eastAsia="仿宋_GB2312"/>
          <w:color w:val="000000"/>
          <w:kern w:val="0"/>
          <w:sz w:val="30"/>
          <w:szCs w:val="30"/>
        </w:rPr>
        <w:t>；</w:t>
      </w:r>
    </w:p>
    <w:p w14:paraId="6E1F8D11">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2.尚未聘请会计师事务所；</w:t>
      </w:r>
    </w:p>
    <w:p w14:paraId="1CD9DC84">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3.年度业绩预告与会计师事务所出具的预审计情况的专项说明或审计进展情况的专项说明中相关内容存在重大差异；</w:t>
      </w:r>
    </w:p>
    <w:p w14:paraId="04D3AF1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4.在年报编制及审计过程中，公司与会计师事务所对影响公司是否触及退市情形的关键事项存在重大分歧；</w:t>
      </w:r>
    </w:p>
    <w:p w14:paraId="3923D0D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5</w:t>
      </w:r>
      <w:r>
        <w:rPr>
          <w:rFonts w:hint="eastAsia" w:ascii="仿宋_GB2312" w:hAnsi="宋体" w:eastAsia="仿宋_GB2312"/>
          <w:color w:val="000000"/>
          <w:kern w:val="0"/>
          <w:sz w:val="30"/>
          <w:szCs w:val="30"/>
        </w:rPr>
        <w:t>.影响公司是否触及退市情形的事项尚未核实且未履行信息披露义务；</w:t>
      </w:r>
    </w:p>
    <w:p w14:paraId="7E9B5460">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lang w:val="en-US" w:eastAsia="zh-CN"/>
        </w:rPr>
        <w:t>6</w:t>
      </w:r>
      <w:r>
        <w:rPr>
          <w:rFonts w:hint="eastAsia" w:ascii="仿宋_GB2312" w:hAnsi="宋体" w:eastAsia="仿宋_GB2312"/>
          <w:color w:val="000000"/>
          <w:kern w:val="0"/>
          <w:sz w:val="30"/>
          <w:szCs w:val="30"/>
        </w:rPr>
        <w:t>.本所要求的其他情形。</w:t>
      </w:r>
    </w:p>
    <w:p w14:paraId="2C90109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出现上述第1项情形的，应当披露下列表格并正确勾选可能触及的终止上市情形：</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4"/>
        <w:gridCol w:w="2928"/>
      </w:tblGrid>
      <w:tr w14:paraId="3547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vAlign w:val="center"/>
          </w:tcPr>
          <w:p w14:paraId="1037A0BC">
            <w:pPr>
              <w:spacing w:before="100" w:beforeAutospacing="1" w:after="100" w:afterAutospacing="1" w:line="360" w:lineRule="exact"/>
              <w:jc w:val="center"/>
              <w:outlineLvl w:val="0"/>
              <w:rPr>
                <w:rFonts w:ascii="仿宋_GB2312" w:hAnsi="仿宋" w:eastAsia="仿宋_GB2312"/>
                <w:sz w:val="24"/>
                <w:szCs w:val="24"/>
              </w:rPr>
            </w:pPr>
            <w:r>
              <w:rPr>
                <w:rFonts w:hint="eastAsia" w:ascii="仿宋_GB2312" w:hAnsi="仿宋" w:eastAsia="仿宋_GB2312"/>
                <w:kern w:val="0"/>
                <w:sz w:val="24"/>
                <w:szCs w:val="24"/>
              </w:rPr>
              <w:t>具体情形</w:t>
            </w:r>
          </w:p>
        </w:tc>
        <w:tc>
          <w:tcPr>
            <w:tcW w:w="2928" w:type="dxa"/>
            <w:tcBorders>
              <w:top w:val="single" w:color="auto" w:sz="4" w:space="0"/>
              <w:left w:val="single" w:color="auto" w:sz="4" w:space="0"/>
              <w:bottom w:val="single" w:color="auto" w:sz="4" w:space="0"/>
              <w:right w:val="single" w:color="auto" w:sz="4" w:space="0"/>
            </w:tcBorders>
            <w:vAlign w:val="center"/>
          </w:tcPr>
          <w:p w14:paraId="049DF43F">
            <w:pPr>
              <w:spacing w:before="100" w:beforeAutospacing="1" w:after="100" w:afterAutospacing="1" w:line="360" w:lineRule="exact"/>
              <w:jc w:val="center"/>
              <w:outlineLvl w:val="0"/>
              <w:rPr>
                <w:rFonts w:ascii="仿宋_GB2312" w:hAnsi="仿宋" w:eastAsia="仿宋_GB2312"/>
                <w:kern w:val="0"/>
                <w:sz w:val="24"/>
                <w:szCs w:val="24"/>
              </w:rPr>
            </w:pPr>
            <w:r>
              <w:rPr>
                <w:rFonts w:hint="eastAsia" w:ascii="仿宋_GB2312" w:hAnsi="仿宋" w:eastAsia="仿宋_GB2312"/>
                <w:kern w:val="0"/>
                <w:sz w:val="24"/>
                <w:szCs w:val="24"/>
              </w:rPr>
              <w:t>是否适用</w:t>
            </w:r>
          </w:p>
          <w:p w14:paraId="7C187708">
            <w:pPr>
              <w:spacing w:before="100" w:beforeAutospacing="1" w:after="100" w:afterAutospacing="1" w:line="360" w:lineRule="exact"/>
              <w:jc w:val="center"/>
              <w:outlineLvl w:val="0"/>
              <w:rPr>
                <w:rFonts w:ascii="仿宋_GB2312" w:hAnsi="仿宋" w:eastAsia="仿宋_GB2312"/>
                <w:kern w:val="0"/>
                <w:sz w:val="24"/>
                <w:szCs w:val="24"/>
              </w:rPr>
            </w:pPr>
            <w:r>
              <w:rPr>
                <w:rFonts w:hint="eastAsia" w:ascii="仿宋_GB2312" w:hAnsi="仿宋" w:eastAsia="仿宋_GB2312"/>
                <w:kern w:val="0"/>
                <w:sz w:val="24"/>
                <w:szCs w:val="24"/>
              </w:rPr>
              <w:t>（对可能触及的打勾）</w:t>
            </w:r>
          </w:p>
        </w:tc>
      </w:tr>
      <w:tr w14:paraId="2ABF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14:paraId="39366144">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经审计的</w:t>
            </w:r>
            <w:r>
              <w:rPr>
                <w:rFonts w:hint="eastAsia" w:ascii="仿宋_GB2312" w:hAnsi="仿宋" w:eastAsia="仿宋_GB2312"/>
                <w:kern w:val="0"/>
                <w:sz w:val="24"/>
                <w:szCs w:val="24"/>
                <w:lang w:eastAsia="zh-CN"/>
              </w:rPr>
              <w:t>利润总额、净利润或者扣除非经常损益后的</w:t>
            </w:r>
            <w:r>
              <w:rPr>
                <w:rFonts w:hint="eastAsia" w:ascii="仿宋_GB2312" w:hAnsi="仿宋" w:eastAsia="仿宋_GB2312"/>
                <w:kern w:val="0"/>
                <w:sz w:val="24"/>
                <w:szCs w:val="24"/>
              </w:rPr>
              <w:t>净利润</w:t>
            </w:r>
            <w:r>
              <w:rPr>
                <w:rFonts w:hint="eastAsia" w:ascii="仿宋_GB2312" w:hAnsi="仿宋" w:eastAsia="仿宋_GB2312"/>
                <w:kern w:val="0"/>
                <w:sz w:val="24"/>
                <w:szCs w:val="24"/>
                <w:lang w:eastAsia="zh-CN"/>
              </w:rPr>
              <w:t>孰低者</w:t>
            </w:r>
            <w:r>
              <w:rPr>
                <w:rFonts w:hint="eastAsia" w:ascii="仿宋_GB2312" w:hAnsi="仿宋" w:eastAsia="仿宋_GB2312"/>
                <w:kern w:val="0"/>
                <w:sz w:val="24"/>
                <w:szCs w:val="24"/>
              </w:rPr>
              <w:t>为负值且营业收入低于3亿元，或追溯重述后最近一个会计年度</w:t>
            </w:r>
            <w:r>
              <w:rPr>
                <w:rFonts w:hint="eastAsia" w:ascii="仿宋_GB2312" w:hAnsi="仿宋" w:eastAsia="仿宋_GB2312"/>
                <w:kern w:val="0"/>
                <w:sz w:val="24"/>
                <w:szCs w:val="24"/>
                <w:lang w:eastAsia="zh-CN"/>
              </w:rPr>
              <w:t>利润总额、净利润或者扣除非经常损益后的</w:t>
            </w:r>
            <w:r>
              <w:rPr>
                <w:rFonts w:hint="eastAsia" w:ascii="仿宋_GB2312" w:hAnsi="仿宋" w:eastAsia="仿宋_GB2312"/>
                <w:kern w:val="0"/>
                <w:sz w:val="24"/>
                <w:szCs w:val="24"/>
              </w:rPr>
              <w:t>净利润</w:t>
            </w:r>
            <w:r>
              <w:rPr>
                <w:rFonts w:hint="eastAsia" w:ascii="仿宋_GB2312" w:hAnsi="仿宋" w:eastAsia="仿宋_GB2312"/>
                <w:kern w:val="0"/>
                <w:sz w:val="24"/>
                <w:szCs w:val="24"/>
                <w:lang w:eastAsia="zh-CN"/>
              </w:rPr>
              <w:t>孰低者</w:t>
            </w:r>
            <w:r>
              <w:rPr>
                <w:rFonts w:hint="eastAsia" w:ascii="仿宋_GB2312" w:hAnsi="仿宋" w:eastAsia="仿宋_GB2312"/>
                <w:kern w:val="0"/>
                <w:sz w:val="24"/>
                <w:szCs w:val="24"/>
              </w:rPr>
              <w:t>为负值且营业收入低于3亿元。</w:t>
            </w:r>
          </w:p>
        </w:tc>
        <w:tc>
          <w:tcPr>
            <w:tcW w:w="2928" w:type="dxa"/>
            <w:tcBorders>
              <w:top w:val="single" w:color="auto" w:sz="4" w:space="0"/>
              <w:left w:val="single" w:color="auto" w:sz="4" w:space="0"/>
              <w:bottom w:val="single" w:color="auto" w:sz="4" w:space="0"/>
              <w:right w:val="single" w:color="auto" w:sz="4" w:space="0"/>
            </w:tcBorders>
          </w:tcPr>
          <w:p w14:paraId="63362CCB">
            <w:pPr>
              <w:spacing w:line="360" w:lineRule="exact"/>
              <w:outlineLvl w:val="0"/>
              <w:rPr>
                <w:rFonts w:ascii="仿宋_GB2312" w:hAnsi="仿宋" w:eastAsia="仿宋_GB2312"/>
                <w:kern w:val="0"/>
                <w:sz w:val="24"/>
                <w:szCs w:val="24"/>
              </w:rPr>
            </w:pPr>
          </w:p>
        </w:tc>
      </w:tr>
      <w:tr w14:paraId="3C4F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14:paraId="08CD5767">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经审计的期末净资产为负值，或追溯重述后最近一个会计年度期末净资产为负值。</w:t>
            </w:r>
          </w:p>
        </w:tc>
        <w:tc>
          <w:tcPr>
            <w:tcW w:w="2928" w:type="dxa"/>
            <w:tcBorders>
              <w:top w:val="single" w:color="auto" w:sz="4" w:space="0"/>
              <w:left w:val="single" w:color="auto" w:sz="4" w:space="0"/>
              <w:bottom w:val="single" w:color="auto" w:sz="4" w:space="0"/>
              <w:right w:val="single" w:color="auto" w:sz="4" w:space="0"/>
            </w:tcBorders>
          </w:tcPr>
          <w:p w14:paraId="0A27E82E">
            <w:pPr>
              <w:spacing w:line="360" w:lineRule="exact"/>
              <w:outlineLvl w:val="0"/>
              <w:rPr>
                <w:rFonts w:ascii="仿宋_GB2312" w:hAnsi="仿宋" w:eastAsia="仿宋_GB2312"/>
                <w:kern w:val="0"/>
                <w:sz w:val="24"/>
                <w:szCs w:val="24"/>
              </w:rPr>
            </w:pPr>
          </w:p>
        </w:tc>
      </w:tr>
      <w:tr w14:paraId="6772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94" w:type="dxa"/>
            <w:tcBorders>
              <w:top w:val="single" w:color="auto" w:sz="4" w:space="0"/>
              <w:left w:val="single" w:color="auto" w:sz="4" w:space="0"/>
              <w:bottom w:val="single" w:color="auto" w:sz="4" w:space="0"/>
              <w:right w:val="single" w:color="auto" w:sz="4" w:space="0"/>
            </w:tcBorders>
          </w:tcPr>
          <w:p w14:paraId="4D7CF544">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lang w:eastAsia="zh-CN"/>
              </w:rPr>
              <w:t>经审计的</w:t>
            </w:r>
            <w:r>
              <w:rPr>
                <w:rFonts w:hint="eastAsia" w:ascii="仿宋_GB2312" w:hAnsi="仿宋" w:eastAsia="仿宋_GB2312"/>
                <w:kern w:val="0"/>
                <w:sz w:val="24"/>
                <w:szCs w:val="24"/>
              </w:rPr>
              <w:t>财务会计报告被出具保留意见、无法表示意见或者否定意见的审计报告。</w:t>
            </w:r>
          </w:p>
        </w:tc>
        <w:tc>
          <w:tcPr>
            <w:tcW w:w="2928" w:type="dxa"/>
            <w:tcBorders>
              <w:top w:val="single" w:color="auto" w:sz="4" w:space="0"/>
              <w:left w:val="single" w:color="auto" w:sz="4" w:space="0"/>
              <w:bottom w:val="single" w:color="auto" w:sz="4" w:space="0"/>
              <w:right w:val="single" w:color="auto" w:sz="4" w:space="0"/>
            </w:tcBorders>
          </w:tcPr>
          <w:p w14:paraId="07D3BB78">
            <w:pPr>
              <w:spacing w:line="360" w:lineRule="exact"/>
              <w:outlineLvl w:val="0"/>
              <w:rPr>
                <w:rFonts w:ascii="仿宋_GB2312" w:hAnsi="仿宋" w:eastAsia="仿宋_GB2312"/>
                <w:kern w:val="0"/>
                <w:sz w:val="24"/>
                <w:szCs w:val="24"/>
              </w:rPr>
            </w:pPr>
          </w:p>
        </w:tc>
      </w:tr>
      <w:tr w14:paraId="4AA8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14:paraId="77D1DE33">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财务报告内部控制被出具无法表示意见或者否定意见的审计报告，或者未按照相关规定披露财务报告内部控制审计报告。</w:t>
            </w:r>
          </w:p>
        </w:tc>
        <w:tc>
          <w:tcPr>
            <w:tcW w:w="2928" w:type="dxa"/>
            <w:tcBorders>
              <w:top w:val="single" w:color="auto" w:sz="4" w:space="0"/>
              <w:left w:val="single" w:color="auto" w:sz="4" w:space="0"/>
              <w:bottom w:val="single" w:color="auto" w:sz="4" w:space="0"/>
              <w:right w:val="single" w:color="auto" w:sz="4" w:space="0"/>
            </w:tcBorders>
          </w:tcPr>
          <w:p w14:paraId="6F8E9C22">
            <w:pPr>
              <w:spacing w:line="360" w:lineRule="exact"/>
              <w:outlineLvl w:val="0"/>
              <w:rPr>
                <w:rFonts w:ascii="仿宋_GB2312" w:hAnsi="仿宋" w:eastAsia="仿宋_GB2312"/>
                <w:kern w:val="0"/>
                <w:sz w:val="24"/>
                <w:szCs w:val="24"/>
              </w:rPr>
            </w:pPr>
          </w:p>
        </w:tc>
      </w:tr>
      <w:tr w14:paraId="1DD8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14:paraId="17C1501B">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未在法定期限内披露年度报告。</w:t>
            </w:r>
          </w:p>
        </w:tc>
        <w:tc>
          <w:tcPr>
            <w:tcW w:w="2928" w:type="dxa"/>
            <w:tcBorders>
              <w:top w:val="single" w:color="auto" w:sz="4" w:space="0"/>
              <w:left w:val="single" w:color="auto" w:sz="4" w:space="0"/>
              <w:bottom w:val="single" w:color="auto" w:sz="4" w:space="0"/>
              <w:right w:val="single" w:color="auto" w:sz="4" w:space="0"/>
            </w:tcBorders>
          </w:tcPr>
          <w:p w14:paraId="3B994D1E">
            <w:pPr>
              <w:spacing w:line="360" w:lineRule="exact"/>
              <w:outlineLvl w:val="0"/>
              <w:rPr>
                <w:rFonts w:ascii="仿宋_GB2312" w:hAnsi="仿宋" w:eastAsia="仿宋_GB2312"/>
                <w:kern w:val="0"/>
                <w:sz w:val="24"/>
                <w:szCs w:val="24"/>
              </w:rPr>
            </w:pPr>
          </w:p>
        </w:tc>
      </w:tr>
      <w:tr w14:paraId="3C3A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14:paraId="23CCE39B">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半数以上董事无法保证公司所披露年度报告的真实性、准确性和完整性，且未在法定期限内改正。</w:t>
            </w:r>
          </w:p>
        </w:tc>
        <w:tc>
          <w:tcPr>
            <w:tcW w:w="2928" w:type="dxa"/>
            <w:tcBorders>
              <w:top w:val="single" w:color="auto" w:sz="4" w:space="0"/>
              <w:left w:val="single" w:color="auto" w:sz="4" w:space="0"/>
              <w:bottom w:val="single" w:color="auto" w:sz="4" w:space="0"/>
              <w:right w:val="single" w:color="auto" w:sz="4" w:space="0"/>
            </w:tcBorders>
          </w:tcPr>
          <w:p w14:paraId="2A50544C">
            <w:pPr>
              <w:spacing w:line="360" w:lineRule="exact"/>
              <w:outlineLvl w:val="0"/>
              <w:rPr>
                <w:rFonts w:ascii="仿宋_GB2312" w:hAnsi="仿宋" w:eastAsia="仿宋_GB2312"/>
                <w:kern w:val="0"/>
                <w:sz w:val="24"/>
                <w:szCs w:val="24"/>
              </w:rPr>
            </w:pPr>
          </w:p>
        </w:tc>
      </w:tr>
    </w:tbl>
    <w:p w14:paraId="15286530">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0C289484">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三、公司股票停牌安排及终止上市决定</w:t>
      </w:r>
    </w:p>
    <w:p w14:paraId="58068E48">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说明公司股票触发终止上市情形后的停牌安排；根据《股票上市规则》第×条的规定，上交所将在公司出现终止上市情形（具体情形表述）后的规定期限内，作出是否终止其股票上市的决定。</w:t>
      </w:r>
    </w:p>
    <w:p w14:paraId="3FA2B7F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交易类强制退市情形无退市整理期，公司应当充分提示风险。</w:t>
      </w:r>
    </w:p>
    <w:p w14:paraId="060DC9E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5B28E367">
      <w:pPr>
        <w:autoSpaceDE w:val="0"/>
        <w:autoSpaceDN w:val="0"/>
        <w:adjustRightInd w:val="0"/>
        <w:snapToGrid w:val="0"/>
        <w:spacing w:line="380" w:lineRule="exact"/>
        <w:ind w:firstLine="600" w:firstLineChars="200"/>
        <w:rPr>
          <w:rFonts w:ascii="仿宋_GB2312" w:hAnsi="宋体" w:eastAsia="仿宋_GB2312"/>
          <w:color w:val="000000"/>
          <w:kern w:val="0"/>
          <w:sz w:val="30"/>
          <w:szCs w:val="30"/>
        </w:rPr>
      </w:pPr>
    </w:p>
    <w:p w14:paraId="5601E657">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四、其他事项</w:t>
      </w:r>
    </w:p>
    <w:p w14:paraId="5A520AC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简要说明可能被实施退市风险警示的风险提示公告的披露情况，如公告日期、公告编号等。</w:t>
      </w:r>
    </w:p>
    <w:p w14:paraId="492748D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其他需要说明的事项，如对公司其他证券产品（公司债、可转债）等进行相关风险提示。</w:t>
      </w:r>
    </w:p>
    <w:p w14:paraId="1CC1898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如为交易类强制退市、主动终止上市等不进入退市整理期的情形，需提示：（1）投资者或托管券商等市场主体在股票终止上市暨摘牌前及时了结股票质押式回购、约定购回、融资融券、转融通、沪股通等业务；（2）对于自股票终止上市暨摘牌后至进入退市板块办理股份登记、挂牌期间到期的司法冻结业务，建议有权机关在股票终止上市暨摘牌前通过原协助执行渠道提前办理续冻手续。</w:t>
      </w:r>
    </w:p>
    <w:p w14:paraId="7E882896">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对于交易类强制退市情形，上市公司需严格按照时点要求进行信息披露。例如，针对1元退市，在本所仅发行A股股票或者B股股票的上市公司，首次出现股票收盘价低于人民币1元的，应当在次一交易日发布公司股票可能被终止上市的风险提示公告；出现连续10个交易日（不包含公司股票停牌日）每日股票收盘价均低于人民币1元的，应当在次一交易日发布公司股票可能被终止上市的风险提示公告，其后每个交易日披露一次，直至公司股票收盘价低于人民币1元的情形消除或者出现终止上市情形之日止（以先达到的日期为准）。）</w:t>
      </w:r>
    </w:p>
    <w:p w14:paraId="6219DC10">
      <w:pPr>
        <w:adjustRightInd w:val="0"/>
        <w:snapToGrid w:val="0"/>
        <w:spacing w:line="240" w:lineRule="exact"/>
        <w:ind w:firstLine="480" w:firstLineChars="200"/>
        <w:rPr>
          <w:rFonts w:ascii="楷体" w:hAnsi="楷体" w:eastAsia="楷体"/>
          <w:sz w:val="24"/>
          <w:szCs w:val="24"/>
        </w:rPr>
      </w:pPr>
    </w:p>
    <w:p w14:paraId="34784279">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35BCA80B">
      <w:pPr>
        <w:adjustRightInd w:val="0"/>
        <w:snapToGrid w:val="0"/>
        <w:spacing w:beforeLines="50" w:afterLines="50" w:line="560" w:lineRule="exact"/>
        <w:ind w:firstLine="600" w:firstLineChars="200"/>
        <w:jc w:val="right"/>
        <w:rPr>
          <w:rFonts w:hint="eastAsia" w:ascii="仿宋_GB2312" w:hAnsi="仿宋" w:eastAsia="仿宋_GB2312"/>
          <w:bCs/>
          <w:sz w:val="30"/>
          <w:szCs w:val="30"/>
          <w:lang w:eastAsia="zh-CN"/>
        </w:rPr>
      </w:pPr>
      <w:r>
        <w:rPr>
          <w:rFonts w:hint="eastAsia" w:ascii="仿宋_GB2312" w:hAnsi="仿宋" w:eastAsia="仿宋_GB2312"/>
          <w:bCs/>
          <w:sz w:val="30"/>
          <w:szCs w:val="30"/>
        </w:rPr>
        <w:t>XXXX股份有限公司</w:t>
      </w:r>
      <w:r>
        <w:rPr>
          <w:rFonts w:hint="eastAsia" w:ascii="仿宋_GB2312" w:hAnsi="仿宋" w:eastAsia="仿宋_GB2312"/>
          <w:bCs/>
          <w:sz w:val="30"/>
          <w:szCs w:val="30"/>
          <w:lang w:eastAsia="zh-CN"/>
        </w:rPr>
        <w:t>董事会</w:t>
      </w:r>
    </w:p>
    <w:p w14:paraId="2C59B6EC">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rPr>
      </w:pPr>
      <w:r>
        <w:rPr>
          <w:rFonts w:hint="eastAsia" w:ascii="仿宋_GB2312" w:hAnsi="仿宋" w:eastAsia="仿宋_GB2312"/>
          <w:bCs/>
          <w:sz w:val="30"/>
          <w:szCs w:val="30"/>
        </w:rPr>
        <w:t>年  月  日</w:t>
      </w:r>
      <w:r>
        <w:rPr>
          <w:rFonts w:ascii="黑体" w:hAnsi="黑体" w:eastAsia="黑体" w:cs="宋体-WinCharSetFFFF-H"/>
          <w:b/>
          <w:color w:val="000000"/>
          <w:kern w:val="0"/>
          <w:sz w:val="30"/>
          <w:szCs w:val="30"/>
        </w:rPr>
        <w:br w:type="page"/>
      </w:r>
    </w:p>
    <w:p w14:paraId="318EC759">
      <w:pPr>
        <w:pStyle w:val="3"/>
        <w:rPr>
          <w:rFonts w:ascii="黑体" w:hAnsi="黑体"/>
        </w:rPr>
      </w:pPr>
      <w:bookmarkStart w:id="12" w:name="_Toc101642607"/>
      <w:r>
        <w:rPr>
          <w:rFonts w:ascii="黑体" w:hAnsi="黑体"/>
        </w:rPr>
        <w:t>5.</w:t>
      </w:r>
      <w:r>
        <w:rPr>
          <w:rFonts w:hint="eastAsia" w:ascii="黑体" w:hAnsi="黑体"/>
        </w:rPr>
        <w:t>上市公司收到股票终止上市决定的公告</w:t>
      </w:r>
      <w:bookmarkEnd w:id="11"/>
      <w:bookmarkEnd w:id="12"/>
    </w:p>
    <w:p w14:paraId="12F8653A"/>
    <w:p w14:paraId="29F0275F">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24D18ADD">
      <w:pPr>
        <w:adjustRightInd w:val="0"/>
        <w:snapToGrid w:val="0"/>
        <w:spacing w:line="560" w:lineRule="exact"/>
        <w:jc w:val="center"/>
        <w:rPr>
          <w:rFonts w:ascii="仿宋_GB2312" w:hAnsi="宋体" w:eastAsia="仿宋_GB2312"/>
          <w:color w:val="000000"/>
          <w:sz w:val="30"/>
          <w:szCs w:val="30"/>
        </w:rPr>
      </w:pPr>
    </w:p>
    <w:p w14:paraId="59C6FD3A">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股份有限公司收到股票终止上市决定的公告</w:t>
      </w:r>
    </w:p>
    <w:p w14:paraId="1E84BB03">
      <w:pPr>
        <w:snapToGrid w:val="0"/>
        <w:spacing w:line="560" w:lineRule="exact"/>
        <w:jc w:val="center"/>
        <w:rPr>
          <w:rFonts w:ascii="仿宋_GB2312" w:hAnsi="宋体" w:eastAsia="仿宋_GB2312"/>
          <w:color w:val="000000"/>
          <w:sz w:val="30"/>
          <w:szCs w:val="30"/>
        </w:rPr>
      </w:pPr>
    </w:p>
    <w:p w14:paraId="1969FDAC">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62E2B634">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上市公司收到本所作出的终止上市决定，且后续股票需进入退市整理期交易的，需按照本公告格式立即披露相关事项。</w:t>
      </w:r>
    </w:p>
    <w:p w14:paraId="1F662DAA">
      <w:pPr>
        <w:snapToGrid w:val="0"/>
        <w:spacing w:line="560" w:lineRule="exact"/>
        <w:rPr>
          <w:rFonts w:ascii="仿宋_GB2312" w:hAnsi="宋体" w:eastAsia="仿宋_GB2312"/>
          <w:color w:val="000000"/>
          <w:sz w:val="30"/>
          <w:szCs w:val="30"/>
        </w:rPr>
      </w:pPr>
    </w:p>
    <w:p w14:paraId="64116E7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5BDF9713">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15666B97">
      <w:pPr>
        <w:autoSpaceDE w:val="0"/>
        <w:autoSpaceDN w:val="0"/>
        <w:adjustRightInd w:val="0"/>
        <w:spacing w:line="560" w:lineRule="exact"/>
        <w:ind w:firstLine="600" w:firstLineChars="200"/>
        <w:rPr>
          <w:rFonts w:ascii="仿宋_GB2312" w:eastAsia="仿宋_GB2312"/>
          <w:color w:val="000000"/>
          <w:sz w:val="30"/>
          <w:szCs w:val="30"/>
        </w:rPr>
      </w:pPr>
    </w:p>
    <w:p w14:paraId="4EC5FEC8">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14:paraId="766C053C">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终止上市的证券种类、证券简称、证券代码</w:t>
      </w:r>
    </w:p>
    <w:p w14:paraId="1C36A8AC">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公司股票进入退市整理期的起始日和退市整理期的交易期限</w:t>
      </w:r>
    </w:p>
    <w:p w14:paraId="470AEC80">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退市整理期间股票在风险警示板交易</w:t>
      </w:r>
    </w:p>
    <w:p w14:paraId="58FF9081">
      <w:pPr>
        <w:autoSpaceDE w:val="0"/>
        <w:autoSpaceDN w:val="0"/>
        <w:adjustRightInd w:val="0"/>
        <w:spacing w:line="560" w:lineRule="exact"/>
        <w:ind w:firstLine="600" w:firstLineChars="200"/>
        <w:rPr>
          <w:rFonts w:ascii="仿宋_GB2312" w:eastAsia="仿宋_GB2312"/>
          <w:color w:val="000000"/>
          <w:sz w:val="30"/>
          <w:szCs w:val="30"/>
        </w:rPr>
      </w:pPr>
    </w:p>
    <w:p w14:paraId="79B9577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本公司于20X</w:t>
      </w:r>
      <w:r>
        <w:rPr>
          <w:rFonts w:ascii="仿宋_GB2312" w:eastAsia="仿宋_GB2312"/>
          <w:color w:val="000000"/>
          <w:sz w:val="30"/>
          <w:szCs w:val="30"/>
        </w:rPr>
        <w:t>X</w:t>
      </w:r>
      <w:r>
        <w:rPr>
          <w:rFonts w:hint="eastAsia" w:ascii="仿宋_GB2312" w:eastAsia="仿宋_GB2312"/>
          <w:color w:val="000000"/>
          <w:sz w:val="30"/>
          <w:szCs w:val="30"/>
        </w:rPr>
        <w:t>年X</w:t>
      </w:r>
      <w:r>
        <w:rPr>
          <w:rFonts w:ascii="仿宋_GB2312" w:eastAsia="仿宋_GB2312"/>
          <w:color w:val="000000"/>
          <w:sz w:val="30"/>
          <w:szCs w:val="30"/>
        </w:rPr>
        <w:t>X</w:t>
      </w:r>
      <w:r>
        <w:rPr>
          <w:rFonts w:hint="eastAsia" w:ascii="仿宋_GB2312" w:eastAsia="仿宋_GB2312"/>
          <w:color w:val="000000"/>
          <w:sz w:val="30"/>
          <w:szCs w:val="30"/>
        </w:rPr>
        <w:t>月X</w:t>
      </w:r>
      <w:r>
        <w:rPr>
          <w:rFonts w:ascii="仿宋_GB2312" w:eastAsia="仿宋_GB2312"/>
          <w:color w:val="000000"/>
          <w:sz w:val="30"/>
          <w:szCs w:val="30"/>
        </w:rPr>
        <w:t>X</w:t>
      </w:r>
      <w:r>
        <w:rPr>
          <w:rFonts w:hint="eastAsia" w:ascii="仿宋_GB2312" w:eastAsia="仿宋_GB2312"/>
          <w:color w:val="000000"/>
          <w:sz w:val="30"/>
          <w:szCs w:val="30"/>
        </w:rPr>
        <w:t>日收到上海证券交易所《关于X</w:t>
      </w:r>
      <w:r>
        <w:rPr>
          <w:rFonts w:ascii="仿宋_GB2312" w:eastAsia="仿宋_GB2312"/>
          <w:color w:val="000000"/>
          <w:sz w:val="30"/>
          <w:szCs w:val="30"/>
        </w:rPr>
        <w:t>XXX</w:t>
      </w:r>
      <w:r>
        <w:rPr>
          <w:rFonts w:hint="eastAsia" w:ascii="仿宋_GB2312" w:eastAsia="仿宋_GB2312"/>
          <w:color w:val="000000"/>
          <w:sz w:val="30"/>
          <w:szCs w:val="30"/>
        </w:rPr>
        <w:t>股份有限公司股票终止上市的决定》（上海证券交易所自律监管决定书〔20X</w:t>
      </w:r>
      <w:r>
        <w:rPr>
          <w:rFonts w:ascii="仿宋_GB2312" w:eastAsia="仿宋_GB2312"/>
          <w:color w:val="000000"/>
          <w:sz w:val="30"/>
          <w:szCs w:val="30"/>
        </w:rPr>
        <w:t>X</w:t>
      </w:r>
      <w:r>
        <w:rPr>
          <w:rFonts w:hint="eastAsia" w:ascii="仿宋_GB2312" w:eastAsia="仿宋_GB2312"/>
          <w:color w:val="000000"/>
          <w:sz w:val="30"/>
          <w:szCs w:val="30"/>
        </w:rPr>
        <w:t>〕X</w:t>
      </w:r>
      <w:r>
        <w:rPr>
          <w:rFonts w:ascii="仿宋_GB2312" w:eastAsia="仿宋_GB2312"/>
          <w:color w:val="000000"/>
          <w:sz w:val="30"/>
          <w:szCs w:val="30"/>
        </w:rPr>
        <w:t>X</w:t>
      </w:r>
      <w:r>
        <w:rPr>
          <w:rFonts w:hint="eastAsia" w:ascii="仿宋_GB2312" w:eastAsia="仿宋_GB2312"/>
          <w:color w:val="000000"/>
          <w:sz w:val="30"/>
          <w:szCs w:val="30"/>
        </w:rPr>
        <w:t>号），上海证券交易所决定终止公司股票上市。</w:t>
      </w:r>
    </w:p>
    <w:p w14:paraId="72616A3D">
      <w:pPr>
        <w:autoSpaceDE w:val="0"/>
        <w:autoSpaceDN w:val="0"/>
        <w:adjustRightInd w:val="0"/>
        <w:spacing w:line="560" w:lineRule="exact"/>
        <w:ind w:firstLine="600" w:firstLineChars="200"/>
        <w:rPr>
          <w:rFonts w:ascii="仿宋_GB2312" w:eastAsia="仿宋_GB2312"/>
          <w:color w:val="000000"/>
          <w:sz w:val="30"/>
          <w:szCs w:val="30"/>
        </w:rPr>
      </w:pPr>
    </w:p>
    <w:p w14:paraId="0CE30550">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一、终止上市的证券种类、证券简称、证券代码</w:t>
      </w:r>
    </w:p>
    <w:p w14:paraId="482CF66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（一）证券种类</w:t>
      </w:r>
    </w:p>
    <w:p w14:paraId="1593EFD1">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14:paraId="6A892FE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（三）证券代码</w:t>
      </w:r>
    </w:p>
    <w:p w14:paraId="76ECF049">
      <w:pPr>
        <w:autoSpaceDE w:val="0"/>
        <w:autoSpaceDN w:val="0"/>
        <w:adjustRightInd w:val="0"/>
        <w:spacing w:line="560" w:lineRule="exact"/>
        <w:ind w:firstLine="600" w:firstLineChars="200"/>
        <w:rPr>
          <w:rFonts w:ascii="仿宋_GB2312" w:eastAsia="仿宋_GB2312"/>
          <w:color w:val="000000"/>
          <w:sz w:val="30"/>
          <w:szCs w:val="30"/>
        </w:rPr>
      </w:pPr>
    </w:p>
    <w:p w14:paraId="0DA561E8">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二、终止上市决定的主要内容</w:t>
      </w:r>
    </w:p>
    <w:p w14:paraId="24C5A20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本部分主要说明收到上海证券交易所关于公司股票终止上市决定的主要内容。</w:t>
      </w:r>
    </w:p>
    <w:p w14:paraId="0C13597F">
      <w:pPr>
        <w:autoSpaceDE w:val="0"/>
        <w:autoSpaceDN w:val="0"/>
        <w:adjustRightInd w:val="0"/>
        <w:spacing w:line="560" w:lineRule="exact"/>
        <w:ind w:firstLine="600" w:firstLineChars="200"/>
        <w:rPr>
          <w:rFonts w:ascii="仿宋_GB2312" w:eastAsia="仿宋_GB2312"/>
          <w:color w:val="000000"/>
          <w:sz w:val="30"/>
          <w:szCs w:val="30"/>
        </w:rPr>
      </w:pPr>
    </w:p>
    <w:p w14:paraId="370C9EDF">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三、终止上市后公司股票登记、转让和管理事宜</w:t>
      </w:r>
    </w:p>
    <w:p w14:paraId="4F033C8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本部分主要说明公司股票终止上市后，公司股票将转入全国中小企业股份转让系统等证券交易场所转让，以及相</w:t>
      </w:r>
      <w:r>
        <w:rPr>
          <w:rFonts w:ascii="仿宋_GB2312" w:eastAsia="仿宋_GB2312"/>
          <w:color w:val="000000"/>
          <w:sz w:val="30"/>
          <w:szCs w:val="30"/>
        </w:rPr>
        <w:t>应</w:t>
      </w:r>
      <w:r>
        <w:rPr>
          <w:rFonts w:hint="eastAsia" w:ascii="仿宋_GB2312" w:eastAsia="仿宋_GB2312"/>
          <w:color w:val="000000"/>
          <w:sz w:val="30"/>
          <w:szCs w:val="30"/>
        </w:rPr>
        <w:t>的股票登记、转让和管理事宜等。</w:t>
      </w:r>
    </w:p>
    <w:p w14:paraId="6A74C4B3">
      <w:pPr>
        <w:autoSpaceDE w:val="0"/>
        <w:autoSpaceDN w:val="0"/>
        <w:adjustRightInd w:val="0"/>
        <w:spacing w:line="560" w:lineRule="exact"/>
        <w:ind w:firstLine="600" w:firstLineChars="200"/>
        <w:rPr>
          <w:rFonts w:ascii="仿宋_GB2312" w:eastAsia="仿宋_GB2312"/>
          <w:color w:val="000000"/>
          <w:sz w:val="30"/>
          <w:szCs w:val="30"/>
        </w:rPr>
      </w:pPr>
    </w:p>
    <w:p w14:paraId="1BACC80D">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四、终止上市后公司的信息披露指定媒体、联系人、联系地址、电话和其他通讯方式</w:t>
      </w:r>
    </w:p>
    <w:p w14:paraId="2C044EC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本部分主要说明公司股票终止上市后的信息披露指定媒体、联系人、联系地址、电话和其他通讯方式等。</w:t>
      </w:r>
    </w:p>
    <w:p w14:paraId="0DAC2F38">
      <w:pPr>
        <w:autoSpaceDE w:val="0"/>
        <w:autoSpaceDN w:val="0"/>
        <w:adjustRightInd w:val="0"/>
        <w:spacing w:line="560" w:lineRule="exact"/>
        <w:ind w:firstLine="600" w:firstLineChars="200"/>
        <w:rPr>
          <w:rFonts w:ascii="仿宋_GB2312" w:eastAsia="仿宋_GB2312"/>
          <w:color w:val="000000"/>
          <w:sz w:val="30"/>
          <w:szCs w:val="30"/>
        </w:rPr>
      </w:pPr>
    </w:p>
    <w:p w14:paraId="6D34073B">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五、公司退市整理期及终止上市相关安排</w:t>
      </w:r>
    </w:p>
    <w:p w14:paraId="36A4AEC3">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本部分主要说明公司股票进入退市整理期的起始日、交易期限及预计最后交易日期、退市整理期间每日的涨跌幅限制、退市整理期届满后的5个交易日内股票将被摘牌等内容，同时还</w:t>
      </w:r>
      <w:r>
        <w:rPr>
          <w:rFonts w:ascii="仿宋_GB2312" w:eastAsia="仿宋_GB2312"/>
          <w:color w:val="000000"/>
          <w:sz w:val="30"/>
          <w:szCs w:val="30"/>
        </w:rPr>
        <w:t>应当</w:t>
      </w:r>
      <w:r>
        <w:rPr>
          <w:rFonts w:hint="eastAsia" w:ascii="仿宋_GB2312" w:eastAsia="仿宋_GB2312"/>
          <w:color w:val="000000"/>
          <w:sz w:val="30"/>
          <w:szCs w:val="30"/>
        </w:rPr>
        <w:t>说明公司股票在退市整理期内全天停牌的，停牌期间不计入退市整理期、退市整理期间风险提示公告的披露安排等。</w:t>
      </w:r>
    </w:p>
    <w:p w14:paraId="146A2EBB">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根据《股票上市规则》，自上海证券交易所公告对上市公司股票作出终止上市的决定之日后的5个交易日届满的次一交易日起，公司股票进入退市整理期。在退市整理期间，公司股票进入（或继续在）风险警示板交易。）</w:t>
      </w:r>
    </w:p>
    <w:p w14:paraId="0C52EF4C">
      <w:pPr>
        <w:autoSpaceDE w:val="0"/>
        <w:autoSpaceDN w:val="0"/>
        <w:adjustRightInd w:val="0"/>
        <w:spacing w:line="560" w:lineRule="exact"/>
        <w:ind w:firstLine="600" w:firstLineChars="200"/>
        <w:rPr>
          <w:rFonts w:ascii="仿宋_GB2312" w:eastAsia="仿宋_GB2312"/>
          <w:color w:val="000000"/>
          <w:sz w:val="30"/>
          <w:szCs w:val="30"/>
        </w:rPr>
      </w:pPr>
    </w:p>
    <w:p w14:paraId="35EBA61F">
      <w:pPr>
        <w:widowControl/>
        <w:numPr>
          <w:ilvl w:val="0"/>
          <w:numId w:val="3"/>
        </w:numPr>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其他重要事项</w:t>
      </w:r>
    </w:p>
    <w:p w14:paraId="43D10433">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提示各主体及时办理相关事项，包括但不限于：</w:t>
      </w:r>
    </w:p>
    <w:p w14:paraId="3F2A4E53">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hAnsi="宋体" w:eastAsia="仿宋_GB2312"/>
          <w:color w:val="000000"/>
          <w:kern w:val="0"/>
          <w:sz w:val="30"/>
          <w:szCs w:val="30"/>
        </w:rPr>
        <w:t>投资者或托管券商等市场主体在股票终止上市暨摘牌前及时了结股票质押式回购、约定购回、融资融券、转融通、沪股通等业务；</w:t>
      </w:r>
    </w:p>
    <w:p w14:paraId="54D59FD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（2）对于自股票终止上市暨摘牌后至进入退市板块办理股份登记、挂牌期间到期的司法冻结业务，建议有权机关在股票终止上市日前通过原协助执行渠道提前办理续冻手续。</w:t>
      </w:r>
    </w:p>
    <w:p w14:paraId="0D41B025">
      <w:pPr>
        <w:autoSpaceDE w:val="0"/>
        <w:autoSpaceDN w:val="0"/>
        <w:adjustRightInd w:val="0"/>
        <w:spacing w:line="560" w:lineRule="exact"/>
        <w:ind w:firstLine="600" w:firstLineChars="200"/>
        <w:rPr>
          <w:rFonts w:ascii="仿宋_GB2312" w:eastAsia="仿宋_GB2312"/>
          <w:color w:val="000000"/>
          <w:sz w:val="30"/>
          <w:szCs w:val="30"/>
        </w:rPr>
      </w:pPr>
    </w:p>
    <w:p w14:paraId="6124ECE4">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4D48EACE">
      <w:pPr>
        <w:adjustRightInd w:val="0"/>
        <w:snapToGrid w:val="0"/>
        <w:spacing w:beforeLines="50" w:afterLines="50" w:line="560" w:lineRule="exact"/>
        <w:ind w:firstLine="600" w:firstLineChars="200"/>
        <w:jc w:val="right"/>
        <w:rPr>
          <w:rFonts w:hint="eastAsia" w:ascii="仿宋_GB2312" w:hAnsi="仿宋" w:eastAsia="仿宋_GB2312"/>
          <w:bCs/>
          <w:sz w:val="30"/>
          <w:szCs w:val="30"/>
          <w:lang w:eastAsia="zh-CN"/>
        </w:rPr>
      </w:pPr>
      <w:r>
        <w:rPr>
          <w:rFonts w:hint="eastAsia" w:ascii="仿宋_GB2312" w:hAnsi="仿宋" w:eastAsia="仿宋_GB2312"/>
          <w:bCs/>
          <w:sz w:val="30"/>
          <w:szCs w:val="30"/>
        </w:rPr>
        <w:t>XXXX股份有限公司</w:t>
      </w:r>
      <w:r>
        <w:rPr>
          <w:rFonts w:hint="eastAsia" w:ascii="仿宋_GB2312" w:hAnsi="仿宋" w:eastAsia="仿宋_GB2312"/>
          <w:bCs/>
          <w:sz w:val="30"/>
          <w:szCs w:val="30"/>
          <w:lang w:eastAsia="zh-CN"/>
        </w:rPr>
        <w:t>董事会</w:t>
      </w:r>
    </w:p>
    <w:p w14:paraId="635CC58C">
      <w:pPr>
        <w:adjustRightInd w:val="0"/>
        <w:snapToGrid w:val="0"/>
        <w:spacing w:beforeLines="50"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年  月  日</w:t>
      </w:r>
    </w:p>
    <w:p w14:paraId="4F1E786D">
      <w:pPr>
        <w:autoSpaceDE w:val="0"/>
        <w:autoSpaceDN w:val="0"/>
        <w:adjustRightInd w:val="0"/>
        <w:spacing w:line="560" w:lineRule="exact"/>
        <w:ind w:firstLine="600" w:firstLineChars="200"/>
        <w:rPr>
          <w:rFonts w:ascii="仿宋_GB2312" w:eastAsia="仿宋_GB2312"/>
          <w:color w:val="000000"/>
          <w:sz w:val="30"/>
          <w:szCs w:val="30"/>
        </w:rPr>
      </w:pPr>
    </w:p>
    <w:p w14:paraId="411F88B2">
      <w:pPr>
        <w:pStyle w:val="19"/>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14:paraId="2691ACC0">
      <w:pPr>
        <w:autoSpaceDE w:val="0"/>
        <w:autoSpaceDN w:val="0"/>
        <w:adjustRightInd w:val="0"/>
        <w:snapToGrid w:val="0"/>
        <w:spacing w:line="560" w:lineRule="exact"/>
        <w:ind w:left="602"/>
        <w:rPr>
          <w:rFonts w:ascii="仿宋_GB2312" w:hAnsi="宋体" w:eastAsia="仿宋_GB2312"/>
          <w:color w:val="000000"/>
          <w:sz w:val="30"/>
          <w:szCs w:val="30"/>
        </w:rPr>
      </w:pPr>
      <w:r>
        <w:rPr>
          <w:rFonts w:hint="eastAsia" w:ascii="仿宋_GB2312" w:hAnsi="宋体" w:eastAsia="仿宋_GB2312"/>
          <w:color w:val="000000"/>
          <w:sz w:val="30"/>
          <w:szCs w:val="30"/>
        </w:rPr>
        <w:t>上海证券交易所关于X</w:t>
      </w:r>
      <w:r>
        <w:rPr>
          <w:rFonts w:ascii="仿宋_GB2312" w:hAnsi="宋体" w:eastAsia="仿宋_GB2312"/>
          <w:color w:val="000000"/>
          <w:sz w:val="30"/>
          <w:szCs w:val="30"/>
        </w:rPr>
        <w:t>XXX</w:t>
      </w:r>
      <w:r>
        <w:rPr>
          <w:rFonts w:hint="eastAsia" w:ascii="仿宋_GB2312" w:hAnsi="宋体" w:eastAsia="仿宋_GB2312"/>
          <w:color w:val="000000"/>
          <w:sz w:val="30"/>
          <w:szCs w:val="30"/>
        </w:rPr>
        <w:t>公司股票终止上市的决定</w:t>
      </w:r>
    </w:p>
    <w:p w14:paraId="49B84DA5">
      <w:pPr>
        <w:widowControl/>
        <w:jc w:val="left"/>
        <w:rPr>
          <w:rFonts w:ascii="仿宋_GB2312" w:hAnsi="宋体" w:eastAsia="仿宋_GB2312"/>
          <w:color w:val="000000"/>
          <w:sz w:val="30"/>
          <w:szCs w:val="30"/>
        </w:rPr>
      </w:pPr>
      <w:r>
        <w:rPr>
          <w:rFonts w:ascii="仿宋_GB2312" w:hAnsi="宋体" w:eastAsia="仿宋_GB2312"/>
          <w:color w:val="000000"/>
          <w:sz w:val="30"/>
          <w:szCs w:val="30"/>
        </w:rPr>
        <w:br w:type="page"/>
      </w:r>
    </w:p>
    <w:p w14:paraId="5CA32366">
      <w:pPr>
        <w:pStyle w:val="3"/>
        <w:rPr>
          <w:rFonts w:ascii="黑体" w:hAnsi="黑体"/>
        </w:rPr>
      </w:pPr>
      <w:bookmarkStart w:id="13" w:name="_Toc1411732247_WPSOffice_Level2"/>
      <w:bookmarkStart w:id="14" w:name="_Toc101642608"/>
      <w:r>
        <w:rPr>
          <w:rFonts w:ascii="黑体" w:hAnsi="黑体"/>
        </w:rPr>
        <w:t>6</w:t>
      </w:r>
      <w:r>
        <w:rPr>
          <w:rFonts w:hint="eastAsia" w:ascii="黑体" w:hAnsi="黑体"/>
        </w:rPr>
        <w:t>.上市公司股票进入退市整理期交易的公告</w:t>
      </w:r>
      <w:bookmarkEnd w:id="13"/>
      <w:bookmarkEnd w:id="14"/>
    </w:p>
    <w:p w14:paraId="2566F0DA"/>
    <w:p w14:paraId="58E055AA">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E1EE246">
      <w:pPr>
        <w:adjustRightInd w:val="0"/>
        <w:snapToGrid w:val="0"/>
        <w:spacing w:line="560" w:lineRule="exact"/>
        <w:jc w:val="center"/>
        <w:rPr>
          <w:rFonts w:ascii="仿宋_GB2312" w:hAnsi="宋体" w:eastAsia="仿宋_GB2312"/>
          <w:color w:val="000000"/>
          <w:sz w:val="30"/>
          <w:szCs w:val="30"/>
        </w:rPr>
      </w:pPr>
    </w:p>
    <w:p w14:paraId="5E4EC2AD">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股份有限公司股票进入退市整理期交易的公告</w:t>
      </w:r>
    </w:p>
    <w:p w14:paraId="3AA37AF8">
      <w:pPr>
        <w:snapToGrid w:val="0"/>
        <w:spacing w:line="560" w:lineRule="exact"/>
        <w:jc w:val="center"/>
        <w:rPr>
          <w:rFonts w:ascii="仿宋_GB2312" w:hAnsi="宋体" w:eastAsia="仿宋_GB2312"/>
          <w:color w:val="000000"/>
          <w:sz w:val="30"/>
          <w:szCs w:val="30"/>
        </w:rPr>
      </w:pPr>
    </w:p>
    <w:p w14:paraId="7DFB01D1">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3E3E6F32">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03D9A1E6">
      <w:pPr>
        <w:autoSpaceDE w:val="0"/>
        <w:autoSpaceDN w:val="0"/>
        <w:adjustRightInd w:val="0"/>
        <w:spacing w:line="560" w:lineRule="exact"/>
        <w:ind w:firstLine="600" w:firstLineChars="200"/>
        <w:rPr>
          <w:rFonts w:ascii="仿宋_GB2312" w:eastAsia="仿宋_GB2312"/>
          <w:color w:val="000000"/>
          <w:sz w:val="30"/>
          <w:szCs w:val="30"/>
        </w:rPr>
      </w:pPr>
    </w:p>
    <w:p w14:paraId="357F3332">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14:paraId="2FC77EE9">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退市整理期起始日及预计最后交易日期</w:t>
      </w:r>
    </w:p>
    <w:p w14:paraId="10FEA41B">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退市整理期届满后5个交易日内，上海证券交易所将对公司股票予以摘牌，公司股票终止上市。</w:t>
      </w:r>
    </w:p>
    <w:p w14:paraId="799D047F">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本公司股票将在退市整理期交易15个交易日，截至本公告日已交易XX个交易日，剩余YY个交易日，交易期满将被终止上市，敬请投资者审慎投资、注意风险。</w:t>
      </w:r>
    </w:p>
    <w:p w14:paraId="1FA5AFE6">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公司股票在退市整理期交易期间，公司将不筹划或实施重大资产重组事项。</w:t>
      </w:r>
    </w:p>
    <w:p w14:paraId="23C1F00F">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特别提示：投资者或托管券商等市场主体在股票终止上市暨摘牌前及时了结股票质押式回购、约定购回、融资融券、转融通、沪股通等业务。</w:t>
      </w:r>
    </w:p>
    <w:p w14:paraId="5C708998">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对于自股票终止上市暨摘牌后至进入退市板块办理股份登记、挂牌期间到期的司法冻结业务，建议有权机关在股票终止上市日前通过原协助执行渠道提前办理续冻手续。</w:t>
      </w:r>
    </w:p>
    <w:p w14:paraId="48B75E83">
      <w:pPr>
        <w:autoSpaceDE w:val="0"/>
        <w:autoSpaceDN w:val="0"/>
        <w:adjustRightInd w:val="0"/>
        <w:spacing w:line="560" w:lineRule="exact"/>
        <w:ind w:firstLine="600" w:firstLineChars="200"/>
        <w:rPr>
          <w:rFonts w:ascii="仿宋_GB2312" w:eastAsia="仿宋_GB2312"/>
          <w:color w:val="000000"/>
          <w:sz w:val="30"/>
          <w:szCs w:val="30"/>
        </w:rPr>
      </w:pPr>
    </w:p>
    <w:p w14:paraId="4325C61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20X</w:t>
      </w:r>
      <w:r>
        <w:rPr>
          <w:rFonts w:ascii="仿宋_GB2312" w:eastAsia="仿宋_GB2312"/>
          <w:color w:val="000000"/>
          <w:sz w:val="30"/>
          <w:szCs w:val="30"/>
        </w:rPr>
        <w:t>X</w:t>
      </w:r>
      <w:r>
        <w:rPr>
          <w:rFonts w:hint="eastAsia" w:ascii="仿宋_GB2312" w:eastAsia="仿宋_GB2312"/>
          <w:color w:val="000000"/>
          <w:sz w:val="30"/>
          <w:szCs w:val="30"/>
        </w:rPr>
        <w:t>年X</w:t>
      </w:r>
      <w:r>
        <w:rPr>
          <w:rFonts w:ascii="仿宋_GB2312" w:eastAsia="仿宋_GB2312"/>
          <w:color w:val="000000"/>
          <w:sz w:val="30"/>
          <w:szCs w:val="30"/>
        </w:rPr>
        <w:t>X</w:t>
      </w:r>
      <w:r>
        <w:rPr>
          <w:rFonts w:hint="eastAsia" w:ascii="仿宋_GB2312" w:eastAsia="仿宋_GB2312"/>
          <w:color w:val="000000"/>
          <w:sz w:val="30"/>
          <w:szCs w:val="30"/>
        </w:rPr>
        <w:t>月X</w:t>
      </w:r>
      <w:r>
        <w:rPr>
          <w:rFonts w:ascii="仿宋_GB2312" w:eastAsia="仿宋_GB2312"/>
          <w:color w:val="000000"/>
          <w:sz w:val="30"/>
          <w:szCs w:val="30"/>
        </w:rPr>
        <w:t>X</w:t>
      </w:r>
      <w:r>
        <w:rPr>
          <w:rFonts w:hint="eastAsia" w:ascii="仿宋_GB2312" w:eastAsia="仿宋_GB2312"/>
          <w:color w:val="000000"/>
          <w:sz w:val="30"/>
          <w:szCs w:val="30"/>
        </w:rPr>
        <w:t>日，本公司收到上海证券交易所《关于X</w:t>
      </w:r>
      <w:r>
        <w:rPr>
          <w:rFonts w:ascii="仿宋_GB2312" w:eastAsia="仿宋_GB2312"/>
          <w:color w:val="000000"/>
          <w:sz w:val="30"/>
          <w:szCs w:val="30"/>
        </w:rPr>
        <w:t>XXX</w:t>
      </w:r>
      <w:r>
        <w:rPr>
          <w:rFonts w:hint="eastAsia" w:ascii="仿宋_GB2312" w:eastAsia="仿宋_GB2312"/>
          <w:color w:val="000000"/>
          <w:sz w:val="30"/>
          <w:szCs w:val="30"/>
        </w:rPr>
        <w:t>股份有限公司股票终止上市的决定》（上海证券交易所自律监管决定书〔20X</w:t>
      </w:r>
      <w:r>
        <w:rPr>
          <w:rFonts w:ascii="仿宋_GB2312" w:eastAsia="仿宋_GB2312"/>
          <w:color w:val="000000"/>
          <w:sz w:val="30"/>
          <w:szCs w:val="30"/>
        </w:rPr>
        <w:t>X</w:t>
      </w:r>
      <w:r>
        <w:rPr>
          <w:rFonts w:hint="eastAsia" w:ascii="仿宋_GB2312" w:eastAsia="仿宋_GB2312"/>
          <w:color w:val="000000"/>
          <w:sz w:val="30"/>
          <w:szCs w:val="30"/>
        </w:rPr>
        <w:t>〕X</w:t>
      </w:r>
      <w:r>
        <w:rPr>
          <w:rFonts w:ascii="仿宋_GB2312" w:eastAsia="仿宋_GB2312"/>
          <w:color w:val="000000"/>
          <w:sz w:val="30"/>
          <w:szCs w:val="30"/>
        </w:rPr>
        <w:t>X</w:t>
      </w:r>
      <w:r>
        <w:rPr>
          <w:rFonts w:hint="eastAsia" w:ascii="仿宋_GB2312" w:eastAsia="仿宋_GB2312"/>
          <w:color w:val="000000"/>
          <w:sz w:val="30"/>
          <w:szCs w:val="30"/>
        </w:rPr>
        <w:t>号），上海证券交易所决定终止公司股票上市。根据《上海证券交易所股票上市规则》的相关规定，本公司股票于20X</w:t>
      </w:r>
      <w:r>
        <w:rPr>
          <w:rFonts w:ascii="仿宋_GB2312" w:eastAsia="仿宋_GB2312"/>
          <w:color w:val="000000"/>
          <w:sz w:val="30"/>
          <w:szCs w:val="30"/>
        </w:rPr>
        <w:t>X</w:t>
      </w:r>
      <w:r>
        <w:rPr>
          <w:rFonts w:hint="eastAsia" w:ascii="仿宋_GB2312" w:eastAsia="仿宋_GB2312"/>
          <w:color w:val="000000"/>
          <w:sz w:val="30"/>
          <w:szCs w:val="30"/>
        </w:rPr>
        <w:t>年X</w:t>
      </w:r>
      <w:r>
        <w:rPr>
          <w:rFonts w:ascii="仿宋_GB2312" w:eastAsia="仿宋_GB2312"/>
          <w:color w:val="000000"/>
          <w:sz w:val="30"/>
          <w:szCs w:val="30"/>
        </w:rPr>
        <w:t>X</w:t>
      </w:r>
      <w:r>
        <w:rPr>
          <w:rFonts w:hint="eastAsia" w:ascii="仿宋_GB2312" w:eastAsia="仿宋_GB2312"/>
          <w:color w:val="000000"/>
          <w:sz w:val="30"/>
          <w:szCs w:val="30"/>
        </w:rPr>
        <w:t>月X</w:t>
      </w:r>
      <w:r>
        <w:rPr>
          <w:rFonts w:ascii="仿宋_GB2312" w:eastAsia="仿宋_GB2312"/>
          <w:color w:val="000000"/>
          <w:sz w:val="30"/>
          <w:szCs w:val="30"/>
        </w:rPr>
        <w:t>X</w:t>
      </w:r>
      <w:r>
        <w:rPr>
          <w:rFonts w:hint="eastAsia" w:ascii="仿宋_GB2312" w:eastAsia="仿宋_GB2312"/>
          <w:color w:val="000000"/>
          <w:sz w:val="30"/>
          <w:szCs w:val="30"/>
        </w:rPr>
        <w:t>日进入退市整理期交易。</w:t>
      </w:r>
    </w:p>
    <w:p w14:paraId="14C5288E">
      <w:pPr>
        <w:autoSpaceDE w:val="0"/>
        <w:autoSpaceDN w:val="0"/>
        <w:adjustRightInd w:val="0"/>
        <w:spacing w:line="560" w:lineRule="exact"/>
        <w:ind w:firstLine="600" w:firstLineChars="200"/>
        <w:rPr>
          <w:rFonts w:ascii="仿宋_GB2312" w:eastAsia="仿宋_GB2312"/>
          <w:color w:val="000000"/>
          <w:sz w:val="30"/>
          <w:szCs w:val="30"/>
        </w:rPr>
      </w:pPr>
    </w:p>
    <w:p w14:paraId="62B9DF8F">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一、公司股票在退市整理期间的证券代码、证券简称及涨跌幅限制</w:t>
      </w:r>
    </w:p>
    <w:p w14:paraId="1101C743">
      <w:pPr>
        <w:autoSpaceDE w:val="0"/>
        <w:autoSpaceDN w:val="0"/>
        <w:adjustRightInd w:val="0"/>
        <w:spacing w:line="560" w:lineRule="exact"/>
        <w:ind w:firstLine="750" w:firstLineChars="25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一）证券代码</w:t>
      </w:r>
    </w:p>
    <w:p w14:paraId="596C171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14:paraId="02B6ABE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（三）涨跌幅限制</w:t>
      </w:r>
    </w:p>
    <w:p w14:paraId="54A853B0">
      <w:pPr>
        <w:autoSpaceDE w:val="0"/>
        <w:autoSpaceDN w:val="0"/>
        <w:adjustRightInd w:val="0"/>
        <w:spacing w:line="560" w:lineRule="exact"/>
        <w:ind w:firstLine="600" w:firstLineChars="200"/>
        <w:rPr>
          <w:rFonts w:ascii="仿宋_GB2312" w:eastAsia="仿宋_GB2312"/>
          <w:color w:val="000000"/>
          <w:sz w:val="30"/>
          <w:szCs w:val="30"/>
        </w:rPr>
      </w:pPr>
    </w:p>
    <w:p w14:paraId="03F8266F">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二、公司股票退市整理期交易起始日及交易期限</w:t>
      </w:r>
    </w:p>
    <w:p w14:paraId="1E075FBF">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本部分主要说明公司股票进入退市整理期的起始日、交易期限及预计最后交易日期、退市整理期届满后5个交易日内股票将被摘牌等内容，同时还</w:t>
      </w:r>
      <w:r>
        <w:rPr>
          <w:rFonts w:ascii="仿宋_GB2312" w:eastAsia="仿宋_GB2312"/>
          <w:color w:val="000000"/>
          <w:sz w:val="30"/>
          <w:szCs w:val="30"/>
        </w:rPr>
        <w:t>应当</w:t>
      </w:r>
      <w:r>
        <w:rPr>
          <w:rFonts w:hint="eastAsia" w:ascii="仿宋_GB2312" w:eastAsia="仿宋_GB2312"/>
          <w:color w:val="000000"/>
          <w:sz w:val="30"/>
          <w:szCs w:val="30"/>
        </w:rPr>
        <w:t>说明公司股票在退市整理期内全天停牌的，停牌期间不计入退市整理期等。</w:t>
      </w:r>
    </w:p>
    <w:p w14:paraId="5F8B557F">
      <w:pPr>
        <w:autoSpaceDE w:val="0"/>
        <w:autoSpaceDN w:val="0"/>
        <w:adjustRightInd w:val="0"/>
        <w:spacing w:line="560" w:lineRule="exact"/>
        <w:ind w:firstLine="600" w:firstLineChars="200"/>
        <w:rPr>
          <w:rFonts w:ascii="仿宋_GB2312" w:eastAsia="仿宋_GB2312"/>
          <w:color w:val="000000"/>
          <w:sz w:val="30"/>
          <w:szCs w:val="30"/>
        </w:rPr>
      </w:pPr>
    </w:p>
    <w:p w14:paraId="1921042C">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三、退市整理期风险提示公告的披露安排</w:t>
      </w:r>
    </w:p>
    <w:p w14:paraId="77B868A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于股票在退市整理期交易首日发布公司股票已被上海证券交易所作出终止上市决定的风险提示公告；每5个交易日发布一次股票将被终止上市的风险提示公告，在最后5个交易日内每日发布一次股票将被终止上市的风险提示公告。</w:t>
      </w:r>
    </w:p>
    <w:p w14:paraId="0BA50089">
      <w:pPr>
        <w:autoSpaceDE w:val="0"/>
        <w:autoSpaceDN w:val="0"/>
        <w:adjustRightInd w:val="0"/>
        <w:spacing w:line="560" w:lineRule="exact"/>
        <w:ind w:firstLine="600" w:firstLineChars="200"/>
        <w:rPr>
          <w:rFonts w:ascii="仿宋_GB2312" w:eastAsia="仿宋_GB2312"/>
          <w:color w:val="000000"/>
          <w:sz w:val="30"/>
          <w:szCs w:val="30"/>
        </w:rPr>
      </w:pPr>
    </w:p>
    <w:p w14:paraId="501E2F8C">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四、公司股票在退市整理期交易期间公司将不筹划或者实施重大资产重组事宜的说明</w:t>
      </w:r>
    </w:p>
    <w:p w14:paraId="1BFE02C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根据《股票上市规则》的相关规定，公司股票在退市整理期交易期间，公司将不筹划或实施重大资产重组事宜。</w:t>
      </w:r>
    </w:p>
    <w:p w14:paraId="105EB2C2">
      <w:pPr>
        <w:autoSpaceDE w:val="0"/>
        <w:autoSpaceDN w:val="0"/>
        <w:adjustRightInd w:val="0"/>
        <w:spacing w:line="560" w:lineRule="exact"/>
        <w:ind w:firstLine="600" w:firstLineChars="200"/>
        <w:rPr>
          <w:rFonts w:ascii="仿宋_GB2312" w:eastAsia="仿宋_GB2312"/>
          <w:color w:val="000000"/>
          <w:sz w:val="30"/>
          <w:szCs w:val="30"/>
        </w:rPr>
      </w:pPr>
    </w:p>
    <w:p w14:paraId="2B999F1C">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五、其他重要提示</w:t>
      </w:r>
    </w:p>
    <w:p w14:paraId="1C0AEA5D">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提示各主体及时办理相关事项，包括但不限于：</w:t>
      </w:r>
    </w:p>
    <w:p w14:paraId="322EB13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hAnsi="宋体" w:eastAsia="仿宋_GB2312"/>
          <w:color w:val="000000"/>
          <w:kern w:val="0"/>
          <w:sz w:val="30"/>
          <w:szCs w:val="30"/>
        </w:rPr>
        <w:t>投资者或托管券商等市场主体在股票终止上市暨摘牌前及时了结股票质押式回购、约定购回、融资融券、转融通、沪股通等业务；</w:t>
      </w:r>
    </w:p>
    <w:p w14:paraId="58BB0A7B">
      <w:pPr>
        <w:widowControl/>
        <w:adjustRightInd w:val="0"/>
        <w:snapToGrid w:val="0"/>
        <w:spacing w:line="560" w:lineRule="exact"/>
        <w:ind w:firstLine="600" w:firstLineChars="200"/>
        <w:jc w:val="left"/>
        <w:rPr>
          <w:rFonts w:ascii="黑体" w:hAnsi="黑体" w:eastAsia="黑体" w:cs="宋体"/>
          <w:b/>
          <w:bCs/>
          <w:kern w:val="0"/>
          <w:sz w:val="30"/>
          <w:szCs w:val="30"/>
        </w:rPr>
      </w:pPr>
      <w:r>
        <w:rPr>
          <w:rFonts w:hint="eastAsia" w:ascii="仿宋_GB2312" w:eastAsia="仿宋_GB2312"/>
          <w:color w:val="000000"/>
          <w:sz w:val="30"/>
          <w:szCs w:val="30"/>
        </w:rPr>
        <w:t>（2）对于自股票终止上市暨摘牌后至进入退市板块办理股份登记、挂牌期间到期的司法冻结业务，建议有权机关在股票终止上市日前通过原协助执行渠道提前办理续冻手续。</w:t>
      </w:r>
    </w:p>
    <w:p w14:paraId="14F6042D">
      <w:pPr>
        <w:widowControl/>
        <w:adjustRightInd w:val="0"/>
        <w:snapToGrid w:val="0"/>
        <w:spacing w:line="560" w:lineRule="exact"/>
        <w:jc w:val="left"/>
        <w:rPr>
          <w:rFonts w:ascii="黑体" w:hAnsi="黑体" w:eastAsia="黑体" w:cs="宋体"/>
          <w:b/>
          <w:bCs/>
          <w:kern w:val="0"/>
          <w:sz w:val="30"/>
          <w:szCs w:val="30"/>
        </w:rPr>
      </w:pPr>
    </w:p>
    <w:p w14:paraId="62F59EE3">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29226B31">
      <w:pPr>
        <w:adjustRightInd w:val="0"/>
        <w:snapToGrid w:val="0"/>
        <w:spacing w:beforeLines="50" w:afterLines="50" w:line="560" w:lineRule="exact"/>
        <w:ind w:firstLine="600" w:firstLineChars="200"/>
        <w:jc w:val="right"/>
        <w:rPr>
          <w:rFonts w:hint="eastAsia" w:ascii="仿宋_GB2312" w:hAnsi="仿宋" w:eastAsia="仿宋_GB2312"/>
          <w:bCs/>
          <w:sz w:val="30"/>
          <w:szCs w:val="30"/>
          <w:lang w:eastAsia="zh-CN"/>
        </w:rPr>
      </w:pPr>
      <w:r>
        <w:rPr>
          <w:rFonts w:hint="eastAsia" w:ascii="仿宋_GB2312" w:hAnsi="仿宋" w:eastAsia="仿宋_GB2312"/>
          <w:bCs/>
          <w:sz w:val="30"/>
          <w:szCs w:val="30"/>
        </w:rPr>
        <w:t>XXXX股份有限公司</w:t>
      </w:r>
      <w:r>
        <w:rPr>
          <w:rFonts w:hint="eastAsia" w:ascii="仿宋_GB2312" w:hAnsi="仿宋" w:eastAsia="仿宋_GB2312"/>
          <w:bCs/>
          <w:sz w:val="30"/>
          <w:szCs w:val="30"/>
          <w:lang w:eastAsia="zh-CN"/>
        </w:rPr>
        <w:t>董事会</w:t>
      </w:r>
    </w:p>
    <w:p w14:paraId="581A8C28">
      <w:pPr>
        <w:adjustRightInd w:val="0"/>
        <w:snapToGrid w:val="0"/>
        <w:spacing w:beforeLines="50"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年  月  日</w:t>
      </w:r>
    </w:p>
    <w:p w14:paraId="48AC8E58">
      <w:pPr>
        <w:widowControl/>
        <w:jc w:val="left"/>
        <w:rPr>
          <w:rFonts w:ascii="仿宋_GB2312" w:hAnsi="仿宋" w:eastAsia="仿宋_GB2312"/>
          <w:bCs/>
          <w:sz w:val="30"/>
          <w:szCs w:val="30"/>
        </w:rPr>
      </w:pPr>
      <w:r>
        <w:rPr>
          <w:rFonts w:ascii="仿宋_GB2312" w:hAnsi="仿宋" w:eastAsia="仿宋_GB2312"/>
          <w:bCs/>
          <w:sz w:val="30"/>
          <w:szCs w:val="30"/>
        </w:rPr>
        <w:br w:type="page"/>
      </w:r>
    </w:p>
    <w:p w14:paraId="7F0573C4">
      <w:pPr>
        <w:pStyle w:val="3"/>
        <w:rPr>
          <w:rFonts w:ascii="黑体" w:hAnsi="黑体"/>
        </w:rPr>
      </w:pPr>
      <w:bookmarkStart w:id="15" w:name="_Toc101642609"/>
      <w:bookmarkStart w:id="16" w:name="_Toc1584543273_WPSOffice_Level2"/>
      <w:r>
        <w:rPr>
          <w:rFonts w:hint="eastAsia" w:ascii="黑体" w:hAnsi="黑体"/>
        </w:rPr>
        <w:t>7.上市</w:t>
      </w:r>
      <w:r>
        <w:rPr>
          <w:rFonts w:ascii="黑体" w:hAnsi="黑体"/>
        </w:rPr>
        <w:t>公司股票于</w:t>
      </w:r>
      <w:r>
        <w:rPr>
          <w:rFonts w:hint="eastAsia" w:ascii="黑体" w:hAnsi="黑体"/>
        </w:rPr>
        <w:t>退市整理期交易的风险提示公告</w:t>
      </w:r>
      <w:bookmarkEnd w:id="15"/>
    </w:p>
    <w:p w14:paraId="0F8D7EC0"/>
    <w:p w14:paraId="083C4EB7">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58DEDDCB">
      <w:pPr>
        <w:adjustRightInd w:val="0"/>
        <w:snapToGrid w:val="0"/>
        <w:spacing w:line="560" w:lineRule="exact"/>
        <w:jc w:val="center"/>
        <w:rPr>
          <w:rFonts w:ascii="仿宋_GB2312" w:hAnsi="宋体" w:eastAsia="仿宋_GB2312"/>
          <w:color w:val="000000"/>
          <w:sz w:val="30"/>
          <w:szCs w:val="30"/>
        </w:rPr>
      </w:pPr>
    </w:p>
    <w:p w14:paraId="04897FFA">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股份有限公司股票于退市整理期交易的风险提示公告</w:t>
      </w:r>
    </w:p>
    <w:p w14:paraId="5F328B28">
      <w:pPr>
        <w:snapToGrid w:val="0"/>
        <w:spacing w:line="560" w:lineRule="exact"/>
        <w:jc w:val="center"/>
        <w:rPr>
          <w:rFonts w:ascii="仿宋_GB2312" w:hAnsi="宋体" w:eastAsia="仿宋_GB2312"/>
          <w:color w:val="000000"/>
          <w:sz w:val="30"/>
          <w:szCs w:val="30"/>
        </w:rPr>
      </w:pPr>
    </w:p>
    <w:p w14:paraId="18662D7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3C9AF15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212E4DBB">
      <w:pPr>
        <w:autoSpaceDE w:val="0"/>
        <w:autoSpaceDN w:val="0"/>
        <w:adjustRightInd w:val="0"/>
        <w:spacing w:line="560" w:lineRule="exact"/>
        <w:ind w:firstLine="600" w:firstLineChars="200"/>
        <w:rPr>
          <w:rFonts w:ascii="仿宋_GB2312" w:eastAsia="仿宋_GB2312"/>
          <w:color w:val="000000"/>
          <w:sz w:val="30"/>
          <w:szCs w:val="30"/>
        </w:rPr>
      </w:pPr>
    </w:p>
    <w:p w14:paraId="1D63782B">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14:paraId="23BBC57B">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退市整理期起始日及预计最后交易日期</w:t>
      </w:r>
    </w:p>
    <w:p w14:paraId="45FAF6E6">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退市整理期届满后5个交易日内，上海证券交易所将对公司股票予以摘牌，公司股票终止上市。</w:t>
      </w:r>
    </w:p>
    <w:p w14:paraId="23F92667">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本公司股票将在退市整理期交易15个交易日，截至本公告日已交易XX个交易日，剩余YY个交易日，交易期满将被终止上市，敬请投资者审慎投资、注意风险。</w:t>
      </w:r>
    </w:p>
    <w:p w14:paraId="38D002A1">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公司股票在退市整理期交易期间，公司将不筹划或实施重大资产重组事项。</w:t>
      </w:r>
    </w:p>
    <w:p w14:paraId="713159C0">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特别提示：投资者或托管券商等市场主体在股票终止上市暨摘牌前及时了结股票质押式回购、约定购回、融资融券、转融通、沪股通等业务。</w:t>
      </w:r>
    </w:p>
    <w:p w14:paraId="0CBD70D5">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对于自股票终止上市暨摘牌后至进入退市板块办理股份登记、挂牌期间到期的司法冻结业务，建议有权机关在股票终止上市日前通过原协助执行渠道提前办理续冻手续。</w:t>
      </w:r>
    </w:p>
    <w:p w14:paraId="05056E30">
      <w:pPr>
        <w:autoSpaceDE w:val="0"/>
        <w:autoSpaceDN w:val="0"/>
        <w:adjustRightInd w:val="0"/>
        <w:spacing w:line="560" w:lineRule="exact"/>
        <w:ind w:firstLine="600" w:firstLineChars="200"/>
        <w:rPr>
          <w:rFonts w:ascii="仿宋_GB2312" w:eastAsia="仿宋_GB2312"/>
          <w:color w:val="000000"/>
          <w:sz w:val="30"/>
          <w:szCs w:val="30"/>
        </w:rPr>
      </w:pPr>
    </w:p>
    <w:p w14:paraId="7151FA1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20XX年X月X日，本公司收到上海证券交易所《关于终止XX</w:t>
      </w:r>
      <w:r>
        <w:rPr>
          <w:rFonts w:hint="eastAsia" w:ascii="仿宋_GB2312" w:hAnsi="宋体" w:eastAsia="仿宋_GB2312"/>
          <w:color w:val="000000"/>
          <w:kern w:val="0"/>
          <w:sz w:val="30"/>
          <w:szCs w:val="30"/>
        </w:rPr>
        <w:t>XX</w:t>
      </w:r>
      <w:r>
        <w:rPr>
          <w:rFonts w:hint="eastAsia" w:ascii="仿宋_GB2312" w:eastAsia="仿宋_GB2312"/>
          <w:color w:val="000000"/>
          <w:sz w:val="30"/>
          <w:szCs w:val="30"/>
        </w:rPr>
        <w:t>股份有限公司股票上市的决定》（上海证券交易所自律监管决定书【20XX】XX号），上海证券交易所决定终止公司股票上市。根据《上海证券交易所股票上市规则》的相关规定，本公司股票于20XX年X月X日进入退市整理期交易。</w:t>
      </w:r>
    </w:p>
    <w:p w14:paraId="5F65D59B">
      <w:pPr>
        <w:autoSpaceDE w:val="0"/>
        <w:autoSpaceDN w:val="0"/>
        <w:adjustRightInd w:val="0"/>
        <w:spacing w:line="560" w:lineRule="exact"/>
        <w:ind w:firstLine="600" w:firstLineChars="200"/>
        <w:rPr>
          <w:rFonts w:ascii="仿宋_GB2312" w:eastAsia="仿宋_GB2312"/>
          <w:color w:val="000000"/>
          <w:sz w:val="30"/>
          <w:szCs w:val="30"/>
        </w:rPr>
      </w:pPr>
    </w:p>
    <w:p w14:paraId="0D6D985A">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一、公司股票在退市整理期间的证券代码、证券简称及涨跌幅限制</w:t>
      </w:r>
    </w:p>
    <w:p w14:paraId="3D0E9803">
      <w:pPr>
        <w:autoSpaceDE w:val="0"/>
        <w:autoSpaceDN w:val="0"/>
        <w:adjustRightInd w:val="0"/>
        <w:spacing w:line="560" w:lineRule="exact"/>
        <w:ind w:firstLine="750" w:firstLineChars="25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一）证券代码</w:t>
      </w:r>
    </w:p>
    <w:p w14:paraId="27DFA28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14:paraId="636D457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（三）涨跌幅限制</w:t>
      </w:r>
    </w:p>
    <w:p w14:paraId="02124767">
      <w:pPr>
        <w:autoSpaceDE w:val="0"/>
        <w:autoSpaceDN w:val="0"/>
        <w:adjustRightInd w:val="0"/>
        <w:spacing w:line="560" w:lineRule="exact"/>
        <w:ind w:firstLine="600" w:firstLineChars="200"/>
        <w:rPr>
          <w:rFonts w:ascii="仿宋_GB2312" w:eastAsia="仿宋_GB2312"/>
          <w:color w:val="000000"/>
          <w:sz w:val="30"/>
          <w:szCs w:val="30"/>
        </w:rPr>
      </w:pPr>
    </w:p>
    <w:p w14:paraId="261CF048">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二、公司股票退市整理期交易起始日及交易期限</w:t>
      </w:r>
    </w:p>
    <w:p w14:paraId="132CED2F">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本部分主要说明公司股票进入退市整理期的起始日、交易期限及预计最后交易日期、退市整理期届满后5个交易日内股票将被摘牌等内容，同时还</w:t>
      </w:r>
      <w:r>
        <w:rPr>
          <w:rFonts w:ascii="仿宋_GB2312" w:eastAsia="仿宋_GB2312"/>
          <w:color w:val="000000"/>
          <w:sz w:val="30"/>
          <w:szCs w:val="30"/>
        </w:rPr>
        <w:t>应当</w:t>
      </w:r>
      <w:r>
        <w:rPr>
          <w:rFonts w:hint="eastAsia" w:ascii="仿宋_GB2312" w:eastAsia="仿宋_GB2312"/>
          <w:color w:val="000000"/>
          <w:sz w:val="30"/>
          <w:szCs w:val="30"/>
        </w:rPr>
        <w:t>说明公司股票在退市整理期内全天停牌的，停牌期间不计入退市整理期等。</w:t>
      </w:r>
    </w:p>
    <w:p w14:paraId="3976720A">
      <w:pPr>
        <w:autoSpaceDE w:val="0"/>
        <w:autoSpaceDN w:val="0"/>
        <w:adjustRightInd w:val="0"/>
        <w:spacing w:line="560" w:lineRule="exact"/>
        <w:ind w:firstLine="600" w:firstLineChars="200"/>
        <w:rPr>
          <w:rFonts w:ascii="仿宋_GB2312" w:eastAsia="仿宋_GB2312"/>
          <w:color w:val="000000"/>
          <w:sz w:val="30"/>
          <w:szCs w:val="30"/>
        </w:rPr>
      </w:pPr>
    </w:p>
    <w:p w14:paraId="6210DF40">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三、退市整理期风险提示公告的披露安排</w:t>
      </w:r>
    </w:p>
    <w:p w14:paraId="603AACBA">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于股票在退市整理期交易首日发布公司股票已被上海证券交易所作出终止上市决定的风险提示公告；每5个交易日发布一次股票将被终止上市的风险提示公告，在最后5个交易日内每日发布一次股票将被终止上市的风险提示公告。</w:t>
      </w:r>
    </w:p>
    <w:p w14:paraId="7EC1F66C">
      <w:pPr>
        <w:autoSpaceDE w:val="0"/>
        <w:autoSpaceDN w:val="0"/>
        <w:adjustRightInd w:val="0"/>
        <w:spacing w:line="560" w:lineRule="exact"/>
        <w:ind w:firstLine="600" w:firstLineChars="200"/>
        <w:rPr>
          <w:rFonts w:ascii="仿宋_GB2312" w:eastAsia="仿宋_GB2312"/>
          <w:color w:val="000000"/>
          <w:sz w:val="30"/>
          <w:szCs w:val="30"/>
        </w:rPr>
      </w:pPr>
    </w:p>
    <w:p w14:paraId="4AACBF89">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四、公司股票在退市整理期交易期间公司将不筹划或者实施重大资产重组事宜的说明</w:t>
      </w:r>
    </w:p>
    <w:p w14:paraId="7FD7AEB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根据《股票上市规则》的相关规定，公司股票在退市整理期交易期间，公司将不筹划或实施重大资产重组事宜。</w:t>
      </w:r>
    </w:p>
    <w:p w14:paraId="68085CB6">
      <w:pPr>
        <w:autoSpaceDE w:val="0"/>
        <w:autoSpaceDN w:val="0"/>
        <w:adjustRightInd w:val="0"/>
        <w:spacing w:line="560" w:lineRule="exact"/>
        <w:ind w:firstLine="600" w:firstLineChars="200"/>
        <w:rPr>
          <w:rFonts w:ascii="仿宋_GB2312" w:eastAsia="仿宋_GB2312"/>
          <w:color w:val="000000"/>
          <w:sz w:val="30"/>
          <w:szCs w:val="30"/>
        </w:rPr>
      </w:pPr>
    </w:p>
    <w:p w14:paraId="45107FE8">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五、其他重要提示</w:t>
      </w:r>
    </w:p>
    <w:p w14:paraId="67E01DB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提示各主体及时办理相关事项，包括但不限于：</w:t>
      </w:r>
    </w:p>
    <w:p w14:paraId="285C4C4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hAnsi="宋体" w:eastAsia="仿宋_GB2312"/>
          <w:color w:val="000000"/>
          <w:kern w:val="0"/>
          <w:sz w:val="30"/>
          <w:szCs w:val="30"/>
        </w:rPr>
        <w:t>投资者或托管券商等市场主体在股票终止上市暨摘牌前及时了结股票质押式回购、约定购回、融资融券、转融通、沪股通等业务；</w:t>
      </w:r>
    </w:p>
    <w:p w14:paraId="294E9AAF">
      <w:pPr>
        <w:widowControl/>
        <w:adjustRightInd w:val="0"/>
        <w:snapToGrid w:val="0"/>
        <w:spacing w:line="560" w:lineRule="exact"/>
        <w:ind w:firstLine="600" w:firstLineChars="200"/>
        <w:jc w:val="left"/>
        <w:rPr>
          <w:rFonts w:ascii="黑体" w:hAnsi="黑体" w:eastAsia="黑体" w:cs="宋体"/>
          <w:b/>
          <w:bCs/>
          <w:kern w:val="0"/>
          <w:sz w:val="30"/>
          <w:szCs w:val="30"/>
        </w:rPr>
      </w:pPr>
      <w:r>
        <w:rPr>
          <w:rFonts w:hint="eastAsia" w:ascii="仿宋_GB2312" w:eastAsia="仿宋_GB2312"/>
          <w:color w:val="000000"/>
          <w:sz w:val="30"/>
          <w:szCs w:val="30"/>
        </w:rPr>
        <w:t>（2）对于自股票终止上市暨摘牌后至进入退市板块办理股份登记、挂牌期间到期的司法冻结业务，建议有权机关在股票终止上市日前通过原协助执行渠道提前办理续冻手续。</w:t>
      </w:r>
    </w:p>
    <w:p w14:paraId="6879ED69">
      <w:pPr>
        <w:widowControl/>
        <w:adjustRightInd w:val="0"/>
        <w:snapToGrid w:val="0"/>
        <w:spacing w:line="560" w:lineRule="exact"/>
        <w:jc w:val="left"/>
        <w:rPr>
          <w:rFonts w:ascii="黑体" w:hAnsi="黑体" w:eastAsia="黑体" w:cs="宋体"/>
          <w:b/>
          <w:bCs/>
          <w:kern w:val="0"/>
          <w:sz w:val="30"/>
          <w:szCs w:val="30"/>
        </w:rPr>
      </w:pPr>
    </w:p>
    <w:p w14:paraId="142C6A70">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14:paraId="5EA3A06A">
      <w:pPr>
        <w:adjustRightInd w:val="0"/>
        <w:snapToGrid w:val="0"/>
        <w:spacing w:beforeLines="50" w:afterLines="50" w:line="560" w:lineRule="exact"/>
        <w:ind w:firstLine="600" w:firstLineChars="200"/>
        <w:jc w:val="right"/>
        <w:rPr>
          <w:rFonts w:hint="eastAsia" w:ascii="仿宋_GB2312" w:hAnsi="仿宋" w:eastAsia="仿宋_GB2312"/>
          <w:bCs/>
          <w:sz w:val="30"/>
          <w:szCs w:val="30"/>
          <w:lang w:eastAsia="zh-CN"/>
        </w:rPr>
      </w:pPr>
      <w:r>
        <w:rPr>
          <w:rFonts w:hint="eastAsia" w:ascii="仿宋_GB2312" w:hAnsi="仿宋" w:eastAsia="仿宋_GB2312"/>
          <w:bCs/>
          <w:sz w:val="30"/>
          <w:szCs w:val="30"/>
        </w:rPr>
        <w:t>XXXX股份有限公司</w:t>
      </w:r>
      <w:r>
        <w:rPr>
          <w:rFonts w:hint="eastAsia" w:ascii="仿宋_GB2312" w:hAnsi="仿宋" w:eastAsia="仿宋_GB2312"/>
          <w:bCs/>
          <w:sz w:val="30"/>
          <w:szCs w:val="30"/>
          <w:lang w:eastAsia="zh-CN"/>
        </w:rPr>
        <w:t>董事会</w:t>
      </w:r>
    </w:p>
    <w:p w14:paraId="24842770">
      <w:pPr>
        <w:adjustRightInd w:val="0"/>
        <w:snapToGrid w:val="0"/>
        <w:spacing w:beforeLines="50"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年  月  日</w:t>
      </w:r>
    </w:p>
    <w:p w14:paraId="4EB97BA6">
      <w:pPr>
        <w:widowControl/>
        <w:jc w:val="left"/>
        <w:rPr>
          <w:rFonts w:ascii="仿宋_GB2312" w:hAnsi="仿宋" w:eastAsia="仿宋_GB2312"/>
          <w:bCs/>
          <w:sz w:val="30"/>
          <w:szCs w:val="30"/>
        </w:rPr>
      </w:pPr>
      <w:r>
        <w:rPr>
          <w:rFonts w:ascii="仿宋_GB2312" w:hAnsi="仿宋" w:eastAsia="仿宋_GB2312"/>
          <w:bCs/>
          <w:sz w:val="30"/>
          <w:szCs w:val="30"/>
        </w:rPr>
        <w:br w:type="page"/>
      </w:r>
    </w:p>
    <w:p w14:paraId="1FD7ECD6">
      <w:pPr>
        <w:pStyle w:val="3"/>
        <w:rPr>
          <w:rFonts w:ascii="黑体" w:hAnsi="黑体"/>
        </w:rPr>
      </w:pPr>
      <w:bookmarkStart w:id="17" w:name="_Toc101642610"/>
      <w:r>
        <w:rPr>
          <w:rFonts w:hint="eastAsia" w:ascii="黑体" w:hAnsi="黑体"/>
        </w:rPr>
        <w:t>8</w:t>
      </w:r>
      <w:r>
        <w:rPr>
          <w:rFonts w:ascii="黑体" w:hAnsi="黑体"/>
        </w:rPr>
        <w:t>.</w:t>
      </w:r>
      <w:r>
        <w:rPr>
          <w:rFonts w:hint="eastAsia" w:ascii="黑体" w:hAnsi="黑体"/>
        </w:rPr>
        <w:t>上市公司股票终止上市暨摘牌的公告</w:t>
      </w:r>
      <w:bookmarkEnd w:id="16"/>
      <w:bookmarkEnd w:id="17"/>
    </w:p>
    <w:p w14:paraId="1EA2BE7A">
      <w:pPr>
        <w:autoSpaceDE w:val="0"/>
        <w:autoSpaceDN w:val="0"/>
        <w:adjustRightInd w:val="0"/>
        <w:spacing w:line="560" w:lineRule="exact"/>
        <w:ind w:firstLine="600" w:firstLineChars="200"/>
        <w:rPr>
          <w:rFonts w:ascii="仿宋_GB2312" w:eastAsia="仿宋_GB2312"/>
          <w:color w:val="000000"/>
          <w:sz w:val="30"/>
          <w:szCs w:val="30"/>
        </w:rPr>
      </w:pPr>
    </w:p>
    <w:p w14:paraId="1337F3C2">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5971821">
      <w:pPr>
        <w:adjustRightInd w:val="0"/>
        <w:snapToGrid w:val="0"/>
        <w:spacing w:line="560" w:lineRule="exact"/>
        <w:jc w:val="center"/>
        <w:rPr>
          <w:rFonts w:ascii="仿宋_GB2312" w:hAnsi="宋体" w:eastAsia="仿宋_GB2312"/>
          <w:color w:val="000000"/>
          <w:sz w:val="30"/>
          <w:szCs w:val="30"/>
        </w:rPr>
      </w:pPr>
    </w:p>
    <w:p w14:paraId="107EF988">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XXXX股份有限公司股票终止上市暨摘牌的公告</w:t>
      </w:r>
    </w:p>
    <w:p w14:paraId="52BB1773">
      <w:pPr>
        <w:snapToGrid w:val="0"/>
        <w:spacing w:line="560" w:lineRule="exact"/>
        <w:jc w:val="center"/>
        <w:rPr>
          <w:rFonts w:ascii="仿宋_GB2312" w:hAnsi="宋体" w:eastAsia="仿宋_GB2312"/>
          <w:color w:val="000000"/>
          <w:sz w:val="30"/>
          <w:szCs w:val="30"/>
        </w:rPr>
      </w:pPr>
    </w:p>
    <w:p w14:paraId="57512F80">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6D839FBD">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1.上市公司收到本所作出的终止上市决定，且后续股票不进入退市整理期交易的，需按照本公告格式立即披露相关事项。</w:t>
      </w:r>
    </w:p>
    <w:p w14:paraId="0279857A">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2.上市公司股票在退市整理期的交易已结束，需按照本公告格式立即披露相关事项。</w:t>
      </w:r>
    </w:p>
    <w:p w14:paraId="143C1057">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3.上市公司其他证券产品（如可转债等）出现摘牌情况的，参照本公告格式发布相</w:t>
      </w:r>
      <w:r>
        <w:rPr>
          <w:rFonts w:ascii="仿宋_GB2312" w:eastAsia="仿宋_GB2312"/>
          <w:color w:val="000000"/>
          <w:sz w:val="30"/>
          <w:szCs w:val="30"/>
        </w:rPr>
        <w:t>应</w:t>
      </w:r>
      <w:r>
        <w:rPr>
          <w:rFonts w:hint="eastAsia" w:ascii="仿宋_GB2312" w:eastAsia="仿宋_GB2312"/>
          <w:color w:val="000000"/>
          <w:sz w:val="30"/>
          <w:szCs w:val="30"/>
        </w:rPr>
        <w:t>的风险提示公告。</w:t>
      </w:r>
    </w:p>
    <w:p w14:paraId="0D36035E">
      <w:pPr>
        <w:snapToGrid w:val="0"/>
        <w:spacing w:line="560" w:lineRule="exact"/>
        <w:jc w:val="center"/>
        <w:rPr>
          <w:rFonts w:ascii="仿宋_GB2312" w:hAnsi="宋体" w:eastAsia="仿宋_GB2312"/>
          <w:color w:val="000000"/>
          <w:sz w:val="30"/>
          <w:szCs w:val="30"/>
        </w:rPr>
      </w:pPr>
    </w:p>
    <w:p w14:paraId="4115E61C">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71F7FEC7">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14:paraId="0121DAE5">
      <w:pPr>
        <w:autoSpaceDE w:val="0"/>
        <w:autoSpaceDN w:val="0"/>
        <w:adjustRightInd w:val="0"/>
        <w:spacing w:line="560" w:lineRule="exact"/>
        <w:ind w:firstLine="600" w:firstLineChars="200"/>
        <w:rPr>
          <w:rFonts w:ascii="仿宋_GB2312" w:eastAsia="仿宋_GB2312"/>
          <w:color w:val="000000"/>
          <w:sz w:val="30"/>
          <w:szCs w:val="30"/>
        </w:rPr>
      </w:pPr>
    </w:p>
    <w:p w14:paraId="77F881C0">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14:paraId="2B0FF96C">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公司股票不进入退市整理期交易（适用于情形1）/公司股票退市整理期的起始日和最后交易日，退市整理期已结束（适用于情形2）</w:t>
      </w:r>
    </w:p>
    <w:p w14:paraId="135BEAE5">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公司股票终止上市暨摘牌日期</w:t>
      </w:r>
    </w:p>
    <w:p w14:paraId="4B1F27A4">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公司股票终止上市后的安排</w:t>
      </w:r>
    </w:p>
    <w:p w14:paraId="6B4F671E">
      <w:pPr>
        <w:autoSpaceDE w:val="0"/>
        <w:autoSpaceDN w:val="0"/>
        <w:adjustRightInd w:val="0"/>
        <w:spacing w:line="560" w:lineRule="exact"/>
        <w:ind w:firstLine="600" w:firstLineChars="200"/>
        <w:rPr>
          <w:rFonts w:ascii="仿宋_GB2312" w:eastAsia="仿宋_GB2312"/>
          <w:color w:val="000000"/>
          <w:sz w:val="30"/>
          <w:szCs w:val="30"/>
        </w:rPr>
      </w:pPr>
    </w:p>
    <w:p w14:paraId="21DA20B1">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20XX年X月X日，本公司收到上海证券交易所《关于XX</w:t>
      </w:r>
      <w:r>
        <w:rPr>
          <w:rFonts w:hint="eastAsia" w:ascii="仿宋_GB2312" w:hAnsi="宋体" w:eastAsia="仿宋_GB2312"/>
          <w:color w:val="000000"/>
          <w:kern w:val="0"/>
          <w:sz w:val="30"/>
          <w:szCs w:val="30"/>
        </w:rPr>
        <w:t>XX</w:t>
      </w:r>
      <w:r>
        <w:rPr>
          <w:rFonts w:hint="eastAsia" w:ascii="仿宋_GB2312" w:eastAsia="仿宋_GB2312"/>
          <w:color w:val="000000"/>
          <w:sz w:val="30"/>
          <w:szCs w:val="30"/>
        </w:rPr>
        <w:t>股份有限公司股票终止上市的决定》（上海证券交易所自律监管决定书【20XX】XX号），上海证券交易所决定终止公司股票上市。</w:t>
      </w:r>
    </w:p>
    <w:p w14:paraId="581DAC21">
      <w:pPr>
        <w:autoSpaceDE w:val="0"/>
        <w:autoSpaceDN w:val="0"/>
        <w:adjustRightInd w:val="0"/>
        <w:spacing w:line="560" w:lineRule="exact"/>
        <w:ind w:firstLine="600" w:firstLineChars="200"/>
        <w:rPr>
          <w:rFonts w:ascii="仿宋_GB2312" w:eastAsia="仿宋_GB2312"/>
          <w:color w:val="000000"/>
          <w:sz w:val="30"/>
          <w:szCs w:val="30"/>
        </w:rPr>
      </w:pPr>
    </w:p>
    <w:p w14:paraId="721E00E1">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一、终止上市股票的证券种类、简称、代码、终止上市决定日期</w:t>
      </w:r>
    </w:p>
    <w:p w14:paraId="709AE571">
      <w:pPr>
        <w:autoSpaceDE w:val="0"/>
        <w:autoSpaceDN w:val="0"/>
        <w:adjustRightInd w:val="0"/>
        <w:spacing w:line="560" w:lineRule="exact"/>
        <w:ind w:firstLine="750" w:firstLineChars="25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一）证券种类</w:t>
      </w:r>
    </w:p>
    <w:p w14:paraId="2D1DC2DF">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14:paraId="40475C4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（三）证券代码</w:t>
      </w:r>
    </w:p>
    <w:p w14:paraId="023F6FF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（四）终止上市决定日期</w:t>
      </w:r>
    </w:p>
    <w:p w14:paraId="057A86F4">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p>
    <w:p w14:paraId="53AC3FB4">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二、终止上市决定的主要内容</w:t>
      </w:r>
    </w:p>
    <w:p w14:paraId="5DD3B5B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本部分主要说明收到上海证券交易所关于公司股票终止上市决定的主要内容。</w:t>
      </w:r>
    </w:p>
    <w:p w14:paraId="6F94CE2A">
      <w:pPr>
        <w:autoSpaceDE w:val="0"/>
        <w:autoSpaceDN w:val="0"/>
        <w:adjustRightInd w:val="0"/>
        <w:spacing w:line="560" w:lineRule="exact"/>
        <w:ind w:firstLine="600" w:firstLineChars="200"/>
        <w:rPr>
          <w:rFonts w:ascii="仿宋_GB2312" w:eastAsia="仿宋_GB2312"/>
          <w:color w:val="000000"/>
          <w:sz w:val="30"/>
          <w:szCs w:val="30"/>
        </w:rPr>
      </w:pPr>
    </w:p>
    <w:p w14:paraId="3F2AAB99">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三、不进入退市整理期交易/退市整理期已结束</w:t>
      </w:r>
    </w:p>
    <w:p w14:paraId="3372D4E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出现情形1的上市公司，本部分主要说明，公司收到终止上市决定后，根据《股票上市规则》第X条等相关规定，公司股票将不进入退市整理期交易，自上海证券交易所公告对上市公司股票作出终止上市决定之日后5个交易日内，上交所对公司股票予以摘牌，公司股票终止上市。</w:t>
      </w:r>
    </w:p>
    <w:p w14:paraId="362DD33A">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对于出现情形2的上市公司，本部分主要说明公司股票在退市整理期交易的起始日和最后交易日，退市整理期已结束。</w:t>
      </w:r>
    </w:p>
    <w:p w14:paraId="240CC685">
      <w:pPr>
        <w:autoSpaceDE w:val="0"/>
        <w:autoSpaceDN w:val="0"/>
        <w:adjustRightInd w:val="0"/>
        <w:spacing w:line="560" w:lineRule="exact"/>
        <w:ind w:firstLine="600" w:firstLineChars="200"/>
        <w:rPr>
          <w:rFonts w:ascii="仿宋_GB2312" w:eastAsia="仿宋_GB2312"/>
          <w:color w:val="000000"/>
          <w:sz w:val="30"/>
          <w:szCs w:val="30"/>
        </w:rPr>
      </w:pPr>
    </w:p>
    <w:p w14:paraId="7B7F5068">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四、终止上市暨摘牌日期</w:t>
      </w:r>
    </w:p>
    <w:p w14:paraId="177D08C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说明公司股票终止上市暨摘牌日期。</w:t>
      </w:r>
    </w:p>
    <w:p w14:paraId="1236AFCA">
      <w:pPr>
        <w:autoSpaceDE w:val="0"/>
        <w:autoSpaceDN w:val="0"/>
        <w:adjustRightInd w:val="0"/>
        <w:spacing w:line="560" w:lineRule="exact"/>
        <w:ind w:firstLine="600" w:firstLineChars="200"/>
        <w:rPr>
          <w:rFonts w:ascii="仿宋_GB2312" w:eastAsia="仿宋_GB2312"/>
          <w:color w:val="000000"/>
          <w:sz w:val="30"/>
          <w:szCs w:val="30"/>
        </w:rPr>
      </w:pPr>
    </w:p>
    <w:p w14:paraId="3F20D45A">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五、终止上市后相关后续事宜</w:t>
      </w:r>
    </w:p>
    <w:p w14:paraId="668849E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主动终止上市公司：本部分主要说明公司股票终止上市后，公司将选择在证券交易场所交易或转让其股票，或者依法作出其他安排，以及相</w:t>
      </w:r>
      <w:r>
        <w:rPr>
          <w:rFonts w:ascii="仿宋_GB2312" w:eastAsia="仿宋_GB2312"/>
          <w:color w:val="000000"/>
          <w:sz w:val="30"/>
          <w:szCs w:val="30"/>
        </w:rPr>
        <w:t>应</w:t>
      </w:r>
      <w:r>
        <w:rPr>
          <w:rFonts w:hint="eastAsia" w:ascii="仿宋_GB2312" w:eastAsia="仿宋_GB2312"/>
          <w:color w:val="000000"/>
          <w:sz w:val="30"/>
          <w:szCs w:val="30"/>
        </w:rPr>
        <w:t>的股票登记、转让和管理事宜等。</w:t>
      </w:r>
    </w:p>
    <w:p w14:paraId="0FEE934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强制终止上市公司：本部分主要说明公司股票终止上市后，公司股票将转入全国中小企业股份转让系统等证券交易场所转让，提示投资者确认或申报拟在全国中小企业股份转让系统退市板块使用的证券账户，并明确股票进入退市板块挂牌转让涉及的确权、登记、托管等相关安排。包括但不限于：</w:t>
      </w:r>
    </w:p>
    <w:p w14:paraId="38539BA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1.披露主办券商的名称、确定主办券商的方式、签订委托股份转让协议的情况。</w:t>
      </w:r>
    </w:p>
    <w:p w14:paraId="1E1E1009">
      <w:pPr>
        <w:autoSpaceDE w:val="0"/>
        <w:autoSpaceDN w:val="0"/>
        <w:adjustRightInd w:val="0"/>
        <w:spacing w:line="560" w:lineRule="exact"/>
        <w:ind w:firstLine="600" w:firstLineChars="200"/>
        <w:rPr>
          <w:rFonts w:ascii="仿宋_GB2312" w:hAnsi="宋体" w:eastAsia="仿宋_GB2312"/>
          <w:color w:val="000000"/>
          <w:sz w:val="30"/>
          <w:szCs w:val="30"/>
        </w:rPr>
      </w:pPr>
      <w:r>
        <w:rPr>
          <w:rFonts w:hint="eastAsia" w:ascii="仿宋_GB2312" w:eastAsia="仿宋_GB2312"/>
          <w:color w:val="000000"/>
          <w:sz w:val="30"/>
          <w:szCs w:val="30"/>
        </w:rPr>
        <w:t>2.</w:t>
      </w:r>
      <w:r>
        <w:rPr>
          <w:rFonts w:hint="eastAsia" w:ascii="仿宋_GB2312" w:hAnsi="宋体" w:eastAsia="仿宋_GB2312"/>
          <w:color w:val="000000"/>
          <w:sz w:val="30"/>
          <w:szCs w:val="30"/>
        </w:rPr>
        <w:t>对于公司历年委托中国证券登记结算有限责任公司（以下简称中国结算）上海分公司派发的现金红利，因投资者证券账户未办理指定交易手续、证券账户状态异常等原因未派发给投资者的，公司已委托中国结算上海分公司继续负责该部分现金红利的保管和发放事宜，投资者等相关主体在办理完成指定交易、证券账户状态变更等手续后，可按照现有的红利领取流程获取对应的现金红利。</w:t>
      </w:r>
    </w:p>
    <w:p w14:paraId="42753587">
      <w:pPr>
        <w:autoSpaceDE w:val="0"/>
        <w:autoSpaceDN w:val="0"/>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因投资者所持股票被质押、司法冻结等原因未派发给投资者的现金红利，公司已委托中国结算上海分公司在股票完成退市板块初始登记前，暂为保管该部分现金红利并协助主办券商办理解冻资金的划付；在股票完成退市板块初始登记后，将红利资金划至中国结算北京分公司，由中国结算北京分公司负责该部分现金红利的保管和发放事宜。</w:t>
      </w:r>
    </w:p>
    <w:p w14:paraId="5C01B214">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w:t>
      </w:r>
      <w:r>
        <w:rPr>
          <w:rFonts w:ascii="仿宋_GB2312" w:hAnsi="宋体" w:eastAsia="仿宋_GB2312"/>
          <w:color w:val="000000"/>
          <w:sz w:val="30"/>
          <w:szCs w:val="30"/>
        </w:rPr>
        <w:t>涉及到B股的，提示证券托管机构将各自渠道办理的质押、司法冻结记录</w:t>
      </w:r>
      <w:r>
        <w:rPr>
          <w:rFonts w:hint="eastAsia" w:ascii="仿宋_GB2312" w:hAnsi="宋体" w:eastAsia="仿宋_GB2312"/>
          <w:color w:val="000000"/>
          <w:sz w:val="30"/>
          <w:szCs w:val="30"/>
        </w:rPr>
        <w:t>尽快</w:t>
      </w:r>
      <w:r>
        <w:rPr>
          <w:rFonts w:ascii="仿宋_GB2312" w:hAnsi="宋体" w:eastAsia="仿宋_GB2312"/>
          <w:color w:val="000000"/>
          <w:sz w:val="30"/>
          <w:szCs w:val="30"/>
        </w:rPr>
        <w:t>主动报送给主办券商</w:t>
      </w:r>
      <w:r>
        <w:rPr>
          <w:rFonts w:hint="eastAsia" w:ascii="仿宋_GB2312" w:hAnsi="宋体" w:eastAsia="仿宋_GB2312"/>
          <w:color w:val="000000"/>
          <w:sz w:val="30"/>
          <w:szCs w:val="30"/>
        </w:rPr>
        <w:t>，以免影响后续退市板块的初始登记事宜。</w:t>
      </w:r>
    </w:p>
    <w:p w14:paraId="42C261F7">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4.公司已（或已委托主办券商）向中国结算上海分公司申请办理沪市退出登记手续。</w:t>
      </w:r>
      <w:r>
        <w:rPr>
          <w:rFonts w:ascii="仿宋_GB2312" w:hAnsi="宋体" w:eastAsia="仿宋_GB2312"/>
          <w:color w:val="000000"/>
          <w:sz w:val="30"/>
          <w:szCs w:val="30"/>
        </w:rPr>
        <w:t>自完成沪市退出登记至在</w:t>
      </w:r>
      <w:r>
        <w:rPr>
          <w:rFonts w:hint="eastAsia" w:ascii="仿宋_GB2312" w:hAnsi="宋体" w:eastAsia="仿宋_GB2312"/>
          <w:color w:val="000000"/>
          <w:sz w:val="30"/>
          <w:szCs w:val="30"/>
        </w:rPr>
        <w:t>退市板块办理完成股份初始登记业务</w:t>
      </w:r>
      <w:r>
        <w:rPr>
          <w:rFonts w:ascii="仿宋_GB2312" w:hAnsi="宋体" w:eastAsia="仿宋_GB2312"/>
          <w:color w:val="000000"/>
          <w:sz w:val="30"/>
          <w:szCs w:val="30"/>
        </w:rPr>
        <w:t>期间，主办券商负责办理股份确权、协助执法及投资者证券持有和变动记录维护等业务</w:t>
      </w:r>
      <w:r>
        <w:rPr>
          <w:rFonts w:hint="eastAsia" w:ascii="仿宋_GB2312" w:hAnsi="宋体" w:eastAsia="仿宋_GB2312"/>
          <w:color w:val="000000"/>
          <w:sz w:val="30"/>
          <w:szCs w:val="30"/>
        </w:rPr>
        <w:t>。</w:t>
      </w:r>
    </w:p>
    <w:p w14:paraId="3D9E47DA">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5.公司/主办券商已委托中国结算上海分公司为持有公司A股股票的个人和普通机构投资者、部分持有公司B股股票的个人投资者提供证券账户的初步转换服务。中国结算上海分公司将根据投资者的沪市证券账户信息，初步转换得到投资者可在退市板块使用的证券账户。证券账户转换原则请详见主办券商在退市板块发布的公司股份确权公告。自公司股票终止上市暨摘牌后至主办券商办理完成退市板块初始登记业务期间，请投资者不要注销初步转换得到的证券账户，避免影响股份的登记和转让。</w:t>
      </w:r>
    </w:p>
    <w:p w14:paraId="11ADA3EA">
      <w:pPr>
        <w:autoSpaceDE w:val="0"/>
        <w:autoSpaceDN w:val="0"/>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6.请投资者持续关注证券公司等股份托管机构的通知，以及主办券商在退市板块发布的公司股份确权公告，并按照相关通知和公告的要求，主动联系股份托管机构或主办券商办理股份确权手续，并及时办理加挂资金账户等交易结算手续。</w:t>
      </w:r>
    </w:p>
    <w:p w14:paraId="374AA949">
      <w:pPr>
        <w:autoSpaceDE w:val="0"/>
        <w:autoSpaceDN w:val="0"/>
        <w:adjustRightInd w:val="0"/>
        <w:spacing w:line="560" w:lineRule="exact"/>
        <w:ind w:firstLine="600" w:firstLineChars="200"/>
        <w:rPr>
          <w:rFonts w:ascii="仿宋_GB2312" w:eastAsia="仿宋_GB2312"/>
          <w:color w:val="000000"/>
          <w:sz w:val="30"/>
          <w:szCs w:val="30"/>
        </w:rPr>
      </w:pPr>
    </w:p>
    <w:p w14:paraId="16496B6E">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六、终止上市后公司的联系人、联系地址、电话和其他通讯方式</w:t>
      </w:r>
    </w:p>
    <w:p w14:paraId="48B856F1">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（一）联系人</w:t>
      </w:r>
    </w:p>
    <w:p w14:paraId="3769B144">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（二）联系地址</w:t>
      </w:r>
    </w:p>
    <w:p w14:paraId="219A31C8">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（三）咨询电话</w:t>
      </w:r>
    </w:p>
    <w:p w14:paraId="0412FC5D">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（四）传真</w:t>
      </w:r>
    </w:p>
    <w:p w14:paraId="30964300">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（五）电子信箱</w:t>
      </w:r>
    </w:p>
    <w:p w14:paraId="37693DA2">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3D890AEF">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5589D0F6">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72769AEE">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47B5FBF1">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XXXX</w:t>
      </w:r>
      <w:r>
        <w:rPr>
          <w:rFonts w:hint="eastAsia" w:ascii="仿宋_GB2312" w:hAnsi="宋体" w:eastAsia="仿宋_GB2312" w:cs="宋体-WinCharSetFFFF-H"/>
          <w:color w:val="000000"/>
          <w:kern w:val="0"/>
          <w:sz w:val="30"/>
          <w:szCs w:val="30"/>
        </w:rPr>
        <w:t>股份有限公司董事会</w:t>
      </w:r>
    </w:p>
    <w:p w14:paraId="68E45F1C">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7C18AADA">
      <w:pPr>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07E4FFD2">
        <w:pPr>
          <w:pStyle w:val="7"/>
          <w:jc w:val="center"/>
        </w:pPr>
        <w:r>
          <w:fldChar w:fldCharType="begin"/>
        </w:r>
        <w:r>
          <w:instrText xml:space="preserve"> PAGE   \* MERGEFORMAT </w:instrText>
        </w:r>
        <w:r>
          <w:fldChar w:fldCharType="separate"/>
        </w:r>
        <w:r>
          <w:rPr>
            <w:lang w:val="zh-CN"/>
          </w:rPr>
          <w:t>29</w:t>
        </w:r>
        <w:r>
          <w:rPr>
            <w:lang w:val="zh-CN"/>
          </w:rPr>
          <w:fldChar w:fldCharType="end"/>
        </w:r>
      </w:p>
    </w:sdtContent>
  </w:sdt>
  <w:p w14:paraId="2C6942D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CF2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600D7102"/>
    <w:multiLevelType w:val="singleLevel"/>
    <w:tmpl w:val="600D7102"/>
    <w:lvl w:ilvl="0" w:tentative="0">
      <w:start w:val="6"/>
      <w:numFmt w:val="chineseCounting"/>
      <w:suff w:val="nothing"/>
      <w:lvlText w:val="%1、"/>
      <w:lvlJc w:val="left"/>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BF2ECD"/>
    <w:rsid w:val="000004B0"/>
    <w:rsid w:val="00000558"/>
    <w:rsid w:val="00001F09"/>
    <w:rsid w:val="0000710F"/>
    <w:rsid w:val="00021E17"/>
    <w:rsid w:val="00032540"/>
    <w:rsid w:val="0004079E"/>
    <w:rsid w:val="00041703"/>
    <w:rsid w:val="000440A9"/>
    <w:rsid w:val="00047A09"/>
    <w:rsid w:val="0005206F"/>
    <w:rsid w:val="00054547"/>
    <w:rsid w:val="00055D99"/>
    <w:rsid w:val="00057DA4"/>
    <w:rsid w:val="0006063B"/>
    <w:rsid w:val="00082CE9"/>
    <w:rsid w:val="00096E5B"/>
    <w:rsid w:val="000A00D6"/>
    <w:rsid w:val="000A61BF"/>
    <w:rsid w:val="000C7829"/>
    <w:rsid w:val="000D22B3"/>
    <w:rsid w:val="000D6056"/>
    <w:rsid w:val="000D645A"/>
    <w:rsid w:val="000F0DA9"/>
    <w:rsid w:val="000F1AE2"/>
    <w:rsid w:val="000F3311"/>
    <w:rsid w:val="000F3780"/>
    <w:rsid w:val="00105B99"/>
    <w:rsid w:val="001063E7"/>
    <w:rsid w:val="00110C9F"/>
    <w:rsid w:val="00126188"/>
    <w:rsid w:val="001368F4"/>
    <w:rsid w:val="001375EC"/>
    <w:rsid w:val="00151361"/>
    <w:rsid w:val="001628AE"/>
    <w:rsid w:val="00170F54"/>
    <w:rsid w:val="00173930"/>
    <w:rsid w:val="001752E6"/>
    <w:rsid w:val="00176748"/>
    <w:rsid w:val="001769DE"/>
    <w:rsid w:val="00176B16"/>
    <w:rsid w:val="00176BFD"/>
    <w:rsid w:val="001867E3"/>
    <w:rsid w:val="00187D61"/>
    <w:rsid w:val="001A1486"/>
    <w:rsid w:val="001A3796"/>
    <w:rsid w:val="001A7F30"/>
    <w:rsid w:val="001B5EBF"/>
    <w:rsid w:val="001B678C"/>
    <w:rsid w:val="001B7123"/>
    <w:rsid w:val="001D4CD3"/>
    <w:rsid w:val="001D5305"/>
    <w:rsid w:val="001E2B1A"/>
    <w:rsid w:val="001E61AB"/>
    <w:rsid w:val="0020597A"/>
    <w:rsid w:val="0021631A"/>
    <w:rsid w:val="00223C89"/>
    <w:rsid w:val="002271D8"/>
    <w:rsid w:val="00243B8C"/>
    <w:rsid w:val="00257FC9"/>
    <w:rsid w:val="00260DEF"/>
    <w:rsid w:val="00274311"/>
    <w:rsid w:val="002747EB"/>
    <w:rsid w:val="002949A9"/>
    <w:rsid w:val="00295242"/>
    <w:rsid w:val="002A6078"/>
    <w:rsid w:val="002B745B"/>
    <w:rsid w:val="002C1075"/>
    <w:rsid w:val="002C122D"/>
    <w:rsid w:val="002C2286"/>
    <w:rsid w:val="002E79E2"/>
    <w:rsid w:val="002F0393"/>
    <w:rsid w:val="002F6211"/>
    <w:rsid w:val="0031256C"/>
    <w:rsid w:val="00313A26"/>
    <w:rsid w:val="00317E1D"/>
    <w:rsid w:val="00334025"/>
    <w:rsid w:val="00334F83"/>
    <w:rsid w:val="00336864"/>
    <w:rsid w:val="00340617"/>
    <w:rsid w:val="00342D7F"/>
    <w:rsid w:val="003436DD"/>
    <w:rsid w:val="00353AA4"/>
    <w:rsid w:val="00356704"/>
    <w:rsid w:val="00356AF9"/>
    <w:rsid w:val="003678A7"/>
    <w:rsid w:val="00376440"/>
    <w:rsid w:val="00387114"/>
    <w:rsid w:val="003A1033"/>
    <w:rsid w:val="003A4187"/>
    <w:rsid w:val="003A4314"/>
    <w:rsid w:val="003C2E86"/>
    <w:rsid w:val="003E6FDA"/>
    <w:rsid w:val="003F1DA9"/>
    <w:rsid w:val="003F3AE0"/>
    <w:rsid w:val="00400C4E"/>
    <w:rsid w:val="0040257C"/>
    <w:rsid w:val="00412966"/>
    <w:rsid w:val="004149C0"/>
    <w:rsid w:val="0042015A"/>
    <w:rsid w:val="004210AD"/>
    <w:rsid w:val="00424986"/>
    <w:rsid w:val="004279FE"/>
    <w:rsid w:val="004341DE"/>
    <w:rsid w:val="00436591"/>
    <w:rsid w:val="00442600"/>
    <w:rsid w:val="00447511"/>
    <w:rsid w:val="00450C55"/>
    <w:rsid w:val="00451B8D"/>
    <w:rsid w:val="00462507"/>
    <w:rsid w:val="00463298"/>
    <w:rsid w:val="00464C58"/>
    <w:rsid w:val="004674BF"/>
    <w:rsid w:val="00472E1B"/>
    <w:rsid w:val="004818EB"/>
    <w:rsid w:val="00483FC2"/>
    <w:rsid w:val="00491EBA"/>
    <w:rsid w:val="004A0163"/>
    <w:rsid w:val="004A19D6"/>
    <w:rsid w:val="004A2CDC"/>
    <w:rsid w:val="004A652F"/>
    <w:rsid w:val="004A7CD2"/>
    <w:rsid w:val="004C0F1C"/>
    <w:rsid w:val="004C43C0"/>
    <w:rsid w:val="004D1E78"/>
    <w:rsid w:val="004E119F"/>
    <w:rsid w:val="004E68AD"/>
    <w:rsid w:val="004F1FC3"/>
    <w:rsid w:val="00504427"/>
    <w:rsid w:val="005076E9"/>
    <w:rsid w:val="00511482"/>
    <w:rsid w:val="0051573B"/>
    <w:rsid w:val="005171BC"/>
    <w:rsid w:val="00523552"/>
    <w:rsid w:val="00534504"/>
    <w:rsid w:val="00540D6D"/>
    <w:rsid w:val="005468D7"/>
    <w:rsid w:val="00547325"/>
    <w:rsid w:val="0055027E"/>
    <w:rsid w:val="0055083B"/>
    <w:rsid w:val="00561892"/>
    <w:rsid w:val="005667FD"/>
    <w:rsid w:val="0057509B"/>
    <w:rsid w:val="005878BE"/>
    <w:rsid w:val="005946EB"/>
    <w:rsid w:val="0059537A"/>
    <w:rsid w:val="005966C7"/>
    <w:rsid w:val="005A1AE9"/>
    <w:rsid w:val="005A21DC"/>
    <w:rsid w:val="005A3196"/>
    <w:rsid w:val="005A453B"/>
    <w:rsid w:val="005C2E62"/>
    <w:rsid w:val="005E413A"/>
    <w:rsid w:val="005F16E0"/>
    <w:rsid w:val="005F3907"/>
    <w:rsid w:val="006022DA"/>
    <w:rsid w:val="00615A5A"/>
    <w:rsid w:val="00625F23"/>
    <w:rsid w:val="00631267"/>
    <w:rsid w:val="00632E5F"/>
    <w:rsid w:val="0063559A"/>
    <w:rsid w:val="006409F2"/>
    <w:rsid w:val="00650FBD"/>
    <w:rsid w:val="0065545C"/>
    <w:rsid w:val="006754DD"/>
    <w:rsid w:val="0067712F"/>
    <w:rsid w:val="006839E7"/>
    <w:rsid w:val="006969EA"/>
    <w:rsid w:val="006B0281"/>
    <w:rsid w:val="006B18EF"/>
    <w:rsid w:val="006B45CE"/>
    <w:rsid w:val="006C57BE"/>
    <w:rsid w:val="006C5F07"/>
    <w:rsid w:val="006D23EE"/>
    <w:rsid w:val="006E2A62"/>
    <w:rsid w:val="006E5D16"/>
    <w:rsid w:val="006F0FD2"/>
    <w:rsid w:val="007025D2"/>
    <w:rsid w:val="00705AF0"/>
    <w:rsid w:val="00715D23"/>
    <w:rsid w:val="00724FFA"/>
    <w:rsid w:val="0072629E"/>
    <w:rsid w:val="00736E71"/>
    <w:rsid w:val="007454A7"/>
    <w:rsid w:val="0074603C"/>
    <w:rsid w:val="00750727"/>
    <w:rsid w:val="0076333A"/>
    <w:rsid w:val="00765520"/>
    <w:rsid w:val="007712B7"/>
    <w:rsid w:val="0077312D"/>
    <w:rsid w:val="00773849"/>
    <w:rsid w:val="00786E18"/>
    <w:rsid w:val="007873B9"/>
    <w:rsid w:val="00790158"/>
    <w:rsid w:val="00791070"/>
    <w:rsid w:val="007A179E"/>
    <w:rsid w:val="007A49F5"/>
    <w:rsid w:val="007A6565"/>
    <w:rsid w:val="007C19BC"/>
    <w:rsid w:val="007C2F57"/>
    <w:rsid w:val="007D3BB6"/>
    <w:rsid w:val="007F1275"/>
    <w:rsid w:val="007F1314"/>
    <w:rsid w:val="00810C07"/>
    <w:rsid w:val="00815251"/>
    <w:rsid w:val="008155AC"/>
    <w:rsid w:val="00815EA1"/>
    <w:rsid w:val="00846FBA"/>
    <w:rsid w:val="00854788"/>
    <w:rsid w:val="00861D05"/>
    <w:rsid w:val="00870FB7"/>
    <w:rsid w:val="00877F16"/>
    <w:rsid w:val="00877F5C"/>
    <w:rsid w:val="008816C0"/>
    <w:rsid w:val="00884E3C"/>
    <w:rsid w:val="00885253"/>
    <w:rsid w:val="00886790"/>
    <w:rsid w:val="00890A79"/>
    <w:rsid w:val="00891010"/>
    <w:rsid w:val="00891269"/>
    <w:rsid w:val="00891FCF"/>
    <w:rsid w:val="008933EE"/>
    <w:rsid w:val="008A1FB4"/>
    <w:rsid w:val="008B0FA6"/>
    <w:rsid w:val="008B78CC"/>
    <w:rsid w:val="008C66D7"/>
    <w:rsid w:val="008D404E"/>
    <w:rsid w:val="008D6BC7"/>
    <w:rsid w:val="008E2FF0"/>
    <w:rsid w:val="008E3F82"/>
    <w:rsid w:val="008F2FB5"/>
    <w:rsid w:val="008F6A1F"/>
    <w:rsid w:val="00901059"/>
    <w:rsid w:val="00901932"/>
    <w:rsid w:val="009042F7"/>
    <w:rsid w:val="009111F5"/>
    <w:rsid w:val="0091436C"/>
    <w:rsid w:val="009159A3"/>
    <w:rsid w:val="009163BB"/>
    <w:rsid w:val="0091779D"/>
    <w:rsid w:val="009333B6"/>
    <w:rsid w:val="0095191B"/>
    <w:rsid w:val="00965129"/>
    <w:rsid w:val="0098052E"/>
    <w:rsid w:val="009919C1"/>
    <w:rsid w:val="00991CCA"/>
    <w:rsid w:val="009A0FBA"/>
    <w:rsid w:val="009A7ACA"/>
    <w:rsid w:val="009B20BB"/>
    <w:rsid w:val="009C28CD"/>
    <w:rsid w:val="009D3A95"/>
    <w:rsid w:val="009D4F6E"/>
    <w:rsid w:val="009D5453"/>
    <w:rsid w:val="009E6174"/>
    <w:rsid w:val="009F6B7D"/>
    <w:rsid w:val="00A1195D"/>
    <w:rsid w:val="00A21D70"/>
    <w:rsid w:val="00A317FA"/>
    <w:rsid w:val="00A31A7D"/>
    <w:rsid w:val="00A37DA7"/>
    <w:rsid w:val="00A47315"/>
    <w:rsid w:val="00A47FC1"/>
    <w:rsid w:val="00A51D2D"/>
    <w:rsid w:val="00A57391"/>
    <w:rsid w:val="00A726A4"/>
    <w:rsid w:val="00A8037D"/>
    <w:rsid w:val="00A80609"/>
    <w:rsid w:val="00A81CFC"/>
    <w:rsid w:val="00A844A8"/>
    <w:rsid w:val="00A85BE5"/>
    <w:rsid w:val="00A85DA9"/>
    <w:rsid w:val="00AA096E"/>
    <w:rsid w:val="00AA1DF6"/>
    <w:rsid w:val="00AA6B8A"/>
    <w:rsid w:val="00AB13B6"/>
    <w:rsid w:val="00AC125F"/>
    <w:rsid w:val="00AC342A"/>
    <w:rsid w:val="00AC4F35"/>
    <w:rsid w:val="00AC6182"/>
    <w:rsid w:val="00AD12FF"/>
    <w:rsid w:val="00AD247D"/>
    <w:rsid w:val="00AD6F59"/>
    <w:rsid w:val="00AE29D6"/>
    <w:rsid w:val="00AE35E7"/>
    <w:rsid w:val="00AE78A5"/>
    <w:rsid w:val="00AF0A15"/>
    <w:rsid w:val="00AF55F0"/>
    <w:rsid w:val="00B0080E"/>
    <w:rsid w:val="00B00D0D"/>
    <w:rsid w:val="00B14090"/>
    <w:rsid w:val="00B21F45"/>
    <w:rsid w:val="00B26377"/>
    <w:rsid w:val="00B263B4"/>
    <w:rsid w:val="00B3338B"/>
    <w:rsid w:val="00B362ED"/>
    <w:rsid w:val="00B85B19"/>
    <w:rsid w:val="00B914FE"/>
    <w:rsid w:val="00BA283D"/>
    <w:rsid w:val="00BB1D68"/>
    <w:rsid w:val="00BD241E"/>
    <w:rsid w:val="00BF2ECD"/>
    <w:rsid w:val="00BF58CA"/>
    <w:rsid w:val="00C0404D"/>
    <w:rsid w:val="00C11067"/>
    <w:rsid w:val="00C15113"/>
    <w:rsid w:val="00C22280"/>
    <w:rsid w:val="00C24B8C"/>
    <w:rsid w:val="00C34541"/>
    <w:rsid w:val="00C45D7C"/>
    <w:rsid w:val="00C528AC"/>
    <w:rsid w:val="00C578DC"/>
    <w:rsid w:val="00C61751"/>
    <w:rsid w:val="00C6727E"/>
    <w:rsid w:val="00C722B8"/>
    <w:rsid w:val="00C81D17"/>
    <w:rsid w:val="00C856D7"/>
    <w:rsid w:val="00CA3FB3"/>
    <w:rsid w:val="00CA4EE3"/>
    <w:rsid w:val="00CC13E6"/>
    <w:rsid w:val="00CC5C28"/>
    <w:rsid w:val="00CC6621"/>
    <w:rsid w:val="00CD0630"/>
    <w:rsid w:val="00CD1A35"/>
    <w:rsid w:val="00CD1ED9"/>
    <w:rsid w:val="00CD40F1"/>
    <w:rsid w:val="00CE3127"/>
    <w:rsid w:val="00CE7727"/>
    <w:rsid w:val="00CF17DD"/>
    <w:rsid w:val="00D01F84"/>
    <w:rsid w:val="00D14999"/>
    <w:rsid w:val="00D17300"/>
    <w:rsid w:val="00D22C1E"/>
    <w:rsid w:val="00D239D5"/>
    <w:rsid w:val="00D32DA6"/>
    <w:rsid w:val="00D33BFF"/>
    <w:rsid w:val="00D41AA4"/>
    <w:rsid w:val="00D4482D"/>
    <w:rsid w:val="00D47C6C"/>
    <w:rsid w:val="00D51D76"/>
    <w:rsid w:val="00D54A66"/>
    <w:rsid w:val="00D74FCF"/>
    <w:rsid w:val="00D77785"/>
    <w:rsid w:val="00D85E32"/>
    <w:rsid w:val="00D8698C"/>
    <w:rsid w:val="00D905B5"/>
    <w:rsid w:val="00D92A87"/>
    <w:rsid w:val="00D96FB4"/>
    <w:rsid w:val="00DA241C"/>
    <w:rsid w:val="00DA36DD"/>
    <w:rsid w:val="00DA3B5C"/>
    <w:rsid w:val="00DA3E36"/>
    <w:rsid w:val="00DA3FE5"/>
    <w:rsid w:val="00DD06E2"/>
    <w:rsid w:val="00DD43D5"/>
    <w:rsid w:val="00DD5D73"/>
    <w:rsid w:val="00DE20EA"/>
    <w:rsid w:val="00DE3A96"/>
    <w:rsid w:val="00DE5A23"/>
    <w:rsid w:val="00DF48FE"/>
    <w:rsid w:val="00E04064"/>
    <w:rsid w:val="00E11D74"/>
    <w:rsid w:val="00E16CCF"/>
    <w:rsid w:val="00E2578D"/>
    <w:rsid w:val="00E40520"/>
    <w:rsid w:val="00E4248E"/>
    <w:rsid w:val="00E615AD"/>
    <w:rsid w:val="00E632C3"/>
    <w:rsid w:val="00E651DB"/>
    <w:rsid w:val="00E67620"/>
    <w:rsid w:val="00E70E06"/>
    <w:rsid w:val="00E72F2F"/>
    <w:rsid w:val="00E929F9"/>
    <w:rsid w:val="00EA15B2"/>
    <w:rsid w:val="00EA5747"/>
    <w:rsid w:val="00EB49DB"/>
    <w:rsid w:val="00EC105E"/>
    <w:rsid w:val="00EC5650"/>
    <w:rsid w:val="00EC7577"/>
    <w:rsid w:val="00ED1548"/>
    <w:rsid w:val="00EF7AEA"/>
    <w:rsid w:val="00F13997"/>
    <w:rsid w:val="00F2274D"/>
    <w:rsid w:val="00F227CA"/>
    <w:rsid w:val="00F355D8"/>
    <w:rsid w:val="00F45FA4"/>
    <w:rsid w:val="00F51030"/>
    <w:rsid w:val="00F56ECF"/>
    <w:rsid w:val="00F62732"/>
    <w:rsid w:val="00F81B3A"/>
    <w:rsid w:val="00F834E5"/>
    <w:rsid w:val="00F92859"/>
    <w:rsid w:val="00F93E0E"/>
    <w:rsid w:val="00F94BC5"/>
    <w:rsid w:val="00F96D27"/>
    <w:rsid w:val="00FA0A3A"/>
    <w:rsid w:val="00FB27A8"/>
    <w:rsid w:val="00FC25CB"/>
    <w:rsid w:val="00FD5697"/>
    <w:rsid w:val="00FE389D"/>
    <w:rsid w:val="00FE696F"/>
    <w:rsid w:val="00FF3763"/>
    <w:rsid w:val="02142DC0"/>
    <w:rsid w:val="049D1E2C"/>
    <w:rsid w:val="0A9319EA"/>
    <w:rsid w:val="0EEC3721"/>
    <w:rsid w:val="128F2F01"/>
    <w:rsid w:val="13B51749"/>
    <w:rsid w:val="1ACB0262"/>
    <w:rsid w:val="1DAB29F9"/>
    <w:rsid w:val="1F6EE223"/>
    <w:rsid w:val="23B64F70"/>
    <w:rsid w:val="26127FCD"/>
    <w:rsid w:val="269D171D"/>
    <w:rsid w:val="29514B6A"/>
    <w:rsid w:val="2C1619A5"/>
    <w:rsid w:val="35C506A4"/>
    <w:rsid w:val="384B21A3"/>
    <w:rsid w:val="38B66AC5"/>
    <w:rsid w:val="3B2E0A9A"/>
    <w:rsid w:val="57223341"/>
    <w:rsid w:val="59063AB0"/>
    <w:rsid w:val="64B24C92"/>
    <w:rsid w:val="6729353D"/>
    <w:rsid w:val="67A01AD6"/>
    <w:rsid w:val="69B156CB"/>
    <w:rsid w:val="765E3F51"/>
    <w:rsid w:val="7BBBA453"/>
    <w:rsid w:val="7BC000FE"/>
    <w:rsid w:val="7DCBC511"/>
    <w:rsid w:val="7EADFE96"/>
    <w:rsid w:val="B798E635"/>
    <w:rsid w:val="EDB98DC0"/>
    <w:rsid w:val="F7F5FA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黑体"/>
      <w:b/>
      <w:kern w:val="44"/>
      <w:sz w:val="36"/>
    </w:rPr>
  </w:style>
  <w:style w:type="paragraph" w:styleId="3">
    <w:name w:val="heading 2"/>
    <w:basedOn w:val="1"/>
    <w:next w:val="1"/>
    <w:unhideWhenUsed/>
    <w:qFormat/>
    <w:uiPriority w:val="9"/>
    <w:pPr>
      <w:keepNext/>
      <w:keepLines/>
      <w:spacing w:line="413" w:lineRule="auto"/>
      <w:jc w:val="center"/>
      <w:outlineLvl w:val="1"/>
    </w:pPr>
    <w:rPr>
      <w:rFonts w:ascii="DejaVu Sans" w:hAnsi="DejaVu Sans"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pPr>
    <w:rPr>
      <w:rFonts w:ascii="仿宋_GB2312" w:eastAsia="仿宋_GB2312"/>
      <w:sz w:val="30"/>
      <w:szCs w:val="30"/>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2"/>
    <w:unhideWhenUsed/>
    <w:qFormat/>
    <w:uiPriority w:val="99"/>
    <w:rPr>
      <w:b/>
      <w:bCs/>
    </w:rPr>
  </w:style>
  <w:style w:type="table" w:styleId="14">
    <w:name w:val="Table Grid"/>
    <w:basedOn w:val="1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脚 Char"/>
    <w:basedOn w:val="15"/>
    <w:link w:val="7"/>
    <w:qFormat/>
    <w:uiPriority w:val="99"/>
    <w:rPr>
      <w:rFonts w:ascii="Calibri" w:hAnsi="Calibri" w:eastAsia="宋体" w:cs="Times New Roman"/>
      <w:sz w:val="18"/>
      <w:szCs w:val="18"/>
    </w:rPr>
  </w:style>
  <w:style w:type="paragraph" w:customStyle="1" w:styleId="19">
    <w:name w:val="列出段落1"/>
    <w:basedOn w:val="1"/>
    <w:qFormat/>
    <w:uiPriority w:val="34"/>
    <w:pPr>
      <w:ind w:firstLine="420" w:firstLineChars="200"/>
    </w:pPr>
  </w:style>
  <w:style w:type="character" w:customStyle="1" w:styleId="20">
    <w:name w:val="页眉 Char"/>
    <w:basedOn w:val="15"/>
    <w:link w:val="8"/>
    <w:qFormat/>
    <w:uiPriority w:val="99"/>
    <w:rPr>
      <w:rFonts w:ascii="Calibri" w:hAnsi="Calibri" w:eastAsia="宋体" w:cs="Times New Roman"/>
      <w:sz w:val="18"/>
      <w:szCs w:val="18"/>
    </w:rPr>
  </w:style>
  <w:style w:type="character" w:customStyle="1" w:styleId="21">
    <w:name w:val="批注文字 Char"/>
    <w:basedOn w:val="15"/>
    <w:link w:val="5"/>
    <w:semiHidden/>
    <w:qFormat/>
    <w:uiPriority w:val="99"/>
    <w:rPr>
      <w:rFonts w:ascii="Calibri" w:hAnsi="Calibri" w:eastAsia="宋体" w:cs="Times New Roman"/>
    </w:rPr>
  </w:style>
  <w:style w:type="character" w:customStyle="1" w:styleId="22">
    <w:name w:val="批注主题 Char"/>
    <w:basedOn w:val="21"/>
    <w:link w:val="12"/>
    <w:semiHidden/>
    <w:qFormat/>
    <w:uiPriority w:val="99"/>
    <w:rPr>
      <w:rFonts w:ascii="Calibri" w:hAnsi="Calibri" w:eastAsia="宋体" w:cs="Times New Roman"/>
      <w:b/>
      <w:bCs/>
    </w:rPr>
  </w:style>
  <w:style w:type="character" w:customStyle="1" w:styleId="23">
    <w:name w:val="批注框文本 Char"/>
    <w:basedOn w:val="15"/>
    <w:link w:val="6"/>
    <w:semiHidden/>
    <w:qFormat/>
    <w:uiPriority w:val="99"/>
    <w:rPr>
      <w:rFonts w:ascii="Calibri" w:hAnsi="Calibri" w:eastAsia="宋体" w:cs="Times New Roman"/>
      <w:sz w:val="18"/>
      <w:szCs w:val="18"/>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styleId="28">
    <w:name w:val="List Paragraph"/>
    <w:basedOn w:val="1"/>
    <w:qFormat/>
    <w:uiPriority w:val="99"/>
    <w:pPr>
      <w:ind w:firstLine="420" w:firstLineChars="200"/>
    </w:pPr>
  </w:style>
  <w:style w:type="character" w:customStyle="1" w:styleId="29">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1748</Words>
  <Characters>9964</Characters>
  <Lines>83</Lines>
  <Paragraphs>23</Paragraphs>
  <TotalTime>9</TotalTime>
  <ScaleCrop>false</ScaleCrop>
  <LinksUpToDate>false</LinksUpToDate>
  <CharactersWithSpaces>11689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2021-01-27T01:14:00Z</dcterms:created>
  <dc:creator>wentinglou</dc:creator>
  <cp:lastModifiedBy>wentinglou</cp:lastModifiedBy>
  <cp:lastPrinted>2025-05-12T10:09:00Z</cp:lastPrinted>
  <dcterms:modified xsi:type="dcterms:W3CDTF">2025-08-25T15:49:07Z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CF00D2B34F5848A2A6ED69B9EB9A9EE0_13</vt:lpwstr>
  </property>
</Properties>
</file>