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08525217"/>
    <w:p w14:paraId="0A438CA7" w14:textId="10EC7A15" w:rsidR="001F1892" w:rsidRDefault="00A27B44">
      <w:pPr>
        <w:pStyle w:val="3"/>
        <w:rPr>
          <w:sz w:val="32"/>
          <w:szCs w:val="32"/>
        </w:rPr>
      </w:pPr>
      <w:r>
        <w:rPr>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sz w:val="32"/>
          <w:szCs w:val="32"/>
        </w:rPr>
        <w:instrText>ADDIN CNKISM.UserStyle</w:instrText>
      </w:r>
      <w:r>
        <w:rPr>
          <w:sz w:val="32"/>
          <w:szCs w:val="32"/>
        </w:rPr>
      </w:r>
      <w:r>
        <w:rPr>
          <w:sz w:val="32"/>
          <w:szCs w:val="32"/>
        </w:rPr>
        <w:fldChar w:fldCharType="separate"/>
      </w:r>
      <w:r>
        <w:rPr>
          <w:sz w:val="32"/>
          <w:szCs w:val="32"/>
        </w:rPr>
        <w:fldChar w:fldCharType="end"/>
      </w:r>
      <w:r w:rsidR="00B7124B">
        <w:rPr>
          <w:rFonts w:hint="eastAsia"/>
          <w:sz w:val="32"/>
          <w:szCs w:val="32"/>
        </w:rPr>
        <w:t>科创板上市公司可转债交易（严重）异常波动</w:t>
      </w:r>
      <w:r w:rsidR="00B7124B">
        <w:rPr>
          <w:rFonts w:hint="eastAsia"/>
          <w:sz w:val="32"/>
          <w:szCs w:val="32"/>
        </w:rPr>
        <w:t>/</w:t>
      </w:r>
      <w:r w:rsidR="00B7124B">
        <w:rPr>
          <w:rFonts w:hint="eastAsia"/>
          <w:sz w:val="32"/>
          <w:szCs w:val="32"/>
        </w:rPr>
        <w:t>风险提示</w:t>
      </w:r>
      <w:bookmarkEnd w:id="0"/>
    </w:p>
    <w:p w14:paraId="306E8A78" w14:textId="77777777" w:rsidR="001F1892" w:rsidRDefault="00B7124B">
      <w:pPr>
        <w:tabs>
          <w:tab w:val="left" w:pos="0"/>
        </w:tabs>
        <w:autoSpaceDE w:val="0"/>
        <w:autoSpaceDN w:val="0"/>
        <w:adjustRightInd w:val="0"/>
        <w:snapToGrid w:val="0"/>
        <w:spacing w:line="560" w:lineRule="exact"/>
        <w:rPr>
          <w:rFonts w:ascii="仿宋" w:eastAsia="仿宋_GB2312" w:hAnsi="仿宋" w:cs="宋体"/>
          <w:b/>
          <w:color w:val="000000"/>
          <w:kern w:val="0"/>
          <w:sz w:val="30"/>
          <w:szCs w:val="30"/>
        </w:rPr>
      </w:pPr>
      <w:r>
        <w:rPr>
          <w:rFonts w:ascii="仿宋" w:eastAsia="仿宋_GB2312" w:hAnsi="仿宋" w:cs="宋体" w:hint="eastAsia"/>
          <w:b/>
          <w:color w:val="000000"/>
          <w:kern w:val="0"/>
          <w:sz w:val="30"/>
          <w:szCs w:val="30"/>
        </w:rPr>
        <w:t>适用情形：</w:t>
      </w:r>
    </w:p>
    <w:p w14:paraId="25F946C4" w14:textId="77777777" w:rsidR="001F1892" w:rsidRDefault="00B7124B">
      <w:pPr>
        <w:adjustRightInd w:val="0"/>
        <w:snapToGrid w:val="0"/>
        <w:spacing w:line="560" w:lineRule="exact"/>
        <w:ind w:firstLineChars="200" w:firstLine="600"/>
        <w:jc w:val="left"/>
        <w:rPr>
          <w:rFonts w:ascii="仿宋" w:eastAsia="仿宋_GB2312" w:hAnsi="仿宋"/>
          <w:sz w:val="30"/>
          <w:szCs w:val="30"/>
        </w:rPr>
      </w:pPr>
      <w:r>
        <w:rPr>
          <w:rFonts w:ascii="仿宋" w:eastAsia="仿宋_GB2312" w:hAnsi="仿宋" w:hint="eastAsia"/>
          <w:sz w:val="30"/>
          <w:szCs w:val="30"/>
        </w:rPr>
        <w:t>1</w:t>
      </w:r>
      <w:r>
        <w:rPr>
          <w:rFonts w:ascii="仿宋" w:eastAsia="仿宋_GB2312" w:hAnsi="仿宋" w:hint="eastAsia"/>
          <w:sz w:val="30"/>
          <w:szCs w:val="30"/>
        </w:rPr>
        <w:t>、可转债交易出现异常波动或者严重异常波动情形的，应当适用本公告格式。前述可转债交易异常波动，是指《上海证券交易所可转换公司债券交易实施细则》等规定的可转债交易异常波动情形。</w:t>
      </w:r>
    </w:p>
    <w:p w14:paraId="6DA5D86E" w14:textId="77777777" w:rsidR="001F1892" w:rsidRDefault="00B7124B">
      <w:pPr>
        <w:adjustRightInd w:val="0"/>
        <w:snapToGrid w:val="0"/>
        <w:spacing w:line="560" w:lineRule="exact"/>
        <w:ind w:firstLineChars="200" w:firstLine="600"/>
        <w:jc w:val="left"/>
        <w:rPr>
          <w:rFonts w:ascii="仿宋" w:eastAsia="仿宋_GB2312" w:hAnsi="仿宋"/>
          <w:sz w:val="30"/>
          <w:szCs w:val="30"/>
        </w:rPr>
      </w:pPr>
      <w:r>
        <w:rPr>
          <w:rFonts w:ascii="仿宋" w:eastAsia="仿宋_GB2312" w:hAnsi="仿宋" w:hint="eastAsia"/>
          <w:sz w:val="30"/>
          <w:szCs w:val="30"/>
        </w:rPr>
        <w:t>2</w:t>
      </w:r>
      <w:r>
        <w:rPr>
          <w:rFonts w:ascii="仿宋" w:eastAsia="仿宋_GB2312" w:hAnsi="仿宋" w:hint="eastAsia"/>
          <w:sz w:val="30"/>
          <w:szCs w:val="30"/>
        </w:rPr>
        <w:t>、可转债交易涨跌幅、交易换手率、转股溢价率等指标出现异常，科创板上市公司按照监管部门相关要求或者主动进行核查，并</w:t>
      </w:r>
      <w:r>
        <w:rPr>
          <w:rFonts w:ascii="仿宋" w:eastAsia="仿宋_GB2312" w:hAnsi="仿宋"/>
          <w:sz w:val="30"/>
          <w:szCs w:val="30"/>
        </w:rPr>
        <w:t>向市场充分提示风险</w:t>
      </w:r>
      <w:r>
        <w:rPr>
          <w:rFonts w:ascii="仿宋" w:eastAsia="仿宋_GB2312" w:hAnsi="仿宋" w:hint="eastAsia"/>
          <w:sz w:val="30"/>
          <w:szCs w:val="30"/>
        </w:rPr>
        <w:t>时，适用本公告格式。</w:t>
      </w:r>
    </w:p>
    <w:p w14:paraId="48DC9A06" w14:textId="77777777" w:rsidR="001F1892" w:rsidRDefault="001F1892">
      <w:pPr>
        <w:widowControl/>
        <w:shd w:val="clear" w:color="auto" w:fill="FFFFFF"/>
        <w:spacing w:line="560" w:lineRule="exact"/>
        <w:ind w:firstLineChars="200" w:firstLine="600"/>
        <w:jc w:val="left"/>
        <w:rPr>
          <w:rFonts w:ascii="仿宋_GB2312" w:eastAsia="仿宋_GB2312" w:hAnsi="Times New Roman" w:cs="仿宋_GB2312"/>
          <w:sz w:val="30"/>
          <w:szCs w:val="30"/>
        </w:rPr>
      </w:pPr>
    </w:p>
    <w:p w14:paraId="1444183F" w14:textId="77777777" w:rsidR="001F1892" w:rsidRDefault="00B7124B">
      <w:pPr>
        <w:adjustRightInd w:val="0"/>
        <w:snapToGrid w:val="0"/>
        <w:spacing w:line="560" w:lineRule="exact"/>
        <w:jc w:val="left"/>
        <w:rPr>
          <w:rFonts w:ascii="仿宋" w:eastAsia="仿宋_GB2312" w:hAnsi="仿宋"/>
          <w:sz w:val="30"/>
          <w:szCs w:val="30"/>
        </w:rPr>
      </w:pPr>
      <w:r>
        <w:rPr>
          <w:rFonts w:ascii="仿宋" w:eastAsia="仿宋_GB2312" w:hAnsi="仿宋" w:hint="eastAsia"/>
          <w:sz w:val="30"/>
          <w:szCs w:val="30"/>
        </w:rPr>
        <w:t>证券代码：</w:t>
      </w:r>
      <w:r>
        <w:rPr>
          <w:rFonts w:ascii="仿宋" w:eastAsia="仿宋_GB2312" w:hAnsi="仿宋"/>
          <w:sz w:val="30"/>
          <w:szCs w:val="30"/>
        </w:rPr>
        <w:t xml:space="preserve">             </w:t>
      </w:r>
      <w:r>
        <w:rPr>
          <w:rFonts w:ascii="仿宋" w:eastAsia="仿宋_GB2312" w:hAnsi="仿宋" w:hint="eastAsia"/>
          <w:sz w:val="30"/>
          <w:szCs w:val="30"/>
        </w:rPr>
        <w:t>证券简称：</w:t>
      </w:r>
      <w:r>
        <w:rPr>
          <w:rFonts w:ascii="仿宋" w:eastAsia="仿宋_GB2312" w:hAnsi="仿宋"/>
          <w:sz w:val="30"/>
          <w:szCs w:val="30"/>
        </w:rPr>
        <w:t xml:space="preserve">            </w:t>
      </w:r>
      <w:r>
        <w:rPr>
          <w:rFonts w:ascii="仿宋" w:eastAsia="仿宋_GB2312" w:hAnsi="仿宋" w:hint="eastAsia"/>
          <w:sz w:val="30"/>
          <w:szCs w:val="30"/>
        </w:rPr>
        <w:t>公告编号：</w:t>
      </w:r>
    </w:p>
    <w:p w14:paraId="18FE8B8D" w14:textId="77777777" w:rsidR="001F1892" w:rsidRDefault="00B7124B">
      <w:pPr>
        <w:adjustRightInd w:val="0"/>
        <w:snapToGrid w:val="0"/>
        <w:spacing w:line="560" w:lineRule="exact"/>
        <w:jc w:val="left"/>
        <w:rPr>
          <w:rFonts w:ascii="仿宋" w:eastAsia="仿宋_GB2312" w:hAnsi="仿宋"/>
          <w:sz w:val="30"/>
          <w:szCs w:val="30"/>
        </w:rPr>
      </w:pPr>
      <w:r>
        <w:rPr>
          <w:rFonts w:ascii="仿宋" w:eastAsia="仿宋_GB2312" w:hAnsi="仿宋"/>
          <w:sz w:val="30"/>
          <w:szCs w:val="30"/>
        </w:rPr>
        <w:t>转债代码：</w:t>
      </w:r>
      <w:r>
        <w:rPr>
          <w:rFonts w:ascii="仿宋" w:eastAsia="仿宋_GB2312" w:hAnsi="仿宋" w:hint="eastAsia"/>
          <w:sz w:val="30"/>
          <w:szCs w:val="30"/>
        </w:rPr>
        <w:t xml:space="preserve">             </w:t>
      </w:r>
      <w:r>
        <w:rPr>
          <w:rFonts w:ascii="仿宋" w:eastAsia="仿宋_GB2312" w:hAnsi="仿宋"/>
          <w:sz w:val="30"/>
          <w:szCs w:val="30"/>
        </w:rPr>
        <w:t>转债简称：</w:t>
      </w:r>
    </w:p>
    <w:p w14:paraId="2A935D36" w14:textId="77777777" w:rsidR="001F1892" w:rsidRDefault="001F1892">
      <w:pPr>
        <w:adjustRightInd w:val="0"/>
        <w:snapToGrid w:val="0"/>
        <w:spacing w:line="560" w:lineRule="exact"/>
        <w:jc w:val="left"/>
        <w:rPr>
          <w:rFonts w:ascii="仿宋" w:eastAsia="仿宋_GB2312" w:hAnsi="仿宋"/>
          <w:sz w:val="30"/>
          <w:szCs w:val="30"/>
        </w:rPr>
      </w:pPr>
    </w:p>
    <w:p w14:paraId="1E183208" w14:textId="77777777" w:rsidR="001F1892" w:rsidRDefault="00B7124B">
      <w:pPr>
        <w:pStyle w:val="ad"/>
        <w:widowControl/>
        <w:shd w:val="clear" w:color="auto" w:fill="FFFFFF"/>
        <w:spacing w:line="560" w:lineRule="exact"/>
        <w:ind w:left="420" w:firstLineChars="0" w:firstLine="0"/>
        <w:jc w:val="center"/>
        <w:rPr>
          <w:rFonts w:ascii="仿宋_GB2312" w:eastAsia="仿宋_GB2312" w:hAnsi="Times New Roman" w:cs="仿宋_GB2312"/>
          <w:sz w:val="30"/>
          <w:szCs w:val="30"/>
        </w:rPr>
      </w:pPr>
      <w:r>
        <w:rPr>
          <w:rFonts w:ascii="仿宋" w:eastAsia="仿宋_GB2312" w:hAnsi="仿宋" w:hint="eastAsia"/>
          <w:sz w:val="30"/>
          <w:szCs w:val="30"/>
        </w:rPr>
        <w:t>XXXX</w:t>
      </w:r>
      <w:r>
        <w:rPr>
          <w:rFonts w:ascii="仿宋_GB2312" w:eastAsia="仿宋_GB2312" w:hAnsi="Times New Roman" w:cs="仿宋_GB2312" w:hint="eastAsia"/>
          <w:sz w:val="30"/>
          <w:szCs w:val="30"/>
        </w:rPr>
        <w:t>股份有限公司关于“</w:t>
      </w:r>
      <w:r>
        <w:rPr>
          <w:rFonts w:ascii="仿宋" w:eastAsia="仿宋_GB2312" w:hAnsi="仿宋" w:hint="eastAsia"/>
          <w:sz w:val="30"/>
          <w:szCs w:val="30"/>
        </w:rPr>
        <w:t>XX</w:t>
      </w:r>
      <w:r>
        <w:rPr>
          <w:rFonts w:ascii="仿宋_GB2312" w:eastAsia="仿宋_GB2312" w:hAnsi="Times New Roman" w:cs="仿宋_GB2312" w:hint="eastAsia"/>
          <w:sz w:val="30"/>
          <w:szCs w:val="30"/>
        </w:rPr>
        <w:t>转债”交易异常波动</w:t>
      </w:r>
      <w:r>
        <w:rPr>
          <w:rFonts w:ascii="仿宋_GB2312" w:eastAsia="仿宋_GB2312" w:hAnsi="Times New Roman" w:cs="仿宋_GB2312" w:hint="eastAsia"/>
          <w:sz w:val="30"/>
          <w:szCs w:val="30"/>
        </w:rPr>
        <w:t>/</w:t>
      </w:r>
      <w:r>
        <w:rPr>
          <w:rFonts w:ascii="仿宋_GB2312" w:eastAsia="仿宋_GB2312" w:hAnsi="Times New Roman" w:cs="仿宋_GB2312" w:hint="eastAsia"/>
          <w:sz w:val="30"/>
          <w:szCs w:val="30"/>
        </w:rPr>
        <w:t>严重异常波动</w:t>
      </w:r>
      <w:r>
        <w:rPr>
          <w:rFonts w:ascii="仿宋_GB2312" w:eastAsia="仿宋_GB2312" w:hAnsi="Times New Roman" w:cs="仿宋_GB2312" w:hint="eastAsia"/>
          <w:sz w:val="30"/>
          <w:szCs w:val="30"/>
        </w:rPr>
        <w:t>/</w:t>
      </w:r>
      <w:r>
        <w:rPr>
          <w:rFonts w:ascii="仿宋_GB2312" w:eastAsia="仿宋_GB2312" w:hAnsi="Times New Roman" w:cs="仿宋_GB2312" w:hint="eastAsia"/>
          <w:sz w:val="30"/>
          <w:szCs w:val="30"/>
        </w:rPr>
        <w:t>风险提示公告</w:t>
      </w:r>
    </w:p>
    <w:p w14:paraId="67E14A0B" w14:textId="77777777" w:rsidR="001F1892" w:rsidRDefault="001F1892">
      <w:pPr>
        <w:adjustRightInd w:val="0"/>
        <w:snapToGrid w:val="0"/>
        <w:spacing w:line="560" w:lineRule="exact"/>
        <w:ind w:firstLineChars="200" w:firstLine="600"/>
        <w:rPr>
          <w:rFonts w:ascii="仿宋" w:eastAsia="仿宋_GB2312" w:hAnsi="仿宋"/>
          <w:sz w:val="30"/>
          <w:szCs w:val="30"/>
        </w:rPr>
      </w:pPr>
    </w:p>
    <w:p w14:paraId="19C13AAB" w14:textId="77777777" w:rsidR="001F1892" w:rsidRDefault="00B7124B">
      <w:pPr>
        <w:pBdr>
          <w:top w:val="single" w:sz="4" w:space="1" w:color="auto"/>
          <w:left w:val="single" w:sz="4" w:space="4" w:color="auto"/>
          <w:bottom w:val="single" w:sz="4" w:space="1" w:color="auto"/>
          <w:right w:val="single" w:sz="4" w:space="4" w:color="auto"/>
        </w:pBdr>
        <w:adjustRightInd w:val="0"/>
        <w:snapToGrid w:val="0"/>
        <w:spacing w:line="360" w:lineRule="auto"/>
        <w:rPr>
          <w:rFonts w:ascii="仿宋" w:eastAsia="仿宋_GB2312" w:hAnsi="仿宋"/>
          <w:sz w:val="30"/>
          <w:szCs w:val="30"/>
        </w:rPr>
      </w:pPr>
      <w:r>
        <w:rPr>
          <w:rFonts w:ascii="宋体" w:hAnsi="宋体" w:hint="eastAsia"/>
          <w:color w:val="000000"/>
          <w:sz w:val="24"/>
        </w:rPr>
        <w:t xml:space="preserve">    </w:t>
      </w:r>
      <w:r>
        <w:rPr>
          <w:rFonts w:ascii="宋体" w:hAnsi="宋体"/>
          <w:color w:val="000000"/>
          <w:sz w:val="24"/>
        </w:rPr>
        <w:t xml:space="preserve"> </w:t>
      </w:r>
      <w:r>
        <w:rPr>
          <w:rFonts w:ascii="仿宋" w:eastAsia="仿宋_GB2312" w:hAnsi="仿宋" w:hint="eastAsia"/>
          <w:sz w:val="30"/>
          <w:szCs w:val="30"/>
        </w:rPr>
        <w:t>本公司董事会及全体董事保证本公告内容不存在任何虚假记载、误导性陈述或者重大遗漏，并对其内容的真实性、准确性和完整性承担法律责任。</w:t>
      </w:r>
    </w:p>
    <w:p w14:paraId="6C060EB7" w14:textId="77777777" w:rsidR="001F1892" w:rsidRDefault="00B7124B">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color w:val="000000"/>
          <w:sz w:val="24"/>
        </w:rPr>
      </w:pPr>
      <w:r>
        <w:rPr>
          <w:rFonts w:ascii="仿宋" w:eastAsia="仿宋_GB2312" w:hAnsi="仿宋" w:hint="eastAsia"/>
          <w:sz w:val="30"/>
          <w:szCs w:val="30"/>
        </w:rPr>
        <w:t xml:space="preserve">    </w:t>
      </w:r>
      <w:r>
        <w:rPr>
          <w:rFonts w:ascii="仿宋" w:eastAsia="仿宋_GB2312" w:hAnsi="仿宋" w:hint="eastAsia"/>
          <w:sz w:val="30"/>
          <w:szCs w:val="30"/>
        </w:rPr>
        <w:t>如有董事对临时公告内容的真实性、准确性和完整性无法保证或存在异议的，公司应当在公告中作特别提示。</w:t>
      </w:r>
    </w:p>
    <w:p w14:paraId="11450CE0" w14:textId="77777777" w:rsidR="001F1892" w:rsidRDefault="001F1892">
      <w:pPr>
        <w:widowControl/>
        <w:shd w:val="clear" w:color="auto" w:fill="FFFFFF"/>
        <w:spacing w:line="560" w:lineRule="exact"/>
        <w:jc w:val="left"/>
        <w:rPr>
          <w:rFonts w:ascii="仿宋" w:eastAsia="仿宋_GB2312" w:hAnsi="仿宋"/>
          <w:sz w:val="30"/>
          <w:szCs w:val="30"/>
        </w:rPr>
      </w:pPr>
    </w:p>
    <w:p w14:paraId="62D31757" w14:textId="77777777" w:rsidR="001F1892" w:rsidRDefault="00B7124B">
      <w:pPr>
        <w:widowControl/>
        <w:shd w:val="clear" w:color="auto" w:fill="FFFFFF"/>
        <w:spacing w:line="560" w:lineRule="exact"/>
        <w:ind w:firstLineChars="200" w:firstLine="602"/>
        <w:jc w:val="left"/>
        <w:rPr>
          <w:rFonts w:ascii="仿宋_GB2312" w:eastAsia="仿宋_GB2312" w:hAnsi="Times New Roman" w:cs="仿宋_GB2312"/>
          <w:b/>
          <w:kern w:val="0"/>
          <w:sz w:val="30"/>
          <w:szCs w:val="30"/>
        </w:rPr>
      </w:pPr>
      <w:r>
        <w:rPr>
          <w:rFonts w:ascii="仿宋_GB2312" w:eastAsia="仿宋_GB2312" w:hAnsi="Times New Roman" w:cs="仿宋_GB2312" w:hint="eastAsia"/>
          <w:b/>
          <w:kern w:val="0"/>
          <w:sz w:val="30"/>
          <w:szCs w:val="30"/>
        </w:rPr>
        <w:t>重要内容提示：</w:t>
      </w:r>
    </w:p>
    <w:p w14:paraId="0F30E1E9" w14:textId="77777777" w:rsidR="001F1892" w:rsidRDefault="00B7124B">
      <w:pPr>
        <w:pStyle w:val="ad"/>
        <w:widowControl/>
        <w:numPr>
          <w:ilvl w:val="0"/>
          <w:numId w:val="1"/>
        </w:numPr>
        <w:shd w:val="clear" w:color="auto" w:fill="FFFFFF"/>
        <w:spacing w:line="560" w:lineRule="exact"/>
        <w:ind w:firstLine="600"/>
        <w:jc w:val="left"/>
        <w:rPr>
          <w:rFonts w:ascii="仿宋_GB2312" w:eastAsia="仿宋_GB2312" w:hAnsi="Times New Roman" w:cs="仿宋_GB2312"/>
          <w:kern w:val="0"/>
          <w:sz w:val="30"/>
          <w:szCs w:val="30"/>
        </w:rPr>
      </w:pPr>
      <w:r>
        <w:rPr>
          <w:rFonts w:ascii="仿宋_GB2312" w:eastAsia="仿宋_GB2312" w:hAnsi="Times New Roman" w:cs="仿宋_GB2312"/>
          <w:sz w:val="30"/>
          <w:szCs w:val="30"/>
        </w:rPr>
        <w:lastRenderedPageBreak/>
        <w:t>“</w:t>
      </w:r>
      <w:r>
        <w:rPr>
          <w:rFonts w:ascii="仿宋" w:eastAsia="仿宋_GB2312" w:hAnsi="仿宋" w:hint="eastAsia"/>
          <w:sz w:val="30"/>
          <w:szCs w:val="30"/>
        </w:rPr>
        <w:t>XX</w:t>
      </w:r>
      <w:r>
        <w:rPr>
          <w:rFonts w:ascii="仿宋_GB2312" w:eastAsia="仿宋_GB2312" w:hAnsi="Times New Roman" w:cs="仿宋_GB2312" w:hint="eastAsia"/>
          <w:sz w:val="30"/>
          <w:szCs w:val="30"/>
        </w:rPr>
        <w:t>转债</w:t>
      </w:r>
      <w:r>
        <w:rPr>
          <w:rFonts w:ascii="仿宋_GB2312" w:eastAsia="仿宋_GB2312" w:hAnsi="Times New Roman" w:cs="仿宋_GB2312"/>
          <w:sz w:val="30"/>
          <w:szCs w:val="30"/>
        </w:rPr>
        <w:t>”</w:t>
      </w:r>
      <w:r>
        <w:rPr>
          <w:rFonts w:ascii="仿宋_GB2312" w:eastAsia="仿宋_GB2312" w:hAnsi="Times New Roman" w:cs="仿宋_GB2312" w:hint="eastAsia"/>
          <w:kern w:val="0"/>
          <w:sz w:val="30"/>
          <w:szCs w:val="30"/>
        </w:rPr>
        <w:t>交易异常波动</w:t>
      </w:r>
      <w:r>
        <w:rPr>
          <w:rFonts w:ascii="仿宋_GB2312" w:eastAsia="仿宋_GB2312" w:hAnsi="Times New Roman" w:cs="仿宋_GB2312" w:hint="eastAsia"/>
          <w:kern w:val="0"/>
          <w:sz w:val="30"/>
          <w:szCs w:val="30"/>
        </w:rPr>
        <w:t>/</w:t>
      </w:r>
      <w:r>
        <w:rPr>
          <w:rFonts w:ascii="仿宋_GB2312" w:eastAsia="仿宋_GB2312" w:hAnsi="Times New Roman" w:cs="仿宋_GB2312" w:hint="eastAsia"/>
          <w:kern w:val="0"/>
          <w:sz w:val="30"/>
          <w:szCs w:val="30"/>
        </w:rPr>
        <w:t>严重异常波动情形；或者</w:t>
      </w:r>
      <w:r>
        <w:rPr>
          <w:rFonts w:ascii="仿宋_GB2312" w:eastAsia="仿宋_GB2312" w:hAnsi="Times New Roman" w:cs="仿宋_GB2312"/>
          <w:sz w:val="30"/>
          <w:szCs w:val="30"/>
        </w:rPr>
        <w:t>“</w:t>
      </w:r>
      <w:r>
        <w:rPr>
          <w:rFonts w:ascii="仿宋" w:eastAsia="仿宋_GB2312" w:hAnsi="仿宋" w:hint="eastAsia"/>
          <w:sz w:val="30"/>
          <w:szCs w:val="30"/>
        </w:rPr>
        <w:t>XX</w:t>
      </w:r>
      <w:r>
        <w:rPr>
          <w:rFonts w:ascii="仿宋_GB2312" w:eastAsia="仿宋_GB2312" w:hAnsi="Times New Roman" w:cs="仿宋_GB2312" w:hint="eastAsia"/>
          <w:sz w:val="30"/>
          <w:szCs w:val="30"/>
        </w:rPr>
        <w:t>转债</w:t>
      </w:r>
      <w:r>
        <w:rPr>
          <w:rFonts w:ascii="仿宋_GB2312" w:eastAsia="仿宋_GB2312" w:hAnsi="Times New Roman" w:cs="仿宋_GB2312"/>
          <w:sz w:val="30"/>
          <w:szCs w:val="30"/>
        </w:rPr>
        <w:t>”</w:t>
      </w:r>
      <w:r>
        <w:rPr>
          <w:rFonts w:ascii="仿宋_GB2312" w:eastAsia="仿宋_GB2312" w:hAnsi="Times New Roman" w:cs="仿宋_GB2312" w:hint="eastAsia"/>
          <w:kern w:val="0"/>
          <w:sz w:val="30"/>
          <w:szCs w:val="30"/>
        </w:rPr>
        <w:t>近期价格波动较大，</w:t>
      </w:r>
      <w:r>
        <w:rPr>
          <w:rFonts w:ascii="仿宋" w:eastAsia="仿宋_GB2312" w:hAnsi="仿宋" w:hint="eastAsia"/>
          <w:sz w:val="30"/>
          <w:szCs w:val="30"/>
        </w:rPr>
        <w:t>XXXX</w:t>
      </w:r>
      <w:r>
        <w:rPr>
          <w:rFonts w:ascii="仿宋_GB2312" w:eastAsia="仿宋_GB2312" w:hAnsi="Times New Roman" w:cs="仿宋_GB2312" w:hint="eastAsia"/>
          <w:kern w:val="0"/>
          <w:sz w:val="30"/>
          <w:szCs w:val="30"/>
        </w:rPr>
        <w:t>年</w:t>
      </w:r>
      <w:r>
        <w:rPr>
          <w:rFonts w:ascii="仿宋" w:eastAsia="仿宋_GB2312" w:hAnsi="仿宋" w:hint="eastAsia"/>
          <w:sz w:val="30"/>
          <w:szCs w:val="30"/>
        </w:rPr>
        <w:t>XX</w:t>
      </w:r>
      <w:r>
        <w:rPr>
          <w:rFonts w:ascii="仿宋_GB2312" w:eastAsia="仿宋_GB2312" w:hAnsi="Times New Roman" w:cs="仿宋_GB2312" w:hint="eastAsia"/>
          <w:kern w:val="0"/>
          <w:sz w:val="30"/>
          <w:szCs w:val="30"/>
        </w:rPr>
        <w:t>月</w:t>
      </w:r>
      <w:r>
        <w:rPr>
          <w:rFonts w:ascii="仿宋" w:eastAsia="仿宋_GB2312" w:hAnsi="仿宋" w:hint="eastAsia"/>
          <w:sz w:val="30"/>
          <w:szCs w:val="30"/>
        </w:rPr>
        <w:t>XX</w:t>
      </w:r>
      <w:r>
        <w:rPr>
          <w:rFonts w:ascii="仿宋_GB2312" w:eastAsia="仿宋_GB2312" w:hAnsi="Times New Roman" w:cs="仿宋_GB2312" w:hint="eastAsia"/>
          <w:kern w:val="0"/>
          <w:sz w:val="30"/>
          <w:szCs w:val="30"/>
        </w:rPr>
        <w:t>日盘中涨幅</w:t>
      </w:r>
      <w:r>
        <w:rPr>
          <w:rFonts w:ascii="仿宋_GB2312" w:eastAsia="仿宋_GB2312" w:hAnsi="Times New Roman" w:cs="仿宋_GB2312" w:hint="eastAsia"/>
          <w:kern w:val="0"/>
          <w:sz w:val="30"/>
          <w:szCs w:val="30"/>
        </w:rPr>
        <w:t>/</w:t>
      </w:r>
      <w:r>
        <w:rPr>
          <w:rFonts w:ascii="仿宋_GB2312" w:eastAsia="仿宋_GB2312" w:hAnsi="Times New Roman" w:cs="仿宋_GB2312" w:hint="eastAsia"/>
          <w:kern w:val="0"/>
          <w:sz w:val="30"/>
          <w:szCs w:val="30"/>
        </w:rPr>
        <w:t>跌幅达</w:t>
      </w:r>
      <w:r>
        <w:rPr>
          <w:rFonts w:ascii="仿宋" w:eastAsia="仿宋_GB2312" w:hAnsi="仿宋" w:hint="eastAsia"/>
          <w:sz w:val="30"/>
          <w:szCs w:val="30"/>
        </w:rPr>
        <w:t>XX</w:t>
      </w:r>
      <w:r>
        <w:rPr>
          <w:rFonts w:ascii="仿宋_GB2312" w:eastAsia="仿宋_GB2312" w:hAnsi="Times New Roman" w:cs="仿宋_GB2312" w:hint="eastAsia"/>
          <w:kern w:val="0"/>
          <w:sz w:val="30"/>
          <w:szCs w:val="30"/>
        </w:rPr>
        <w:t>%</w:t>
      </w:r>
      <w:r>
        <w:rPr>
          <w:rFonts w:ascii="仿宋_GB2312" w:eastAsia="仿宋_GB2312" w:hAnsi="Times New Roman" w:cs="仿宋_GB2312" w:hint="eastAsia"/>
          <w:kern w:val="0"/>
          <w:sz w:val="30"/>
          <w:szCs w:val="30"/>
        </w:rPr>
        <w:t>，当日收盘涨幅</w:t>
      </w:r>
      <w:r>
        <w:rPr>
          <w:rFonts w:ascii="仿宋_GB2312" w:eastAsia="仿宋_GB2312" w:hAnsi="Times New Roman" w:cs="仿宋_GB2312" w:hint="eastAsia"/>
          <w:kern w:val="0"/>
          <w:sz w:val="30"/>
          <w:szCs w:val="30"/>
        </w:rPr>
        <w:t>/</w:t>
      </w:r>
      <w:r>
        <w:rPr>
          <w:rFonts w:ascii="仿宋_GB2312" w:eastAsia="仿宋_GB2312" w:hAnsi="Times New Roman" w:cs="仿宋_GB2312" w:hint="eastAsia"/>
          <w:kern w:val="0"/>
          <w:sz w:val="30"/>
          <w:szCs w:val="30"/>
        </w:rPr>
        <w:t>跌幅</w:t>
      </w:r>
      <w:r>
        <w:rPr>
          <w:rFonts w:ascii="仿宋" w:eastAsia="仿宋_GB2312" w:hAnsi="仿宋" w:hint="eastAsia"/>
          <w:sz w:val="30"/>
          <w:szCs w:val="30"/>
        </w:rPr>
        <w:t>XX</w:t>
      </w:r>
      <w:r>
        <w:rPr>
          <w:rFonts w:ascii="仿宋_GB2312" w:eastAsia="仿宋_GB2312" w:hAnsi="Times New Roman" w:cs="仿宋_GB2312" w:hint="eastAsia"/>
          <w:kern w:val="0"/>
          <w:sz w:val="30"/>
          <w:szCs w:val="30"/>
        </w:rPr>
        <w:t>%</w:t>
      </w:r>
      <w:r>
        <w:rPr>
          <w:rFonts w:ascii="仿宋_GB2312" w:eastAsia="仿宋_GB2312" w:hAnsi="Times New Roman" w:cs="仿宋_GB2312" w:hint="eastAsia"/>
          <w:kern w:val="0"/>
          <w:sz w:val="30"/>
          <w:szCs w:val="30"/>
        </w:rPr>
        <w:t>，换手率</w:t>
      </w:r>
      <w:r>
        <w:rPr>
          <w:rFonts w:ascii="仿宋" w:eastAsia="仿宋_GB2312" w:hAnsi="仿宋" w:hint="eastAsia"/>
          <w:sz w:val="30"/>
          <w:szCs w:val="30"/>
        </w:rPr>
        <w:t>XX</w:t>
      </w:r>
      <w:r>
        <w:rPr>
          <w:rFonts w:ascii="仿宋_GB2312" w:eastAsia="仿宋_GB2312" w:hAnsi="Times New Roman" w:cs="仿宋_GB2312" w:hint="eastAsia"/>
          <w:kern w:val="0"/>
          <w:sz w:val="30"/>
          <w:szCs w:val="30"/>
        </w:rPr>
        <w:t>%</w:t>
      </w:r>
      <w:r>
        <w:rPr>
          <w:rFonts w:ascii="仿宋_GB2312" w:eastAsia="仿宋_GB2312" w:hAnsi="Times New Roman" w:cs="仿宋_GB2312" w:hint="eastAsia"/>
          <w:kern w:val="0"/>
          <w:sz w:val="30"/>
          <w:szCs w:val="30"/>
        </w:rPr>
        <w:t>。最近</w:t>
      </w:r>
      <w:r>
        <w:rPr>
          <w:rFonts w:ascii="仿宋" w:eastAsia="仿宋_GB2312" w:hAnsi="仿宋" w:hint="eastAsia"/>
          <w:sz w:val="30"/>
          <w:szCs w:val="30"/>
        </w:rPr>
        <w:t>XX</w:t>
      </w:r>
      <w:r>
        <w:rPr>
          <w:rFonts w:ascii="仿宋" w:eastAsia="仿宋_GB2312" w:hAnsi="仿宋" w:hint="eastAsia"/>
          <w:sz w:val="30"/>
          <w:szCs w:val="30"/>
        </w:rPr>
        <w:t>个交易日，累计</w:t>
      </w:r>
      <w:r>
        <w:rPr>
          <w:rFonts w:ascii="仿宋_GB2312" w:eastAsia="仿宋_GB2312" w:hAnsi="Times New Roman" w:cs="仿宋_GB2312" w:hint="eastAsia"/>
          <w:kern w:val="0"/>
          <w:sz w:val="30"/>
          <w:szCs w:val="30"/>
        </w:rPr>
        <w:t>涨幅</w:t>
      </w:r>
      <w:r>
        <w:rPr>
          <w:rFonts w:ascii="仿宋_GB2312" w:eastAsia="仿宋_GB2312" w:hAnsi="Times New Roman" w:cs="仿宋_GB2312" w:hint="eastAsia"/>
          <w:kern w:val="0"/>
          <w:sz w:val="30"/>
          <w:szCs w:val="30"/>
        </w:rPr>
        <w:t>/</w:t>
      </w:r>
      <w:r>
        <w:rPr>
          <w:rFonts w:ascii="仿宋_GB2312" w:eastAsia="仿宋_GB2312" w:hAnsi="Times New Roman" w:cs="仿宋_GB2312" w:hint="eastAsia"/>
          <w:kern w:val="0"/>
          <w:sz w:val="30"/>
          <w:szCs w:val="30"/>
        </w:rPr>
        <w:t>跌幅达到</w:t>
      </w:r>
      <w:r>
        <w:rPr>
          <w:rFonts w:ascii="仿宋" w:eastAsia="仿宋_GB2312" w:hAnsi="仿宋" w:hint="eastAsia"/>
          <w:sz w:val="30"/>
          <w:szCs w:val="30"/>
        </w:rPr>
        <w:t>XX</w:t>
      </w:r>
      <w:r>
        <w:rPr>
          <w:rFonts w:ascii="仿宋_GB2312" w:eastAsia="仿宋_GB2312" w:hAnsi="Times New Roman" w:cs="仿宋_GB2312" w:hint="eastAsia"/>
          <w:kern w:val="0"/>
          <w:sz w:val="30"/>
          <w:szCs w:val="30"/>
        </w:rPr>
        <w:t>%</w:t>
      </w:r>
      <w:r>
        <w:rPr>
          <w:rFonts w:ascii="仿宋_GB2312" w:eastAsia="仿宋_GB2312" w:hAnsi="Times New Roman" w:cs="仿宋_GB2312" w:hint="eastAsia"/>
          <w:kern w:val="0"/>
          <w:sz w:val="30"/>
          <w:szCs w:val="30"/>
        </w:rPr>
        <w:t>。</w:t>
      </w:r>
    </w:p>
    <w:p w14:paraId="7BA52A06" w14:textId="77777777" w:rsidR="001F1892" w:rsidRDefault="00B7124B">
      <w:pPr>
        <w:pStyle w:val="ad"/>
        <w:widowControl/>
        <w:numPr>
          <w:ilvl w:val="0"/>
          <w:numId w:val="1"/>
        </w:numPr>
        <w:shd w:val="clear" w:color="auto" w:fill="FFFFFF"/>
        <w:spacing w:line="560" w:lineRule="exact"/>
        <w:ind w:firstLine="600"/>
        <w:jc w:val="left"/>
        <w:rPr>
          <w:rFonts w:ascii="仿宋_GB2312" w:eastAsia="仿宋_GB2312" w:hAnsi="Times New Roman" w:cs="仿宋_GB2312"/>
          <w:kern w:val="0"/>
          <w:sz w:val="30"/>
          <w:szCs w:val="30"/>
        </w:rPr>
      </w:pPr>
      <w:r>
        <w:rPr>
          <w:rFonts w:ascii="仿宋_GB2312" w:eastAsia="仿宋_GB2312" w:hAnsi="Times New Roman" w:cs="仿宋_GB2312" w:hint="eastAsia"/>
          <w:kern w:val="0"/>
          <w:sz w:val="30"/>
          <w:szCs w:val="30"/>
        </w:rPr>
        <w:t>截至</w:t>
      </w:r>
      <w:r>
        <w:rPr>
          <w:rFonts w:ascii="仿宋" w:eastAsia="仿宋_GB2312" w:hAnsi="仿宋" w:hint="eastAsia"/>
          <w:sz w:val="30"/>
          <w:szCs w:val="30"/>
        </w:rPr>
        <w:t>XXXX</w:t>
      </w:r>
      <w:r>
        <w:rPr>
          <w:rFonts w:ascii="仿宋_GB2312" w:eastAsia="仿宋_GB2312" w:hAnsi="Times New Roman" w:cs="仿宋_GB2312" w:hint="eastAsia"/>
          <w:kern w:val="0"/>
          <w:sz w:val="30"/>
          <w:szCs w:val="30"/>
        </w:rPr>
        <w:t>年</w:t>
      </w:r>
      <w:r>
        <w:rPr>
          <w:rFonts w:ascii="仿宋" w:eastAsia="仿宋_GB2312" w:hAnsi="仿宋" w:hint="eastAsia"/>
          <w:sz w:val="30"/>
          <w:szCs w:val="30"/>
        </w:rPr>
        <w:t>XX</w:t>
      </w:r>
      <w:r>
        <w:rPr>
          <w:rFonts w:ascii="仿宋_GB2312" w:eastAsia="仿宋_GB2312" w:hAnsi="Times New Roman" w:cs="仿宋_GB2312" w:hint="eastAsia"/>
          <w:kern w:val="0"/>
          <w:sz w:val="30"/>
          <w:szCs w:val="30"/>
        </w:rPr>
        <w:t>月</w:t>
      </w:r>
      <w:r>
        <w:rPr>
          <w:rFonts w:ascii="仿宋" w:eastAsia="仿宋_GB2312" w:hAnsi="仿宋" w:hint="eastAsia"/>
          <w:sz w:val="30"/>
          <w:szCs w:val="30"/>
        </w:rPr>
        <w:t>XX</w:t>
      </w:r>
      <w:r>
        <w:rPr>
          <w:rFonts w:ascii="仿宋_GB2312" w:eastAsia="仿宋_GB2312" w:hAnsi="Times New Roman" w:cs="仿宋_GB2312" w:hint="eastAsia"/>
          <w:kern w:val="0"/>
          <w:sz w:val="30"/>
          <w:szCs w:val="30"/>
        </w:rPr>
        <w:t>日，</w:t>
      </w:r>
      <w:r>
        <w:rPr>
          <w:rFonts w:ascii="仿宋_GB2312" w:eastAsia="仿宋_GB2312" w:hAnsi="Times New Roman" w:cs="仿宋_GB2312"/>
          <w:sz w:val="30"/>
          <w:szCs w:val="30"/>
        </w:rPr>
        <w:t>“</w:t>
      </w:r>
      <w:r>
        <w:rPr>
          <w:rFonts w:ascii="仿宋" w:eastAsia="仿宋_GB2312" w:hAnsi="仿宋" w:hint="eastAsia"/>
          <w:sz w:val="30"/>
          <w:szCs w:val="30"/>
        </w:rPr>
        <w:t>XX</w:t>
      </w:r>
      <w:r>
        <w:rPr>
          <w:rFonts w:ascii="仿宋_GB2312" w:eastAsia="仿宋_GB2312" w:hAnsi="Times New Roman" w:cs="仿宋_GB2312" w:hint="eastAsia"/>
          <w:sz w:val="30"/>
          <w:szCs w:val="30"/>
        </w:rPr>
        <w:t>转债</w:t>
      </w:r>
      <w:r>
        <w:rPr>
          <w:rFonts w:ascii="仿宋_GB2312" w:eastAsia="仿宋_GB2312" w:hAnsi="Times New Roman" w:cs="仿宋_GB2312"/>
          <w:sz w:val="30"/>
          <w:szCs w:val="30"/>
        </w:rPr>
        <w:t>”</w:t>
      </w:r>
      <w:r>
        <w:rPr>
          <w:rFonts w:ascii="仿宋_GB2312" w:eastAsia="仿宋_GB2312" w:hAnsi="Times New Roman" w:cs="仿宋_GB2312" w:hint="eastAsia"/>
          <w:kern w:val="0"/>
          <w:sz w:val="30"/>
          <w:szCs w:val="30"/>
        </w:rPr>
        <w:t>价格</w:t>
      </w:r>
      <w:r>
        <w:rPr>
          <w:rFonts w:ascii="仿宋" w:eastAsia="仿宋_GB2312" w:hAnsi="仿宋" w:hint="eastAsia"/>
          <w:sz w:val="30"/>
          <w:szCs w:val="30"/>
        </w:rPr>
        <w:t>XX</w:t>
      </w:r>
      <w:r>
        <w:rPr>
          <w:rFonts w:ascii="仿宋_GB2312" w:eastAsia="仿宋_GB2312" w:hAnsi="Times New Roman" w:cs="仿宋_GB2312" w:hint="eastAsia"/>
          <w:kern w:val="0"/>
          <w:sz w:val="30"/>
          <w:szCs w:val="30"/>
        </w:rPr>
        <w:t>元</w:t>
      </w:r>
      <w:r>
        <w:rPr>
          <w:rFonts w:ascii="仿宋_GB2312" w:eastAsia="仿宋_GB2312" w:hAnsi="Times New Roman" w:cs="仿宋_GB2312" w:hint="eastAsia"/>
          <w:kern w:val="0"/>
          <w:sz w:val="30"/>
          <w:szCs w:val="30"/>
        </w:rPr>
        <w:t>/</w:t>
      </w:r>
      <w:r>
        <w:rPr>
          <w:rFonts w:ascii="仿宋_GB2312" w:eastAsia="仿宋_GB2312" w:hAnsi="Times New Roman" w:cs="仿宋_GB2312" w:hint="eastAsia"/>
          <w:kern w:val="0"/>
          <w:sz w:val="30"/>
          <w:szCs w:val="30"/>
        </w:rPr>
        <w:t>张，</w:t>
      </w:r>
      <w:r>
        <w:rPr>
          <w:rFonts w:ascii="仿宋_GB2312" w:eastAsia="仿宋_GB2312" w:hAnsi="Times New Roman" w:cs="仿宋_GB2312" w:hint="eastAsia"/>
          <w:sz w:val="30"/>
          <w:szCs w:val="30"/>
        </w:rPr>
        <w:t>相对于票面价格溢价</w:t>
      </w:r>
      <w:r>
        <w:rPr>
          <w:rFonts w:ascii="仿宋" w:eastAsia="仿宋_GB2312" w:hAnsi="仿宋" w:hint="eastAsia"/>
          <w:sz w:val="30"/>
          <w:szCs w:val="30"/>
        </w:rPr>
        <w:t>XX</w:t>
      </w:r>
      <w:r>
        <w:rPr>
          <w:rFonts w:ascii="仿宋_GB2312" w:eastAsia="仿宋_GB2312" w:hAnsi="Times New Roman" w:cs="仿宋_GB2312" w:hint="eastAsia"/>
          <w:sz w:val="30"/>
          <w:szCs w:val="30"/>
        </w:rPr>
        <w:t>%</w:t>
      </w:r>
      <w:r>
        <w:rPr>
          <w:rFonts w:ascii="仿宋_GB2312" w:eastAsia="仿宋_GB2312" w:hAnsi="Times New Roman" w:cs="仿宋_GB2312" w:hint="eastAsia"/>
          <w:sz w:val="30"/>
          <w:szCs w:val="30"/>
        </w:rPr>
        <w:t>，</w:t>
      </w:r>
      <w:r>
        <w:rPr>
          <w:rFonts w:ascii="仿宋_GB2312" w:eastAsia="仿宋_GB2312" w:hAnsi="Times New Roman" w:cs="仿宋_GB2312" w:hint="eastAsia"/>
          <w:kern w:val="0"/>
          <w:sz w:val="30"/>
          <w:szCs w:val="30"/>
        </w:rPr>
        <w:t>转股溢价率</w:t>
      </w:r>
      <w:r>
        <w:rPr>
          <w:rFonts w:ascii="仿宋" w:eastAsia="仿宋_GB2312" w:hAnsi="仿宋" w:hint="eastAsia"/>
          <w:sz w:val="30"/>
          <w:szCs w:val="30"/>
        </w:rPr>
        <w:t>XX</w:t>
      </w:r>
      <w:r>
        <w:rPr>
          <w:rFonts w:ascii="仿宋_GB2312" w:eastAsia="仿宋_GB2312" w:hAnsi="Times New Roman" w:cs="仿宋_GB2312" w:hint="eastAsia"/>
          <w:kern w:val="0"/>
          <w:sz w:val="30"/>
          <w:szCs w:val="30"/>
        </w:rPr>
        <w:t>%</w:t>
      </w:r>
      <w:r>
        <w:rPr>
          <w:rFonts w:ascii="仿宋_GB2312" w:eastAsia="仿宋_GB2312" w:hAnsi="Times New Roman" w:cs="仿宋_GB2312" w:hint="eastAsia"/>
          <w:kern w:val="0"/>
          <w:sz w:val="30"/>
          <w:szCs w:val="30"/>
        </w:rPr>
        <w:t>。</w:t>
      </w:r>
    </w:p>
    <w:p w14:paraId="43DF939F" w14:textId="77777777" w:rsidR="001F1892" w:rsidRDefault="00B7124B">
      <w:pPr>
        <w:pStyle w:val="ad"/>
        <w:widowControl/>
        <w:numPr>
          <w:ilvl w:val="0"/>
          <w:numId w:val="1"/>
        </w:numPr>
        <w:shd w:val="clear" w:color="auto" w:fill="FFFFFF"/>
        <w:spacing w:line="560" w:lineRule="exact"/>
        <w:ind w:firstLine="600"/>
        <w:jc w:val="left"/>
        <w:rPr>
          <w:rFonts w:ascii="仿宋_GB2312" w:eastAsia="仿宋_GB2312" w:hAnsi="Times New Roman" w:cs="仿宋_GB2312"/>
          <w:kern w:val="0"/>
          <w:sz w:val="30"/>
          <w:szCs w:val="30"/>
        </w:rPr>
      </w:pPr>
      <w:r>
        <w:rPr>
          <w:rFonts w:ascii="仿宋_GB2312" w:eastAsia="仿宋_GB2312" w:hAnsi="Times New Roman" w:cs="仿宋_GB2312" w:hint="eastAsia"/>
          <w:kern w:val="0"/>
          <w:sz w:val="30"/>
          <w:szCs w:val="30"/>
        </w:rPr>
        <w:t>上市公司核查的相关重大信息或重大风险提示。</w:t>
      </w:r>
      <w:r>
        <w:rPr>
          <w:rFonts w:ascii="仿宋_GB2312" w:eastAsia="仿宋_GB2312" w:hAnsi="Times New Roman" w:cs="仿宋_GB2312" w:hint="eastAsia"/>
          <w:kern w:val="0"/>
          <w:sz w:val="30"/>
          <w:szCs w:val="30"/>
        </w:rPr>
        <w:t xml:space="preserve"> </w:t>
      </w:r>
    </w:p>
    <w:p w14:paraId="76255AEC" w14:textId="77777777" w:rsidR="001F1892" w:rsidRDefault="001F1892">
      <w:pPr>
        <w:pStyle w:val="ab"/>
        <w:shd w:val="clear" w:color="auto" w:fill="FFFFFF"/>
        <w:spacing w:before="0" w:beforeAutospacing="0" w:after="0" w:afterAutospacing="0" w:line="560" w:lineRule="exact"/>
        <w:ind w:firstLineChars="200" w:firstLine="602"/>
        <w:rPr>
          <w:rFonts w:ascii="仿宋" w:eastAsia="仿宋_GB2312" w:hAnsi="仿宋"/>
          <w:b/>
          <w:color w:val="000000"/>
          <w:sz w:val="30"/>
          <w:szCs w:val="30"/>
        </w:rPr>
      </w:pPr>
    </w:p>
    <w:p w14:paraId="6790C5A2" w14:textId="77777777" w:rsidR="001F1892" w:rsidRDefault="00B7124B">
      <w:pPr>
        <w:adjustRightInd w:val="0"/>
        <w:snapToGrid w:val="0"/>
        <w:spacing w:line="560" w:lineRule="exact"/>
        <w:ind w:firstLineChars="200" w:firstLine="602"/>
        <w:rPr>
          <w:rFonts w:ascii="黑体" w:eastAsia="黑体" w:hAnsi="黑体"/>
          <w:b/>
          <w:color w:val="000000"/>
          <w:sz w:val="30"/>
          <w:szCs w:val="30"/>
        </w:rPr>
      </w:pPr>
      <w:r>
        <w:rPr>
          <w:rFonts w:ascii="黑体" w:eastAsia="黑体" w:hAnsi="黑体" w:hint="eastAsia"/>
          <w:b/>
          <w:color w:val="000000"/>
          <w:sz w:val="30"/>
          <w:szCs w:val="30"/>
        </w:rPr>
        <w:t>一、可转债发行上市概况</w:t>
      </w:r>
    </w:p>
    <w:p w14:paraId="4EB69E5A" w14:textId="77777777" w:rsidR="001F1892" w:rsidRDefault="00B7124B">
      <w:pPr>
        <w:autoSpaceDE w:val="0"/>
        <w:autoSpaceDN w:val="0"/>
        <w:adjustRightInd w:val="0"/>
        <w:snapToGrid w:val="0"/>
        <w:spacing w:line="560" w:lineRule="exact"/>
        <w:ind w:firstLineChars="200" w:firstLine="600"/>
        <w:rPr>
          <w:rFonts w:ascii="仿宋" w:eastAsia="仿宋_GB2312" w:hAnsi="仿宋" w:cs="宋体"/>
          <w:kern w:val="0"/>
          <w:sz w:val="30"/>
          <w:szCs w:val="30"/>
        </w:rPr>
      </w:pPr>
      <w:r>
        <w:rPr>
          <w:rFonts w:ascii="仿宋" w:eastAsia="仿宋_GB2312" w:hAnsi="仿宋" w:cs="宋体" w:hint="eastAsia"/>
          <w:kern w:val="0"/>
          <w:sz w:val="30"/>
          <w:szCs w:val="30"/>
        </w:rPr>
        <w:t>（一）可转债获中国证监会注册发行基本情况，包括注册号、发行时间、发行数量、面值、发行总额、期限等。</w:t>
      </w:r>
    </w:p>
    <w:p w14:paraId="66486D74" w14:textId="77777777" w:rsidR="001F1892" w:rsidRDefault="00B7124B">
      <w:pPr>
        <w:autoSpaceDE w:val="0"/>
        <w:autoSpaceDN w:val="0"/>
        <w:adjustRightInd w:val="0"/>
        <w:snapToGrid w:val="0"/>
        <w:spacing w:line="560" w:lineRule="exact"/>
        <w:ind w:firstLineChars="200" w:firstLine="600"/>
        <w:rPr>
          <w:rFonts w:ascii="仿宋" w:eastAsia="仿宋_GB2312" w:hAnsi="仿宋" w:cs="宋体"/>
          <w:kern w:val="0"/>
          <w:sz w:val="30"/>
          <w:szCs w:val="30"/>
        </w:rPr>
      </w:pPr>
      <w:r>
        <w:rPr>
          <w:rFonts w:ascii="仿宋" w:eastAsia="仿宋_GB2312" w:hAnsi="仿宋" w:cs="宋体" w:hint="eastAsia"/>
          <w:kern w:val="0"/>
          <w:sz w:val="30"/>
          <w:szCs w:val="30"/>
        </w:rPr>
        <w:t>（二）可转债在上海证券交易所挂牌上市的基本情况，包括核准上市文号、上市日期、可转债交易代码、可转债简称等。</w:t>
      </w:r>
    </w:p>
    <w:p w14:paraId="4223D279" w14:textId="77777777" w:rsidR="001F1892" w:rsidRDefault="00B7124B">
      <w:pPr>
        <w:autoSpaceDE w:val="0"/>
        <w:autoSpaceDN w:val="0"/>
        <w:adjustRightInd w:val="0"/>
        <w:snapToGrid w:val="0"/>
        <w:spacing w:line="560" w:lineRule="exact"/>
        <w:ind w:firstLineChars="200" w:firstLine="600"/>
        <w:rPr>
          <w:rFonts w:ascii="仿宋" w:eastAsia="仿宋_GB2312" w:hAnsi="仿宋" w:cs="宋体"/>
          <w:kern w:val="0"/>
          <w:sz w:val="30"/>
          <w:szCs w:val="30"/>
        </w:rPr>
      </w:pPr>
      <w:r>
        <w:rPr>
          <w:rFonts w:ascii="仿宋" w:eastAsia="仿宋_GB2312" w:hAnsi="仿宋" w:cs="宋体" w:hint="eastAsia"/>
          <w:kern w:val="0"/>
          <w:sz w:val="30"/>
          <w:szCs w:val="30"/>
        </w:rPr>
        <w:t>（三）公司应说明公司可转债开始转股的日期、转股价格等。</w:t>
      </w:r>
    </w:p>
    <w:p w14:paraId="6707A778" w14:textId="77777777" w:rsidR="001F1892" w:rsidRDefault="001F1892">
      <w:pPr>
        <w:pStyle w:val="ab"/>
        <w:shd w:val="clear" w:color="auto" w:fill="FFFFFF"/>
        <w:spacing w:before="0" w:beforeAutospacing="0" w:after="0" w:afterAutospacing="0" w:line="560" w:lineRule="exact"/>
        <w:ind w:firstLineChars="200" w:firstLine="600"/>
        <w:jc w:val="both"/>
        <w:rPr>
          <w:rFonts w:ascii="仿宋_GB2312" w:eastAsia="仿宋_GB2312" w:hAnsi="仿宋_GB2312" w:cs="仿宋_GB2312"/>
          <w:sz w:val="30"/>
          <w:szCs w:val="30"/>
        </w:rPr>
      </w:pPr>
    </w:p>
    <w:p w14:paraId="73388B7C" w14:textId="77777777" w:rsidR="001F1892" w:rsidRDefault="00B7124B">
      <w:pPr>
        <w:adjustRightInd w:val="0"/>
        <w:snapToGrid w:val="0"/>
        <w:spacing w:line="560" w:lineRule="exact"/>
        <w:ind w:firstLineChars="200" w:firstLine="602"/>
        <w:rPr>
          <w:rFonts w:ascii="黑体" w:eastAsia="黑体" w:hAnsi="黑体"/>
          <w:b/>
          <w:color w:val="000000"/>
          <w:sz w:val="30"/>
          <w:szCs w:val="30"/>
        </w:rPr>
      </w:pPr>
      <w:r>
        <w:rPr>
          <w:rFonts w:ascii="黑体" w:eastAsia="黑体" w:hAnsi="黑体" w:hint="eastAsia"/>
          <w:b/>
          <w:color w:val="000000"/>
          <w:sz w:val="30"/>
          <w:szCs w:val="30"/>
        </w:rPr>
        <w:t>二、可转债交易异常波动</w:t>
      </w:r>
      <w:r>
        <w:rPr>
          <w:rFonts w:ascii="黑体" w:eastAsia="黑体" w:hAnsi="黑体" w:hint="eastAsia"/>
          <w:b/>
          <w:color w:val="000000"/>
          <w:sz w:val="30"/>
          <w:szCs w:val="30"/>
        </w:rPr>
        <w:t>/</w:t>
      </w:r>
      <w:r>
        <w:rPr>
          <w:rFonts w:ascii="黑体" w:eastAsia="黑体" w:hAnsi="黑体" w:hint="eastAsia"/>
          <w:b/>
          <w:color w:val="000000"/>
          <w:sz w:val="30"/>
          <w:szCs w:val="30"/>
        </w:rPr>
        <w:t>严重异常波动</w:t>
      </w:r>
      <w:r>
        <w:rPr>
          <w:rFonts w:ascii="黑体" w:eastAsia="黑体" w:hAnsi="黑体" w:hint="eastAsia"/>
          <w:b/>
          <w:color w:val="000000"/>
          <w:sz w:val="30"/>
          <w:szCs w:val="30"/>
        </w:rPr>
        <w:t>/</w:t>
      </w:r>
      <w:r>
        <w:rPr>
          <w:rFonts w:ascii="黑体" w:eastAsia="黑体" w:hAnsi="黑体" w:hint="eastAsia"/>
          <w:b/>
          <w:color w:val="000000"/>
          <w:sz w:val="30"/>
          <w:szCs w:val="30"/>
        </w:rPr>
        <w:t>相关交易指标异常的具体情况</w:t>
      </w:r>
    </w:p>
    <w:p w14:paraId="3E59FDE3" w14:textId="30D68AAC" w:rsidR="001F1892" w:rsidRDefault="00B7124B">
      <w:pPr>
        <w:pStyle w:val="ab"/>
        <w:shd w:val="clear" w:color="auto" w:fill="FFFFFF"/>
        <w:spacing w:before="0" w:beforeAutospacing="0" w:after="0" w:afterAutospacing="0"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上市公司应当说明可转债交易异常波动</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严重异常波动的具体情形及发生时间等。</w:t>
      </w:r>
      <w:bookmarkStart w:id="1" w:name="_GoBack"/>
      <w:bookmarkEnd w:id="1"/>
    </w:p>
    <w:p w14:paraId="47EE262E" w14:textId="3192B7C2" w:rsidR="001F1892" w:rsidRPr="00A27B44" w:rsidRDefault="00B7124B" w:rsidP="00A27B44">
      <w:pPr>
        <w:pStyle w:val="ab"/>
        <w:shd w:val="clear" w:color="auto" w:fill="FFFFFF"/>
        <w:spacing w:before="0" w:beforeAutospacing="0" w:after="0" w:afterAutospacing="0" w:line="560" w:lineRule="exact"/>
        <w:ind w:firstLineChars="200" w:firstLine="480"/>
        <w:jc w:val="both"/>
        <w:rPr>
          <w:rFonts w:ascii="楷体" w:eastAsia="楷体" w:hAnsi="楷体" w:cstheme="minorBidi"/>
          <w:kern w:val="2"/>
        </w:rPr>
      </w:pPr>
      <w:r>
        <w:rPr>
          <w:rFonts w:ascii="楷体" w:eastAsia="楷体" w:hAnsi="楷体" w:cstheme="minorBidi" w:hint="eastAsia"/>
          <w:kern w:val="2"/>
        </w:rPr>
        <w:t>（编制提醒</w:t>
      </w:r>
      <w:r>
        <w:rPr>
          <w:rFonts w:ascii="楷体" w:eastAsia="楷体" w:hAnsi="楷体" w:cstheme="minorBidi" w:hint="eastAsia"/>
          <w:kern w:val="2"/>
        </w:rPr>
        <w:t>：</w:t>
      </w:r>
      <w:r w:rsidRPr="00A27B44">
        <w:rPr>
          <w:rFonts w:ascii="楷体" w:eastAsia="楷体" w:hAnsi="楷体" w:cstheme="minorBidi" w:hint="eastAsia"/>
          <w:kern w:val="2"/>
        </w:rPr>
        <w:t>触及《上海证券交易所</w:t>
      </w:r>
      <w:r w:rsidRPr="00A27B44">
        <w:rPr>
          <w:rFonts w:ascii="楷体" w:eastAsia="楷体" w:hAnsi="楷体" w:cstheme="minorBidi" w:hint="eastAsia"/>
          <w:kern w:val="2"/>
        </w:rPr>
        <w:t>可转换公司债券</w:t>
      </w:r>
      <w:r w:rsidRPr="00A27B44">
        <w:rPr>
          <w:rFonts w:ascii="楷体" w:eastAsia="楷体" w:hAnsi="楷体" w:hint="eastAsia"/>
        </w:rPr>
        <w:t>交易</w:t>
      </w:r>
      <w:r w:rsidRPr="00A27B44">
        <w:rPr>
          <w:rFonts w:ascii="楷体" w:eastAsia="楷体" w:hAnsi="楷体" w:cstheme="minorBidi" w:hint="eastAsia"/>
          <w:kern w:val="2"/>
        </w:rPr>
        <w:t>实施细则</w:t>
      </w:r>
      <w:r w:rsidRPr="00A27B44">
        <w:rPr>
          <w:rFonts w:ascii="楷体" w:eastAsia="楷体" w:hAnsi="楷体" w:cstheme="minorBidi" w:hint="eastAsia"/>
          <w:kern w:val="2"/>
        </w:rPr>
        <w:t>》规定的异常波动标准的，应当表述为“公司可转债交易连续</w:t>
      </w:r>
      <w:r w:rsidRPr="00A27B44">
        <w:rPr>
          <w:rFonts w:ascii="楷体" w:eastAsia="楷体" w:hAnsi="楷体" w:cstheme="minorBidi"/>
          <w:kern w:val="2"/>
        </w:rPr>
        <w:t>3</w:t>
      </w:r>
      <w:r w:rsidRPr="00A27B44">
        <w:rPr>
          <w:rFonts w:ascii="楷体" w:eastAsia="楷体" w:hAnsi="楷体" w:cstheme="minorBidi"/>
          <w:kern w:val="2"/>
        </w:rPr>
        <w:t>个交易日内日收盘价格涨</w:t>
      </w:r>
      <w:r w:rsidRPr="00A27B44">
        <w:rPr>
          <w:rFonts w:ascii="楷体" w:eastAsia="楷体" w:hAnsi="楷体" w:cstheme="minorBidi"/>
          <w:kern w:val="2"/>
        </w:rPr>
        <w:t>/</w:t>
      </w:r>
      <w:r w:rsidRPr="00A27B44">
        <w:rPr>
          <w:rFonts w:ascii="楷体" w:eastAsia="楷体" w:hAnsi="楷体" w:cstheme="minorBidi"/>
          <w:kern w:val="2"/>
        </w:rPr>
        <w:t>跌幅偏离值累计达</w:t>
      </w:r>
      <w:r w:rsidRPr="00A27B44">
        <w:rPr>
          <w:rFonts w:ascii="楷体" w:eastAsia="楷体" w:hAnsi="楷体" w:cstheme="minorBidi"/>
          <w:kern w:val="2"/>
        </w:rPr>
        <w:t>XX%”</w:t>
      </w:r>
      <w:r w:rsidRPr="00A27B44">
        <w:rPr>
          <w:rFonts w:ascii="楷体" w:eastAsia="楷体" w:hAnsi="楷体" w:cstheme="minorBidi"/>
          <w:kern w:val="2"/>
        </w:rPr>
        <w:t>等。</w:t>
      </w:r>
      <w:r w:rsidRPr="00A27B44">
        <w:rPr>
          <w:rFonts w:ascii="楷体" w:eastAsia="楷体" w:hAnsi="楷体" w:cstheme="minorBidi" w:hint="eastAsia"/>
          <w:kern w:val="2"/>
        </w:rPr>
        <w:t>触及《上海证券交易所</w:t>
      </w:r>
      <w:r w:rsidRPr="00A27B44">
        <w:rPr>
          <w:rFonts w:ascii="楷体" w:eastAsia="楷体" w:hAnsi="楷体" w:cstheme="minorBidi" w:hint="eastAsia"/>
          <w:kern w:val="2"/>
        </w:rPr>
        <w:t>可转换公司债券</w:t>
      </w:r>
      <w:r w:rsidRPr="00A27B44">
        <w:rPr>
          <w:rFonts w:ascii="楷体" w:eastAsia="楷体" w:hAnsi="楷体" w:cstheme="minorBidi" w:hint="eastAsia"/>
          <w:kern w:val="2"/>
        </w:rPr>
        <w:t>交易</w:t>
      </w:r>
      <w:r w:rsidRPr="00A27B44">
        <w:rPr>
          <w:rFonts w:ascii="楷体" w:eastAsia="楷体" w:hAnsi="楷体" w:cstheme="minorBidi" w:hint="eastAsia"/>
          <w:kern w:val="2"/>
        </w:rPr>
        <w:t>实施细则</w:t>
      </w:r>
      <w:r w:rsidRPr="00A27B44">
        <w:rPr>
          <w:rFonts w:ascii="楷体" w:eastAsia="楷体" w:hAnsi="楷体" w:cstheme="minorBidi" w:hint="eastAsia"/>
          <w:kern w:val="2"/>
        </w:rPr>
        <w:t>》规定的严重异常波动标准的，应当表述为</w:t>
      </w:r>
      <w:r w:rsidRPr="00A27B44">
        <w:rPr>
          <w:rFonts w:ascii="楷体" w:eastAsia="楷体" w:hAnsi="楷体" w:cstheme="minorBidi"/>
          <w:kern w:val="2"/>
        </w:rPr>
        <w:t>“</w:t>
      </w:r>
      <w:r w:rsidRPr="00A27B44">
        <w:rPr>
          <w:rFonts w:ascii="楷体" w:eastAsia="楷体" w:hAnsi="楷体" w:cstheme="minorBidi" w:hint="eastAsia"/>
          <w:kern w:val="2"/>
        </w:rPr>
        <w:t>公司可转债交易连续</w:t>
      </w:r>
      <w:r w:rsidRPr="00A27B44">
        <w:rPr>
          <w:rFonts w:ascii="楷体" w:eastAsia="楷体" w:hAnsi="楷体" w:cstheme="minorBidi"/>
          <w:kern w:val="2"/>
        </w:rPr>
        <w:t>10</w:t>
      </w:r>
      <w:r w:rsidRPr="00A27B44">
        <w:rPr>
          <w:rFonts w:ascii="楷体" w:eastAsia="楷体" w:hAnsi="楷体" w:cstheme="minorBidi"/>
          <w:kern w:val="2"/>
        </w:rPr>
        <w:t>个交易日内</w:t>
      </w:r>
      <w:r w:rsidRPr="00A27B44">
        <w:rPr>
          <w:rFonts w:ascii="楷体" w:eastAsia="楷体" w:hAnsi="楷体" w:cstheme="minorBidi"/>
          <w:kern w:val="2"/>
        </w:rPr>
        <w:t>3</w:t>
      </w:r>
      <w:r w:rsidRPr="00A27B44">
        <w:rPr>
          <w:rFonts w:ascii="楷体" w:eastAsia="楷体" w:hAnsi="楷体" w:cstheme="minorBidi"/>
          <w:kern w:val="2"/>
        </w:rPr>
        <w:t>次出现同向异常波动情形</w:t>
      </w:r>
      <w:r w:rsidRPr="00A27B44">
        <w:rPr>
          <w:rFonts w:ascii="楷体" w:eastAsia="楷体" w:hAnsi="楷体" w:cstheme="minorBidi"/>
          <w:kern w:val="2"/>
        </w:rPr>
        <w:t>/</w:t>
      </w:r>
      <w:r w:rsidRPr="00A27B44">
        <w:rPr>
          <w:rFonts w:ascii="楷体" w:eastAsia="楷体" w:hAnsi="楷体" w:cstheme="minorBidi"/>
          <w:kern w:val="2"/>
        </w:rPr>
        <w:t>连续</w:t>
      </w:r>
      <w:r w:rsidRPr="00A27B44">
        <w:rPr>
          <w:rFonts w:ascii="楷体" w:eastAsia="楷体" w:hAnsi="楷体" w:cstheme="minorBidi"/>
          <w:kern w:val="2"/>
        </w:rPr>
        <w:t>10</w:t>
      </w:r>
      <w:r w:rsidRPr="00A27B44">
        <w:rPr>
          <w:rFonts w:ascii="楷体" w:eastAsia="楷体" w:hAnsi="楷体" w:cstheme="minorBidi"/>
          <w:kern w:val="2"/>
        </w:rPr>
        <w:t>个交易日内日收盘价格涨跌幅偏离</w:t>
      </w:r>
      <w:r w:rsidRPr="00A27B44">
        <w:rPr>
          <w:rFonts w:ascii="楷体" w:eastAsia="楷体" w:hAnsi="楷体" w:cstheme="minorBidi"/>
          <w:kern w:val="2"/>
        </w:rPr>
        <w:lastRenderedPageBreak/>
        <w:t>值累计达到</w:t>
      </w:r>
      <w:r w:rsidRPr="00A27B44">
        <w:rPr>
          <w:rFonts w:ascii="楷体" w:eastAsia="楷体" w:hAnsi="楷体" w:cstheme="minorBidi"/>
          <w:kern w:val="2"/>
        </w:rPr>
        <w:t>+100%</w:t>
      </w:r>
      <w:r w:rsidRPr="00A27B44">
        <w:rPr>
          <w:rFonts w:ascii="楷体" w:eastAsia="楷体" w:hAnsi="楷体" w:cstheme="minorBidi"/>
          <w:kern w:val="2"/>
        </w:rPr>
        <w:t>（</w:t>
      </w:r>
      <w:r w:rsidRPr="00A27B44">
        <w:rPr>
          <w:rFonts w:ascii="楷体" w:eastAsia="楷体" w:hAnsi="楷体" w:cstheme="minorBidi"/>
          <w:kern w:val="2"/>
        </w:rPr>
        <w:t>-50%</w:t>
      </w:r>
      <w:r w:rsidRPr="00A27B44">
        <w:rPr>
          <w:rFonts w:ascii="楷体" w:eastAsia="楷体" w:hAnsi="楷体" w:cstheme="minorBidi"/>
          <w:kern w:val="2"/>
        </w:rPr>
        <w:t>）</w:t>
      </w:r>
      <w:r w:rsidRPr="00A27B44">
        <w:rPr>
          <w:rFonts w:ascii="楷体" w:eastAsia="楷体" w:hAnsi="楷体" w:cstheme="minorBidi"/>
          <w:kern w:val="2"/>
        </w:rPr>
        <w:t>/</w:t>
      </w:r>
      <w:r w:rsidRPr="00A27B44">
        <w:rPr>
          <w:rFonts w:ascii="楷体" w:eastAsia="楷体" w:hAnsi="楷体" w:cstheme="minorBidi"/>
          <w:kern w:val="2"/>
        </w:rPr>
        <w:t>连续</w:t>
      </w:r>
      <w:r w:rsidRPr="00A27B44">
        <w:rPr>
          <w:rFonts w:ascii="楷体" w:eastAsia="楷体" w:hAnsi="楷体" w:cstheme="minorBidi"/>
          <w:kern w:val="2"/>
        </w:rPr>
        <w:t>30</w:t>
      </w:r>
      <w:r w:rsidRPr="00A27B44">
        <w:rPr>
          <w:rFonts w:ascii="楷体" w:eastAsia="楷体" w:hAnsi="楷体" w:cstheme="minorBidi"/>
          <w:kern w:val="2"/>
        </w:rPr>
        <w:t>个交易日内日收盘价格涨跌幅偏离值累计达到</w:t>
      </w:r>
      <w:r w:rsidRPr="00A27B44">
        <w:rPr>
          <w:rFonts w:ascii="楷体" w:eastAsia="楷体" w:hAnsi="楷体" w:cstheme="minorBidi"/>
          <w:kern w:val="2"/>
        </w:rPr>
        <w:t>+200%</w:t>
      </w:r>
      <w:r w:rsidRPr="00A27B44">
        <w:rPr>
          <w:rFonts w:ascii="楷体" w:eastAsia="楷体" w:hAnsi="楷体" w:cstheme="minorBidi"/>
          <w:kern w:val="2"/>
        </w:rPr>
        <w:t>（</w:t>
      </w:r>
      <w:r w:rsidRPr="00A27B44">
        <w:rPr>
          <w:rFonts w:ascii="楷体" w:eastAsia="楷体" w:hAnsi="楷体" w:cstheme="minorBidi"/>
          <w:kern w:val="2"/>
        </w:rPr>
        <w:t>-70%</w:t>
      </w:r>
      <w:r w:rsidRPr="00A27B44">
        <w:rPr>
          <w:rFonts w:ascii="楷体" w:eastAsia="楷体" w:hAnsi="楷体" w:cstheme="minorBidi"/>
          <w:kern w:val="2"/>
        </w:rPr>
        <w:t>）</w:t>
      </w:r>
      <w:r w:rsidRPr="00A27B44">
        <w:rPr>
          <w:rFonts w:ascii="楷体" w:eastAsia="楷体" w:hAnsi="楷体" w:cstheme="minorBidi"/>
          <w:kern w:val="2"/>
        </w:rPr>
        <w:t>”</w:t>
      </w:r>
      <w:r w:rsidRPr="00A27B44">
        <w:rPr>
          <w:rFonts w:ascii="楷体" w:eastAsia="楷体" w:hAnsi="楷体" w:cstheme="minorBidi" w:hint="eastAsia"/>
          <w:kern w:val="2"/>
        </w:rPr>
        <w:t>等。如上市公司可转债交易出现严重异常波动的多种情形，应当列明出现的所有情形。</w:t>
      </w:r>
      <w:r>
        <w:rPr>
          <w:rFonts w:ascii="楷体" w:eastAsia="楷体" w:hAnsi="楷体" w:cstheme="minorBidi" w:hint="eastAsia"/>
          <w:kern w:val="2"/>
        </w:rPr>
        <w:t>）</w:t>
      </w:r>
    </w:p>
    <w:p w14:paraId="17B693E5" w14:textId="77777777" w:rsidR="001F1892" w:rsidRDefault="00B7124B">
      <w:pPr>
        <w:pStyle w:val="ab"/>
        <w:shd w:val="clear" w:color="auto" w:fill="FFFFFF"/>
        <w:spacing w:before="0" w:beforeAutospacing="0" w:after="0" w:afterAutospacing="0"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上市公司</w:t>
      </w:r>
      <w:r>
        <w:rPr>
          <w:rFonts w:ascii="仿宋" w:eastAsia="仿宋_GB2312" w:hAnsi="仿宋" w:hint="eastAsia"/>
          <w:sz w:val="30"/>
          <w:szCs w:val="30"/>
        </w:rPr>
        <w:t>可转债交易涨跌幅、交易换手率、转股溢价率等指标出现异常</w:t>
      </w:r>
      <w:r>
        <w:rPr>
          <w:rFonts w:ascii="仿宋_GB2312" w:eastAsia="仿宋_GB2312" w:hAnsi="仿宋_GB2312" w:cs="仿宋_GB2312" w:hint="eastAsia"/>
          <w:sz w:val="30"/>
          <w:szCs w:val="30"/>
        </w:rPr>
        <w:t>，可转债交易虽未触及异常波动情形，但上市公司认为相关可转债交易未能反映公司实际情况的，应当说明可转债交易波动的具体情形。例如，“公司可转债交易</w:t>
      </w:r>
      <w:r>
        <w:rPr>
          <w:rFonts w:ascii="仿宋_GB2312" w:eastAsia="仿宋_GB2312" w:hAnsi="Times New Roman" w:cs="仿宋_GB2312" w:hint="eastAsia"/>
          <w:sz w:val="30"/>
          <w:szCs w:val="30"/>
        </w:rPr>
        <w:t>近期价格波动较大，</w:t>
      </w:r>
      <w:r>
        <w:rPr>
          <w:rFonts w:ascii="仿宋" w:eastAsia="仿宋_GB2312" w:hAnsi="仿宋" w:hint="eastAsia"/>
          <w:sz w:val="30"/>
          <w:szCs w:val="30"/>
        </w:rPr>
        <w:t>XXXX</w:t>
      </w:r>
      <w:r>
        <w:rPr>
          <w:rFonts w:ascii="仿宋_GB2312" w:eastAsia="仿宋_GB2312" w:hAnsi="Times New Roman" w:cs="仿宋_GB2312" w:hint="eastAsia"/>
          <w:sz w:val="30"/>
          <w:szCs w:val="30"/>
        </w:rPr>
        <w:t>年</w:t>
      </w:r>
      <w:r>
        <w:rPr>
          <w:rFonts w:ascii="仿宋" w:eastAsia="仿宋_GB2312" w:hAnsi="仿宋" w:hint="eastAsia"/>
          <w:sz w:val="30"/>
          <w:szCs w:val="30"/>
        </w:rPr>
        <w:t>XX</w:t>
      </w:r>
      <w:r>
        <w:rPr>
          <w:rFonts w:ascii="仿宋_GB2312" w:eastAsia="仿宋_GB2312" w:hAnsi="Times New Roman" w:cs="仿宋_GB2312" w:hint="eastAsia"/>
          <w:sz w:val="30"/>
          <w:szCs w:val="30"/>
        </w:rPr>
        <w:t>月</w:t>
      </w:r>
      <w:r>
        <w:rPr>
          <w:rFonts w:ascii="仿宋" w:eastAsia="仿宋_GB2312" w:hAnsi="仿宋" w:hint="eastAsia"/>
          <w:sz w:val="30"/>
          <w:szCs w:val="30"/>
        </w:rPr>
        <w:t>XX</w:t>
      </w:r>
      <w:r>
        <w:rPr>
          <w:rFonts w:ascii="仿宋_GB2312" w:eastAsia="仿宋_GB2312" w:hAnsi="Times New Roman" w:cs="仿宋_GB2312" w:hint="eastAsia"/>
          <w:sz w:val="30"/>
          <w:szCs w:val="30"/>
        </w:rPr>
        <w:t>日盘中</w:t>
      </w:r>
      <w:r>
        <w:rPr>
          <w:rFonts w:ascii="仿宋_GB2312" w:eastAsia="仿宋_GB2312" w:hAnsi="Times New Roman" w:cs="仿宋_GB2312" w:hint="eastAsia"/>
          <w:sz w:val="30"/>
          <w:szCs w:val="30"/>
        </w:rPr>
        <w:t>涨</w:t>
      </w:r>
      <w:r>
        <w:rPr>
          <w:rFonts w:ascii="仿宋_GB2312" w:eastAsia="仿宋_GB2312" w:hAnsi="Times New Roman" w:cs="仿宋_GB2312" w:hint="eastAsia"/>
          <w:sz w:val="30"/>
          <w:szCs w:val="30"/>
        </w:rPr>
        <w:t>/</w:t>
      </w:r>
      <w:r>
        <w:rPr>
          <w:rFonts w:ascii="仿宋_GB2312" w:eastAsia="仿宋_GB2312" w:hAnsi="Times New Roman" w:cs="仿宋_GB2312" w:hint="eastAsia"/>
          <w:sz w:val="30"/>
          <w:szCs w:val="30"/>
        </w:rPr>
        <w:t>跌幅达</w:t>
      </w:r>
      <w:r>
        <w:rPr>
          <w:rFonts w:ascii="仿宋" w:eastAsia="仿宋_GB2312" w:hAnsi="仿宋" w:hint="eastAsia"/>
          <w:sz w:val="30"/>
          <w:szCs w:val="30"/>
        </w:rPr>
        <w:t>XX</w:t>
      </w:r>
      <w:r>
        <w:rPr>
          <w:rFonts w:ascii="仿宋_GB2312" w:eastAsia="仿宋_GB2312" w:hAnsi="Times New Roman" w:cs="仿宋_GB2312" w:hint="eastAsia"/>
          <w:sz w:val="30"/>
          <w:szCs w:val="30"/>
        </w:rPr>
        <w:t>%</w:t>
      </w:r>
      <w:r>
        <w:rPr>
          <w:rFonts w:ascii="仿宋_GB2312" w:eastAsia="仿宋_GB2312" w:hAnsi="Times New Roman" w:cs="仿宋_GB2312" w:hint="eastAsia"/>
          <w:sz w:val="30"/>
          <w:szCs w:val="30"/>
        </w:rPr>
        <w:t>，当日收盘涨幅</w:t>
      </w:r>
      <w:r>
        <w:rPr>
          <w:rFonts w:ascii="仿宋_GB2312" w:eastAsia="仿宋_GB2312" w:hAnsi="Times New Roman" w:cs="仿宋_GB2312" w:hint="eastAsia"/>
          <w:sz w:val="30"/>
          <w:szCs w:val="30"/>
        </w:rPr>
        <w:t>/</w:t>
      </w:r>
      <w:r>
        <w:rPr>
          <w:rFonts w:ascii="仿宋_GB2312" w:eastAsia="仿宋_GB2312" w:hAnsi="Times New Roman" w:cs="仿宋_GB2312" w:hint="eastAsia"/>
          <w:sz w:val="30"/>
          <w:szCs w:val="30"/>
        </w:rPr>
        <w:t>跌幅</w:t>
      </w:r>
      <w:r>
        <w:rPr>
          <w:rFonts w:ascii="仿宋" w:eastAsia="仿宋_GB2312" w:hAnsi="仿宋" w:hint="eastAsia"/>
          <w:sz w:val="30"/>
          <w:szCs w:val="30"/>
        </w:rPr>
        <w:t>XX</w:t>
      </w:r>
      <w:r>
        <w:rPr>
          <w:rFonts w:ascii="仿宋_GB2312" w:eastAsia="仿宋_GB2312" w:hAnsi="Times New Roman" w:cs="仿宋_GB2312" w:hint="eastAsia"/>
          <w:sz w:val="30"/>
          <w:szCs w:val="30"/>
        </w:rPr>
        <w:t>%</w:t>
      </w:r>
      <w:r>
        <w:rPr>
          <w:rFonts w:ascii="仿宋_GB2312" w:eastAsia="仿宋_GB2312" w:hAnsi="Times New Roman" w:cs="仿宋_GB2312" w:hint="eastAsia"/>
          <w:sz w:val="30"/>
          <w:szCs w:val="30"/>
        </w:rPr>
        <w:t>，换手率</w:t>
      </w:r>
      <w:r>
        <w:rPr>
          <w:rFonts w:ascii="仿宋" w:eastAsia="仿宋_GB2312" w:hAnsi="仿宋" w:hint="eastAsia"/>
          <w:sz w:val="30"/>
          <w:szCs w:val="30"/>
        </w:rPr>
        <w:t>XX</w:t>
      </w:r>
      <w:r>
        <w:rPr>
          <w:rFonts w:ascii="仿宋_GB2312" w:eastAsia="仿宋_GB2312" w:hAnsi="Times New Roman" w:cs="仿宋_GB2312" w:hint="eastAsia"/>
          <w:sz w:val="30"/>
          <w:szCs w:val="30"/>
        </w:rPr>
        <w:t>%</w:t>
      </w:r>
      <w:r>
        <w:rPr>
          <w:rFonts w:ascii="仿宋_GB2312" w:eastAsia="仿宋_GB2312" w:hAnsi="Times New Roman" w:cs="仿宋_GB2312" w:hint="eastAsia"/>
          <w:sz w:val="30"/>
          <w:szCs w:val="30"/>
        </w:rPr>
        <w:t>。最近</w:t>
      </w:r>
      <w:r>
        <w:rPr>
          <w:rFonts w:ascii="仿宋" w:eastAsia="仿宋_GB2312" w:hAnsi="仿宋" w:hint="eastAsia"/>
          <w:sz w:val="30"/>
          <w:szCs w:val="30"/>
        </w:rPr>
        <w:t>XX</w:t>
      </w:r>
      <w:r>
        <w:rPr>
          <w:rFonts w:ascii="仿宋" w:eastAsia="仿宋_GB2312" w:hAnsi="仿宋" w:hint="eastAsia"/>
          <w:sz w:val="30"/>
          <w:szCs w:val="30"/>
        </w:rPr>
        <w:t>个交易日，累计</w:t>
      </w:r>
      <w:r>
        <w:rPr>
          <w:rFonts w:ascii="仿宋_GB2312" w:eastAsia="仿宋_GB2312" w:hAnsi="Times New Roman" w:cs="仿宋_GB2312" w:hint="eastAsia"/>
          <w:sz w:val="30"/>
          <w:szCs w:val="30"/>
        </w:rPr>
        <w:t>涨幅</w:t>
      </w:r>
      <w:r>
        <w:rPr>
          <w:rFonts w:ascii="仿宋_GB2312" w:eastAsia="仿宋_GB2312" w:hAnsi="Times New Roman" w:cs="仿宋_GB2312" w:hint="eastAsia"/>
          <w:sz w:val="30"/>
          <w:szCs w:val="30"/>
        </w:rPr>
        <w:t>/</w:t>
      </w:r>
      <w:r>
        <w:rPr>
          <w:rFonts w:ascii="仿宋_GB2312" w:eastAsia="仿宋_GB2312" w:hAnsi="Times New Roman" w:cs="仿宋_GB2312" w:hint="eastAsia"/>
          <w:sz w:val="30"/>
          <w:szCs w:val="30"/>
        </w:rPr>
        <w:t>跌幅达到</w:t>
      </w:r>
      <w:r>
        <w:rPr>
          <w:rFonts w:ascii="仿宋" w:eastAsia="仿宋_GB2312" w:hAnsi="仿宋" w:hint="eastAsia"/>
          <w:sz w:val="30"/>
          <w:szCs w:val="30"/>
        </w:rPr>
        <w:t>XX</w:t>
      </w:r>
      <w:r>
        <w:rPr>
          <w:rFonts w:ascii="仿宋_GB2312" w:eastAsia="仿宋_GB2312" w:hAnsi="Times New Roman" w:cs="仿宋_GB2312" w:hint="eastAsia"/>
          <w:sz w:val="30"/>
          <w:szCs w:val="30"/>
        </w:rPr>
        <w:t>%</w:t>
      </w:r>
      <w:r>
        <w:rPr>
          <w:rFonts w:ascii="仿宋_GB2312" w:eastAsia="仿宋_GB2312" w:hAnsi="仿宋_GB2312" w:cs="仿宋_GB2312" w:hint="eastAsia"/>
          <w:sz w:val="30"/>
          <w:szCs w:val="30"/>
        </w:rPr>
        <w:t>”等。</w:t>
      </w:r>
    </w:p>
    <w:p w14:paraId="2B544A6D" w14:textId="77777777" w:rsidR="001F1892" w:rsidRDefault="001F1892">
      <w:pPr>
        <w:autoSpaceDE w:val="0"/>
        <w:autoSpaceDN w:val="0"/>
        <w:adjustRightInd w:val="0"/>
        <w:snapToGrid w:val="0"/>
        <w:spacing w:line="560" w:lineRule="exact"/>
        <w:ind w:firstLineChars="200" w:firstLine="600"/>
        <w:rPr>
          <w:rFonts w:ascii="仿宋" w:eastAsia="仿宋_GB2312" w:hAnsi="仿宋"/>
          <w:sz w:val="30"/>
          <w:szCs w:val="30"/>
        </w:rPr>
      </w:pPr>
    </w:p>
    <w:p w14:paraId="5E12CB8F" w14:textId="77777777" w:rsidR="001F1892" w:rsidRDefault="00B7124B">
      <w:pPr>
        <w:adjustRightInd w:val="0"/>
        <w:snapToGrid w:val="0"/>
        <w:spacing w:line="560" w:lineRule="exact"/>
        <w:ind w:firstLineChars="200" w:firstLine="602"/>
        <w:rPr>
          <w:rFonts w:ascii="黑体" w:eastAsia="黑体" w:hAnsi="黑体"/>
          <w:b/>
          <w:color w:val="000000"/>
          <w:sz w:val="30"/>
          <w:szCs w:val="30"/>
        </w:rPr>
      </w:pPr>
      <w:r>
        <w:rPr>
          <w:rFonts w:ascii="黑体" w:eastAsia="黑体" w:hAnsi="黑体" w:hint="eastAsia"/>
          <w:b/>
          <w:color w:val="000000"/>
          <w:sz w:val="30"/>
          <w:szCs w:val="30"/>
        </w:rPr>
        <w:t>三、上市公司关注并核查的相关情况</w:t>
      </w:r>
    </w:p>
    <w:p w14:paraId="6A660586" w14:textId="77777777" w:rsidR="001F1892" w:rsidRDefault="00B7124B">
      <w:pPr>
        <w:pStyle w:val="ab"/>
        <w:shd w:val="clear" w:color="auto" w:fill="FFFFFF"/>
        <w:spacing w:before="0" w:beforeAutospacing="0" w:after="0" w:afterAutospacing="0"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上市公司可转债交易出现异常波动或严重异常波动等情形的，上市公司应当自查核实如下事项，并向控股股东、实际控制人等相关方函询相关情况。同时，应当就核查发现的重大事项、相关进展及变化的实际情况等予以披露。上市公司经核查认为相关重大事项不存在或未有相关进展、变化的，也应当说明核查事项、核查过程及核查结果。</w:t>
      </w:r>
    </w:p>
    <w:p w14:paraId="3F67407F" w14:textId="77777777" w:rsidR="001F1892" w:rsidRDefault="00B7124B">
      <w:pPr>
        <w:spacing w:line="56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（一）是否存在导致可转债价格异常波动或者相关交易指标出现异常的未披露事项，包括公司</w:t>
      </w:r>
      <w:r>
        <w:rPr>
          <w:rFonts w:ascii="仿宋_GB2312" w:eastAsia="仿宋_GB2312" w:hint="eastAsia"/>
          <w:color w:val="000000"/>
          <w:sz w:val="30"/>
          <w:szCs w:val="30"/>
        </w:rPr>
        <w:t>日常经营情况及外部环境是否或预计将要发生重大变化、近期是否签订重大合同等</w:t>
      </w:r>
      <w:r>
        <w:rPr>
          <w:rFonts w:ascii="仿宋_GB2312" w:eastAsia="仿宋_GB2312" w:hAnsi="仿宋_GB2312" w:cs="仿宋_GB2312" w:hint="eastAsia"/>
          <w:kern w:val="0"/>
          <w:sz w:val="30"/>
          <w:szCs w:val="30"/>
        </w:rPr>
        <w:t>，公司或其控股股东、实际控制人、相关方等是否正在筹划涉及上市公司的重大资产重组、</w:t>
      </w:r>
      <w:r>
        <w:rPr>
          <w:rFonts w:ascii="仿宋_GB2312" w:eastAsia="仿宋_GB2312" w:hint="eastAsia"/>
          <w:color w:val="000000"/>
          <w:sz w:val="30"/>
          <w:szCs w:val="30"/>
        </w:rPr>
        <w:t>股份发行、收购</w:t>
      </w:r>
      <w:r>
        <w:rPr>
          <w:rFonts w:ascii="仿宋_GB2312" w:eastAsia="仿宋_GB2312" w:hAnsi="仿宋_GB2312" w:cs="仿宋_GB2312" w:hint="eastAsia"/>
          <w:kern w:val="0"/>
          <w:sz w:val="30"/>
          <w:szCs w:val="30"/>
        </w:rPr>
        <w:t>等重大事项，以及是否涉及相关</w:t>
      </w:r>
      <w:r>
        <w:rPr>
          <w:rFonts w:ascii="仿宋_GB2312" w:eastAsia="仿宋_GB2312" w:hint="eastAsia"/>
          <w:color w:val="000000"/>
          <w:sz w:val="30"/>
          <w:szCs w:val="30"/>
        </w:rPr>
        <w:t>媒体报道、市场传闻、热点概念情况等，并说明</w:t>
      </w:r>
      <w:r>
        <w:rPr>
          <w:rFonts w:ascii="仿宋_GB2312" w:eastAsia="仿宋_GB2312" w:hAnsi="仿宋_GB2312" w:cs="仿宋_GB2312" w:hint="eastAsia"/>
          <w:kern w:val="0"/>
          <w:sz w:val="30"/>
          <w:szCs w:val="30"/>
        </w:rPr>
        <w:t>前期披露的信息是否存在需要更正、补充之处；</w:t>
      </w:r>
    </w:p>
    <w:p w14:paraId="6EC2E8A1" w14:textId="77777777" w:rsidR="001F1892" w:rsidRDefault="00B7124B">
      <w:pPr>
        <w:spacing w:line="56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（二）可转债价格偏离可转债价值的程度；</w:t>
      </w:r>
    </w:p>
    <w:p w14:paraId="308DFB73" w14:textId="77777777" w:rsidR="001F1892" w:rsidRDefault="00B7124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（三）上市公司董事、高级管理人员、实际控制人、控股股东及其一致行动人买卖公司可转债的情况；</w:t>
      </w:r>
    </w:p>
    <w:p w14:paraId="28BD4151" w14:textId="77777777" w:rsidR="001F1892" w:rsidRDefault="00B7124B">
      <w:pPr>
        <w:spacing w:line="56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（四）是否存在其他</w:t>
      </w:r>
      <w:r>
        <w:rPr>
          <w:rFonts w:ascii="仿宋_GB2312" w:eastAsia="仿宋_GB2312" w:hint="eastAsia"/>
          <w:color w:val="000000"/>
          <w:sz w:val="30"/>
          <w:szCs w:val="30"/>
        </w:rPr>
        <w:t>导致可转债</w:t>
      </w:r>
      <w:r>
        <w:rPr>
          <w:rFonts w:ascii="仿宋_GB2312" w:eastAsia="仿宋_GB2312" w:hAnsi="仿宋_GB2312" w:cs="仿宋_GB2312" w:hint="eastAsia"/>
          <w:kern w:val="0"/>
          <w:sz w:val="30"/>
          <w:szCs w:val="30"/>
        </w:rPr>
        <w:t>交易异常的重大信息或者重大风险事项，并说明是否存在违反信息公平披露的情形。</w:t>
      </w:r>
    </w:p>
    <w:p w14:paraId="356F0AE6" w14:textId="77777777" w:rsidR="001F1892" w:rsidRDefault="001F1892">
      <w:pPr>
        <w:spacing w:line="560" w:lineRule="exact"/>
        <w:ind w:firstLineChars="200" w:firstLine="600"/>
        <w:rPr>
          <w:rFonts w:ascii="仿宋_GB2312" w:eastAsia="仿宋_GB2312" w:hAnsi="仿宋_GB2312" w:cs="仿宋_GB2312"/>
          <w:kern w:val="0"/>
          <w:sz w:val="30"/>
          <w:szCs w:val="30"/>
        </w:rPr>
      </w:pPr>
    </w:p>
    <w:p w14:paraId="55CC4BD0" w14:textId="77777777" w:rsidR="001F1892" w:rsidRDefault="00B7124B">
      <w:pPr>
        <w:adjustRightInd w:val="0"/>
        <w:snapToGrid w:val="0"/>
        <w:spacing w:line="560" w:lineRule="exact"/>
        <w:ind w:firstLineChars="200" w:firstLine="602"/>
        <w:rPr>
          <w:rFonts w:ascii="黑体" w:eastAsia="黑体" w:hAnsi="黑体"/>
          <w:b/>
          <w:color w:val="000000"/>
          <w:sz w:val="30"/>
          <w:szCs w:val="30"/>
        </w:rPr>
      </w:pPr>
      <w:r>
        <w:rPr>
          <w:rFonts w:ascii="黑体" w:eastAsia="黑体" w:hAnsi="黑体" w:hint="eastAsia"/>
          <w:b/>
          <w:color w:val="000000"/>
          <w:sz w:val="30"/>
          <w:szCs w:val="30"/>
        </w:rPr>
        <w:t>四、可转债交易风险提示</w:t>
      </w:r>
    </w:p>
    <w:p w14:paraId="4AE8B3DD" w14:textId="77777777" w:rsidR="001F1892" w:rsidRDefault="00B7124B">
      <w:pPr>
        <w:pStyle w:val="ab"/>
        <w:shd w:val="clear" w:color="auto" w:fill="FFFFFF"/>
        <w:spacing w:before="0" w:beforeAutospacing="0" w:after="0" w:afterAutospacing="0" w:line="560" w:lineRule="exact"/>
        <w:ind w:firstLineChars="200" w:firstLine="600"/>
        <w:jc w:val="both"/>
        <w:rPr>
          <w:rFonts w:ascii="仿宋_GB2312" w:eastAsia="仿宋_GB2312" w:hAnsi="Times New Roman" w:cs="仿宋_GB2312"/>
          <w:sz w:val="30"/>
          <w:szCs w:val="30"/>
        </w:rPr>
      </w:pPr>
      <w:r>
        <w:rPr>
          <w:rFonts w:ascii="仿宋_GB2312" w:eastAsia="仿宋_GB2312" w:hAnsi="Times New Roman" w:cs="仿宋_GB2312" w:hint="eastAsia"/>
          <w:sz w:val="30"/>
          <w:szCs w:val="30"/>
        </w:rPr>
        <w:t>（一）截至</w:t>
      </w:r>
      <w:r>
        <w:rPr>
          <w:rFonts w:ascii="仿宋" w:eastAsia="仿宋_GB2312" w:hAnsi="仿宋" w:hint="eastAsia"/>
          <w:sz w:val="30"/>
          <w:szCs w:val="30"/>
        </w:rPr>
        <w:t>XXXX</w:t>
      </w:r>
      <w:r>
        <w:rPr>
          <w:rFonts w:ascii="仿宋_GB2312" w:eastAsia="仿宋_GB2312" w:hAnsi="Times New Roman" w:cs="仿宋_GB2312" w:hint="eastAsia"/>
          <w:sz w:val="30"/>
          <w:szCs w:val="30"/>
        </w:rPr>
        <w:t>年</w:t>
      </w:r>
      <w:r>
        <w:rPr>
          <w:rFonts w:ascii="仿宋" w:eastAsia="仿宋_GB2312" w:hAnsi="仿宋" w:hint="eastAsia"/>
          <w:sz w:val="30"/>
          <w:szCs w:val="30"/>
        </w:rPr>
        <w:t>XX</w:t>
      </w:r>
      <w:r>
        <w:rPr>
          <w:rFonts w:ascii="仿宋_GB2312" w:eastAsia="仿宋_GB2312" w:hAnsi="Times New Roman" w:cs="仿宋_GB2312" w:hint="eastAsia"/>
          <w:sz w:val="30"/>
          <w:szCs w:val="30"/>
        </w:rPr>
        <w:t>月</w:t>
      </w:r>
      <w:r>
        <w:rPr>
          <w:rFonts w:ascii="仿宋" w:eastAsia="仿宋_GB2312" w:hAnsi="仿宋" w:hint="eastAsia"/>
          <w:sz w:val="30"/>
          <w:szCs w:val="30"/>
        </w:rPr>
        <w:t>XX</w:t>
      </w:r>
      <w:r>
        <w:rPr>
          <w:rFonts w:ascii="仿宋_GB2312" w:eastAsia="仿宋_GB2312" w:hAnsi="Times New Roman" w:cs="仿宋_GB2312" w:hint="eastAsia"/>
          <w:sz w:val="30"/>
          <w:szCs w:val="30"/>
        </w:rPr>
        <w:t>日，可转债价格</w:t>
      </w:r>
      <w:r>
        <w:rPr>
          <w:rFonts w:ascii="仿宋" w:eastAsia="仿宋_GB2312" w:hAnsi="仿宋" w:hint="eastAsia"/>
          <w:sz w:val="30"/>
          <w:szCs w:val="30"/>
        </w:rPr>
        <w:t>XX</w:t>
      </w:r>
      <w:r>
        <w:rPr>
          <w:rFonts w:ascii="仿宋_GB2312" w:eastAsia="仿宋_GB2312" w:hAnsi="Times New Roman" w:cs="仿宋_GB2312" w:hint="eastAsia"/>
          <w:sz w:val="30"/>
          <w:szCs w:val="30"/>
        </w:rPr>
        <w:t>元</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张，相对于票面价格溢价</w:t>
      </w:r>
      <w:r>
        <w:rPr>
          <w:rFonts w:ascii="仿宋" w:eastAsia="仿宋_GB2312" w:hAnsi="仿宋" w:hint="eastAsia"/>
          <w:sz w:val="30"/>
          <w:szCs w:val="30"/>
        </w:rPr>
        <w:t>XX</w:t>
      </w:r>
      <w:r>
        <w:rPr>
          <w:rFonts w:ascii="仿宋_GB2312" w:eastAsia="仿宋_GB2312" w:hAnsi="Times New Roman" w:cs="仿宋_GB2312" w:hint="eastAsia"/>
          <w:sz w:val="30"/>
          <w:szCs w:val="30"/>
        </w:rPr>
        <w:t>%</w:t>
      </w:r>
      <w:r>
        <w:rPr>
          <w:rFonts w:ascii="仿宋_GB2312" w:eastAsia="仿宋_GB2312" w:hAnsi="Times New Roman" w:cs="仿宋_GB2312" w:hint="eastAsia"/>
          <w:sz w:val="30"/>
          <w:szCs w:val="30"/>
        </w:rPr>
        <w:t>。同时，</w:t>
      </w:r>
      <w:r>
        <w:rPr>
          <w:rFonts w:ascii="仿宋_GB2312" w:eastAsia="仿宋_GB2312" w:hAnsi="Times New Roman" w:cs="仿宋_GB2312"/>
          <w:sz w:val="30"/>
          <w:szCs w:val="30"/>
        </w:rPr>
        <w:t>“</w:t>
      </w:r>
      <w:r>
        <w:rPr>
          <w:rFonts w:ascii="仿宋" w:eastAsia="仿宋_GB2312" w:hAnsi="仿宋" w:hint="eastAsia"/>
          <w:sz w:val="30"/>
          <w:szCs w:val="30"/>
        </w:rPr>
        <w:t>XX</w:t>
      </w:r>
      <w:r>
        <w:rPr>
          <w:rFonts w:ascii="仿宋_GB2312" w:eastAsia="仿宋_GB2312" w:hAnsi="Times New Roman" w:cs="仿宋_GB2312" w:hint="eastAsia"/>
          <w:sz w:val="30"/>
          <w:szCs w:val="30"/>
        </w:rPr>
        <w:t>转债</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按照当前转股价格转换后的价值为</w:t>
      </w:r>
      <w:r>
        <w:rPr>
          <w:rFonts w:ascii="仿宋" w:eastAsia="仿宋_GB2312" w:hAnsi="仿宋" w:hint="eastAsia"/>
          <w:sz w:val="30"/>
          <w:szCs w:val="30"/>
        </w:rPr>
        <w:t>XX</w:t>
      </w:r>
      <w:r>
        <w:rPr>
          <w:rFonts w:ascii="仿宋_GB2312" w:eastAsia="仿宋_GB2312" w:hAnsi="Times New Roman" w:cs="仿宋_GB2312" w:hint="eastAsia"/>
          <w:sz w:val="30"/>
          <w:szCs w:val="30"/>
        </w:rPr>
        <w:t>元（转股价值），可转债价格相对于转股价值溢价</w:t>
      </w:r>
      <w:r>
        <w:rPr>
          <w:rFonts w:ascii="仿宋" w:eastAsia="仿宋_GB2312" w:hAnsi="仿宋" w:hint="eastAsia"/>
          <w:sz w:val="30"/>
          <w:szCs w:val="30"/>
        </w:rPr>
        <w:t>XX</w:t>
      </w:r>
      <w:r>
        <w:rPr>
          <w:rFonts w:ascii="仿宋_GB2312" w:eastAsia="仿宋_GB2312" w:hAnsi="Times New Roman" w:cs="仿宋_GB2312" w:hint="eastAsia"/>
          <w:sz w:val="30"/>
          <w:szCs w:val="30"/>
        </w:rPr>
        <w:t>%</w:t>
      </w:r>
      <w:r>
        <w:rPr>
          <w:rFonts w:ascii="仿宋_GB2312" w:eastAsia="仿宋_GB2312" w:hAnsi="Times New Roman" w:cs="仿宋_GB2312" w:hint="eastAsia"/>
          <w:sz w:val="30"/>
          <w:szCs w:val="30"/>
        </w:rPr>
        <w:t>。当前</w:t>
      </w:r>
      <w:r>
        <w:rPr>
          <w:rFonts w:ascii="仿宋_GB2312" w:eastAsia="仿宋_GB2312" w:hAnsi="Times New Roman" w:cs="仿宋_GB2312"/>
          <w:sz w:val="30"/>
          <w:szCs w:val="30"/>
        </w:rPr>
        <w:t>“</w:t>
      </w:r>
      <w:r>
        <w:rPr>
          <w:rFonts w:ascii="仿宋" w:eastAsia="仿宋_GB2312" w:hAnsi="仿宋" w:hint="eastAsia"/>
          <w:sz w:val="30"/>
          <w:szCs w:val="30"/>
        </w:rPr>
        <w:t>XX</w:t>
      </w:r>
      <w:r>
        <w:rPr>
          <w:rFonts w:ascii="仿宋_GB2312" w:eastAsia="仿宋_GB2312" w:hAnsi="Times New Roman" w:cs="仿宋_GB2312" w:hint="eastAsia"/>
          <w:sz w:val="30"/>
          <w:szCs w:val="30"/>
        </w:rPr>
        <w:t>转债</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存在较大的估值风险。</w:t>
      </w:r>
      <w:r>
        <w:rPr>
          <w:rFonts w:ascii="仿宋_GB2312" w:eastAsia="仿宋_GB2312" w:hAnsi="Times New Roman" w:cs="仿宋_GB2312"/>
          <w:sz w:val="30"/>
          <w:szCs w:val="30"/>
        </w:rPr>
        <w:t xml:space="preserve"> </w:t>
      </w:r>
    </w:p>
    <w:p w14:paraId="50EFA78D" w14:textId="77777777" w:rsidR="001F1892" w:rsidRDefault="00B7124B">
      <w:pPr>
        <w:pStyle w:val="ab"/>
        <w:shd w:val="clear" w:color="auto" w:fill="FFFFFF"/>
        <w:spacing w:before="0" w:beforeAutospacing="0" w:after="0" w:afterAutospacing="0" w:line="560" w:lineRule="exact"/>
        <w:ind w:firstLineChars="200" w:firstLine="600"/>
        <w:jc w:val="both"/>
        <w:rPr>
          <w:rFonts w:ascii="仿宋_GB2312" w:eastAsia="仿宋_GB2312" w:hAnsi="Times New Roman" w:cs="仿宋_GB2312"/>
          <w:sz w:val="30"/>
          <w:szCs w:val="30"/>
        </w:rPr>
      </w:pPr>
      <w:r>
        <w:rPr>
          <w:rFonts w:ascii="仿宋_GB2312" w:eastAsia="仿宋_GB2312" w:hAnsi="Times New Roman" w:cs="仿宋_GB2312" w:hint="eastAsia"/>
          <w:sz w:val="30"/>
          <w:szCs w:val="30"/>
        </w:rPr>
        <w:t>（二）可转债可能触发赎回条款的风险提示。（如适用）</w:t>
      </w:r>
    </w:p>
    <w:p w14:paraId="163B867C" w14:textId="79AB1475" w:rsidR="001F1892" w:rsidRDefault="00B7124B" w:rsidP="00A27B44">
      <w:pPr>
        <w:pStyle w:val="ab"/>
        <w:shd w:val="clear" w:color="auto" w:fill="FFFFFF"/>
        <w:spacing w:before="0" w:beforeAutospacing="0" w:after="0" w:afterAutospacing="0" w:line="560" w:lineRule="exact"/>
        <w:ind w:firstLineChars="200" w:firstLine="480"/>
        <w:jc w:val="both"/>
        <w:rPr>
          <w:rFonts w:ascii="仿宋_GB2312" w:eastAsia="仿宋_GB2312" w:hAnsi="Times New Roman" w:cs="仿宋_GB2312"/>
          <w:sz w:val="30"/>
          <w:szCs w:val="30"/>
        </w:rPr>
      </w:pPr>
      <w:r>
        <w:rPr>
          <w:rFonts w:ascii="楷体" w:eastAsia="楷体" w:hAnsi="楷体" w:cstheme="minorBidi" w:hint="eastAsia"/>
          <w:kern w:val="2"/>
        </w:rPr>
        <w:t>（编制提醒：</w:t>
      </w:r>
      <w:r w:rsidRPr="00A27B44">
        <w:rPr>
          <w:rFonts w:ascii="楷体" w:eastAsia="楷体" w:hAnsi="楷体" w:cstheme="minorBidi" w:hint="eastAsia"/>
          <w:kern w:val="2"/>
        </w:rPr>
        <w:t>比如，根据募集说明书相关约定，当公司</w:t>
      </w:r>
      <w:r w:rsidRPr="00A27B44">
        <w:rPr>
          <w:rFonts w:ascii="楷体" w:eastAsia="楷体" w:hAnsi="楷体" w:cstheme="minorBidi"/>
          <w:kern w:val="2"/>
        </w:rPr>
        <w:t>A</w:t>
      </w:r>
      <w:r w:rsidRPr="00A27B44">
        <w:rPr>
          <w:rFonts w:ascii="楷体" w:eastAsia="楷体" w:hAnsi="楷体" w:cstheme="minorBidi" w:hint="eastAsia"/>
          <w:kern w:val="2"/>
        </w:rPr>
        <w:t>股股票连续</w:t>
      </w:r>
      <w:r w:rsidRPr="00A27B44">
        <w:rPr>
          <w:rFonts w:ascii="楷体" w:eastAsia="楷体" w:hAnsi="楷体" w:cstheme="minorBidi" w:hint="eastAsia"/>
          <w:kern w:val="2"/>
        </w:rPr>
        <w:t>XX</w:t>
      </w:r>
      <w:r w:rsidRPr="00A27B44">
        <w:rPr>
          <w:rFonts w:ascii="楷体" w:eastAsia="楷体" w:hAnsi="楷体" w:cstheme="minorBidi" w:hint="eastAsia"/>
          <w:kern w:val="2"/>
        </w:rPr>
        <w:t>个交易日中至少有</w:t>
      </w:r>
      <w:r w:rsidRPr="00A27B44">
        <w:rPr>
          <w:rFonts w:ascii="楷体" w:eastAsia="楷体" w:hAnsi="楷体" w:cstheme="minorBidi" w:hint="eastAsia"/>
          <w:kern w:val="2"/>
        </w:rPr>
        <w:t>XX</w:t>
      </w:r>
      <w:r w:rsidRPr="00A27B44">
        <w:rPr>
          <w:rFonts w:ascii="楷体" w:eastAsia="楷体" w:hAnsi="楷体" w:cstheme="minorBidi" w:hint="eastAsia"/>
          <w:kern w:val="2"/>
        </w:rPr>
        <w:t>个交易日的收盘价格不低于当期转股价格的</w:t>
      </w:r>
      <w:r w:rsidRPr="00A27B44">
        <w:rPr>
          <w:rFonts w:ascii="楷体" w:eastAsia="楷体" w:hAnsi="楷体" w:cstheme="minorBidi" w:hint="eastAsia"/>
          <w:kern w:val="2"/>
        </w:rPr>
        <w:t xml:space="preserve"> </w:t>
      </w:r>
      <w:r w:rsidRPr="00A27B44">
        <w:rPr>
          <w:rFonts w:ascii="楷体" w:eastAsia="楷体" w:hAnsi="楷体" w:cstheme="minorBidi"/>
          <w:kern w:val="2"/>
        </w:rPr>
        <w:t>130%</w:t>
      </w:r>
      <w:r w:rsidRPr="00A27B44">
        <w:rPr>
          <w:rFonts w:ascii="楷体" w:eastAsia="楷体" w:hAnsi="楷体" w:cstheme="minorBidi" w:hint="eastAsia"/>
          <w:kern w:val="2"/>
        </w:rPr>
        <w:t>（含</w:t>
      </w:r>
      <w:r w:rsidRPr="00A27B44">
        <w:rPr>
          <w:rFonts w:ascii="楷体" w:eastAsia="楷体" w:hAnsi="楷体" w:cstheme="minorBidi"/>
          <w:kern w:val="2"/>
        </w:rPr>
        <w:t>130%</w:t>
      </w:r>
      <w:r w:rsidRPr="00A27B44">
        <w:rPr>
          <w:rFonts w:ascii="楷体" w:eastAsia="楷体" w:hAnsi="楷体" w:cstheme="minorBidi" w:hint="eastAsia"/>
          <w:kern w:val="2"/>
        </w:rPr>
        <w:t>），发行人有权按照债券面值加当期应计利息的价格赎回全部或部分未转股的可转债。截至</w:t>
      </w:r>
      <w:r w:rsidRPr="00A27B44">
        <w:rPr>
          <w:rFonts w:ascii="楷体" w:eastAsia="楷体" w:hAnsi="楷体" w:cstheme="minorBidi" w:hint="eastAsia"/>
          <w:kern w:val="2"/>
        </w:rPr>
        <w:t>XXXX</w:t>
      </w:r>
      <w:r w:rsidRPr="00A27B44">
        <w:rPr>
          <w:rFonts w:ascii="楷体" w:eastAsia="楷体" w:hAnsi="楷体" w:cstheme="minorBidi" w:hint="eastAsia"/>
          <w:kern w:val="2"/>
        </w:rPr>
        <w:t>年</w:t>
      </w:r>
      <w:r w:rsidRPr="00A27B44">
        <w:rPr>
          <w:rFonts w:ascii="楷体" w:eastAsia="楷体" w:hAnsi="楷体" w:cstheme="minorBidi" w:hint="eastAsia"/>
          <w:kern w:val="2"/>
        </w:rPr>
        <w:t>XX</w:t>
      </w:r>
      <w:r w:rsidRPr="00A27B44">
        <w:rPr>
          <w:rFonts w:ascii="楷体" w:eastAsia="楷体" w:hAnsi="楷体" w:cstheme="minorBidi" w:hint="eastAsia"/>
          <w:kern w:val="2"/>
        </w:rPr>
        <w:t>月</w:t>
      </w:r>
      <w:r w:rsidRPr="00A27B44">
        <w:rPr>
          <w:rFonts w:ascii="楷体" w:eastAsia="楷体" w:hAnsi="楷体" w:cstheme="minorBidi" w:hint="eastAsia"/>
          <w:kern w:val="2"/>
        </w:rPr>
        <w:t>XX</w:t>
      </w:r>
      <w:r w:rsidRPr="00A27B44">
        <w:rPr>
          <w:rFonts w:ascii="楷体" w:eastAsia="楷体" w:hAnsi="楷体" w:cstheme="minorBidi" w:hint="eastAsia"/>
          <w:kern w:val="2"/>
        </w:rPr>
        <w:t>日，公司股票在任何连续</w:t>
      </w:r>
      <w:r w:rsidRPr="00A27B44">
        <w:rPr>
          <w:rFonts w:ascii="楷体" w:eastAsia="楷体" w:hAnsi="楷体" w:cstheme="minorBidi" w:hint="eastAsia"/>
          <w:kern w:val="2"/>
        </w:rPr>
        <w:t>XX</w:t>
      </w:r>
      <w:r w:rsidRPr="00A27B44">
        <w:rPr>
          <w:rFonts w:ascii="楷体" w:eastAsia="楷体" w:hAnsi="楷体" w:cstheme="minorBidi" w:hint="eastAsia"/>
          <w:kern w:val="2"/>
        </w:rPr>
        <w:t>个交易日中已有</w:t>
      </w:r>
      <w:r w:rsidRPr="00A27B44">
        <w:rPr>
          <w:rFonts w:ascii="楷体" w:eastAsia="楷体" w:hAnsi="楷体" w:cstheme="minorBidi" w:hint="eastAsia"/>
          <w:kern w:val="2"/>
        </w:rPr>
        <w:t>XX</w:t>
      </w:r>
      <w:r w:rsidRPr="00A27B44">
        <w:rPr>
          <w:rFonts w:ascii="楷体" w:eastAsia="楷体" w:hAnsi="楷体" w:cstheme="minorBidi" w:hint="eastAsia"/>
          <w:kern w:val="2"/>
        </w:rPr>
        <w:t>个交易日的收盘价格不低于当期转股价格的</w:t>
      </w:r>
      <w:r w:rsidRPr="00A27B44">
        <w:rPr>
          <w:rFonts w:ascii="楷体" w:eastAsia="楷体" w:hAnsi="楷体" w:cstheme="minorBidi"/>
          <w:kern w:val="2"/>
        </w:rPr>
        <w:t>130%</w:t>
      </w:r>
      <w:r w:rsidRPr="00A27B44">
        <w:rPr>
          <w:rFonts w:ascii="楷体" w:eastAsia="楷体" w:hAnsi="楷体" w:cstheme="minorBidi" w:hint="eastAsia"/>
          <w:kern w:val="2"/>
        </w:rPr>
        <w:t>（触及时适用），存在一定的赎回风险。</w:t>
      </w:r>
      <w:r w:rsidRPr="00A27B44">
        <w:rPr>
          <w:rFonts w:ascii="楷体" w:eastAsia="楷体" w:hAnsi="楷体" w:cstheme="minorBidi" w:hint="eastAsia"/>
          <w:kern w:val="2"/>
        </w:rPr>
        <w:t>或者，根据募集说明书相关约定，当本次发行的可转换公司债券未转股余额不足</w:t>
      </w:r>
      <w:r w:rsidRPr="00A27B44">
        <w:rPr>
          <w:rFonts w:ascii="楷体" w:eastAsia="楷体" w:hAnsi="楷体" w:cstheme="minorBidi"/>
          <w:kern w:val="2"/>
        </w:rPr>
        <w:t>3,000</w:t>
      </w:r>
      <w:r w:rsidRPr="00A27B44">
        <w:rPr>
          <w:rFonts w:ascii="楷体" w:eastAsia="楷体" w:hAnsi="楷体" w:cstheme="minorBidi" w:hint="eastAsia"/>
          <w:kern w:val="2"/>
        </w:rPr>
        <w:t>万元时，发行人将按照面值加当期应计利息的价格赎回全部未转股的可转债。截至</w:t>
      </w:r>
      <w:r w:rsidRPr="00A27B44">
        <w:rPr>
          <w:rFonts w:ascii="楷体" w:eastAsia="楷体" w:hAnsi="楷体" w:cstheme="minorBidi" w:hint="eastAsia"/>
          <w:kern w:val="2"/>
        </w:rPr>
        <w:t>XXXX</w:t>
      </w:r>
      <w:r w:rsidRPr="00A27B44">
        <w:rPr>
          <w:rFonts w:ascii="楷体" w:eastAsia="楷体" w:hAnsi="楷体" w:cstheme="minorBidi" w:hint="eastAsia"/>
          <w:kern w:val="2"/>
        </w:rPr>
        <w:t>年</w:t>
      </w:r>
      <w:r w:rsidRPr="00A27B44">
        <w:rPr>
          <w:rFonts w:ascii="楷体" w:eastAsia="楷体" w:hAnsi="楷体" w:cstheme="minorBidi" w:hint="eastAsia"/>
          <w:kern w:val="2"/>
        </w:rPr>
        <w:t>XX</w:t>
      </w:r>
      <w:r w:rsidRPr="00A27B44">
        <w:rPr>
          <w:rFonts w:ascii="楷体" w:eastAsia="楷体" w:hAnsi="楷体" w:cstheme="minorBidi" w:hint="eastAsia"/>
          <w:kern w:val="2"/>
        </w:rPr>
        <w:t>月</w:t>
      </w:r>
      <w:r w:rsidRPr="00A27B44">
        <w:rPr>
          <w:rFonts w:ascii="楷体" w:eastAsia="楷体" w:hAnsi="楷体" w:cstheme="minorBidi" w:hint="eastAsia"/>
          <w:kern w:val="2"/>
        </w:rPr>
        <w:t>XX</w:t>
      </w:r>
      <w:r w:rsidRPr="00A27B44">
        <w:rPr>
          <w:rFonts w:ascii="楷体" w:eastAsia="楷体" w:hAnsi="楷体" w:cstheme="minorBidi" w:hint="eastAsia"/>
          <w:kern w:val="2"/>
        </w:rPr>
        <w:t>日，本次发行的可转</w:t>
      </w:r>
      <w:r w:rsidRPr="00A27B44">
        <w:rPr>
          <w:rFonts w:ascii="楷体" w:eastAsia="楷体" w:hAnsi="楷体" w:cstheme="minorBidi" w:hint="eastAsia"/>
          <w:kern w:val="2"/>
        </w:rPr>
        <w:t>换公司债券未转股余额仅为</w:t>
      </w:r>
      <w:r w:rsidRPr="00A27B44">
        <w:rPr>
          <w:rFonts w:ascii="楷体" w:eastAsia="楷体" w:hAnsi="楷体" w:cstheme="minorBidi" w:hint="eastAsia"/>
          <w:kern w:val="2"/>
        </w:rPr>
        <w:t>XX</w:t>
      </w:r>
      <w:r w:rsidRPr="00A27B44">
        <w:rPr>
          <w:rFonts w:ascii="楷体" w:eastAsia="楷体" w:hAnsi="楷体" w:cstheme="minorBidi" w:hint="eastAsia"/>
          <w:kern w:val="2"/>
        </w:rPr>
        <w:t>万元（小于</w:t>
      </w:r>
      <w:r w:rsidRPr="00A27B44">
        <w:rPr>
          <w:rFonts w:ascii="楷体" w:eastAsia="楷体" w:hAnsi="楷体" w:cstheme="minorBidi" w:hint="eastAsia"/>
          <w:kern w:val="2"/>
        </w:rPr>
        <w:t>10</w:t>
      </w:r>
      <w:r w:rsidRPr="00A27B44">
        <w:rPr>
          <w:rFonts w:ascii="楷体" w:eastAsia="楷体" w:hAnsi="楷体" w:cstheme="minorBidi"/>
          <w:kern w:val="2"/>
        </w:rPr>
        <w:t>000</w:t>
      </w:r>
      <w:r w:rsidRPr="00A27B44">
        <w:rPr>
          <w:rFonts w:ascii="楷体" w:eastAsia="楷体" w:hAnsi="楷体" w:cstheme="minorBidi" w:hint="eastAsia"/>
          <w:kern w:val="2"/>
        </w:rPr>
        <w:t>万元时适用），存在一定的赎回风险。</w:t>
      </w:r>
      <w:r>
        <w:rPr>
          <w:rFonts w:ascii="楷体" w:eastAsia="楷体" w:hAnsi="楷体" w:cstheme="minorBidi" w:hint="eastAsia"/>
          <w:kern w:val="2"/>
        </w:rPr>
        <w:t>）</w:t>
      </w:r>
    </w:p>
    <w:p w14:paraId="595602FB" w14:textId="77777777" w:rsidR="001F1892" w:rsidRDefault="00B7124B">
      <w:pPr>
        <w:pStyle w:val="ab"/>
        <w:shd w:val="clear" w:color="auto" w:fill="FFFFFF"/>
        <w:spacing w:before="0" w:beforeAutospacing="0" w:after="0" w:afterAutospacing="0" w:line="560" w:lineRule="exact"/>
        <w:ind w:firstLineChars="200" w:firstLine="600"/>
        <w:jc w:val="both"/>
        <w:rPr>
          <w:rFonts w:ascii="仿宋_GB2312" w:eastAsia="仿宋_GB2312" w:hAnsi="Times New Roman" w:cs="仿宋_GB2312"/>
          <w:sz w:val="30"/>
          <w:szCs w:val="30"/>
        </w:rPr>
      </w:pPr>
      <w:r>
        <w:rPr>
          <w:rFonts w:ascii="仿宋_GB2312" w:eastAsia="仿宋_GB2312" w:hAnsi="Times New Roman" w:cs="仿宋_GB2312" w:hint="eastAsia"/>
          <w:sz w:val="30"/>
          <w:szCs w:val="30"/>
        </w:rPr>
        <w:t>（三）若</w:t>
      </w:r>
      <w:r>
        <w:rPr>
          <w:rFonts w:ascii="仿宋_GB2312" w:eastAsia="仿宋_GB2312" w:hAnsi="Times New Roman" w:cs="仿宋_GB2312"/>
          <w:sz w:val="30"/>
          <w:szCs w:val="30"/>
        </w:rPr>
        <w:t>“</w:t>
      </w:r>
      <w:r>
        <w:rPr>
          <w:rFonts w:ascii="仿宋_GB2312" w:eastAsia="仿宋_GB2312" w:hAnsi="Times New Roman" w:cs="仿宋_GB2312"/>
          <w:sz w:val="30"/>
          <w:szCs w:val="30"/>
        </w:rPr>
        <w:t>XX</w:t>
      </w:r>
      <w:r>
        <w:rPr>
          <w:rFonts w:ascii="仿宋_GB2312" w:eastAsia="仿宋_GB2312" w:hAnsi="Times New Roman" w:cs="仿宋_GB2312" w:hint="eastAsia"/>
          <w:sz w:val="30"/>
          <w:szCs w:val="30"/>
        </w:rPr>
        <w:t>转债</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触发赎回条款、且公司决定赎回，投资者所持可转债除在规定时限内通过二级市场继续交易或按照</w:t>
      </w:r>
      <w:r>
        <w:rPr>
          <w:rFonts w:ascii="仿宋_GB2312" w:eastAsia="仿宋_GB2312" w:hAnsi="Times New Roman" w:cs="仿宋_GB2312"/>
          <w:sz w:val="30"/>
          <w:szCs w:val="30"/>
        </w:rPr>
        <w:t>XX</w:t>
      </w:r>
      <w:r>
        <w:rPr>
          <w:rFonts w:ascii="仿宋_GB2312" w:eastAsia="仿宋_GB2312" w:hAnsi="Times New Roman" w:cs="仿宋_GB2312" w:hint="eastAsia"/>
          <w:sz w:val="30"/>
          <w:szCs w:val="30"/>
        </w:rPr>
        <w:t>元的转股价格进行转股外，仅能选择以</w:t>
      </w:r>
      <w:r>
        <w:rPr>
          <w:rFonts w:ascii="仿宋_GB2312" w:eastAsia="仿宋_GB2312" w:hAnsi="Times New Roman" w:cs="仿宋_GB2312"/>
          <w:sz w:val="30"/>
          <w:szCs w:val="30"/>
        </w:rPr>
        <w:t>100</w:t>
      </w:r>
      <w:r>
        <w:rPr>
          <w:rFonts w:ascii="仿宋_GB2312" w:eastAsia="仿宋_GB2312" w:hAnsi="Times New Roman" w:cs="仿宋_GB2312" w:hint="eastAsia"/>
          <w:sz w:val="30"/>
          <w:szCs w:val="30"/>
        </w:rPr>
        <w:t>元</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张的票面价格加当</w:t>
      </w:r>
      <w:r>
        <w:rPr>
          <w:rFonts w:ascii="仿宋_GB2312" w:eastAsia="仿宋_GB2312" w:hAnsi="Times New Roman" w:cs="仿宋_GB2312" w:hint="eastAsia"/>
          <w:sz w:val="30"/>
          <w:szCs w:val="30"/>
        </w:rPr>
        <w:lastRenderedPageBreak/>
        <w:t>期应计利息（即</w:t>
      </w:r>
      <w:r>
        <w:rPr>
          <w:rFonts w:ascii="仿宋_GB2312" w:eastAsia="仿宋_GB2312" w:hAnsi="Times New Roman" w:cs="仿宋_GB2312" w:hint="eastAsia"/>
          <w:sz w:val="30"/>
          <w:szCs w:val="30"/>
        </w:rPr>
        <w:t>XX</w:t>
      </w:r>
      <w:r>
        <w:rPr>
          <w:rFonts w:ascii="仿宋_GB2312" w:eastAsia="仿宋_GB2312" w:hAnsi="Times New Roman" w:cs="仿宋_GB2312" w:hint="eastAsia"/>
          <w:sz w:val="30"/>
          <w:szCs w:val="30"/>
        </w:rPr>
        <w:t>元）被强制赎回，可能面临较大投资损失。（如适用）</w:t>
      </w:r>
    </w:p>
    <w:p w14:paraId="1D20E598" w14:textId="77777777" w:rsidR="001F1892" w:rsidRDefault="00B7124B">
      <w:pPr>
        <w:pStyle w:val="ab"/>
        <w:shd w:val="clear" w:color="auto" w:fill="FFFFFF"/>
        <w:spacing w:before="0" w:beforeAutospacing="0" w:after="0" w:afterAutospacing="0" w:line="560" w:lineRule="exact"/>
        <w:ind w:firstLineChars="200" w:firstLine="600"/>
        <w:jc w:val="both"/>
        <w:rPr>
          <w:rFonts w:ascii="仿宋_GB2312" w:eastAsia="仿宋_GB2312" w:hAnsi="Times New Roman" w:cs="仿宋_GB2312"/>
          <w:sz w:val="30"/>
          <w:szCs w:val="30"/>
        </w:rPr>
      </w:pPr>
      <w:r>
        <w:rPr>
          <w:rFonts w:ascii="仿宋_GB2312" w:eastAsia="仿宋_GB2312" w:hAnsi="Times New Roman" w:cs="仿宋_GB2312" w:hint="eastAsia"/>
          <w:sz w:val="30"/>
          <w:szCs w:val="30"/>
        </w:rPr>
        <w:t>（四）其他上市公司认为必要的风险提示。如果异常波动发生在定期报告披露期间，未披露业绩预告的，公司应说明是否不存在需披露业绩预告的情况；已披露业绩预告、业绩快报的，公司应说明是否不存在应更正情况；若应当披露业绩预告或更正公告的，应当同时进行披露。不存在需披露业绩预告情况的，还应说明未公开的定期业绩信息是否已向除为公司审计的会计师事务所以外的第三方提供；如有，说明相关情况并披露主要财务指标。</w:t>
      </w:r>
    </w:p>
    <w:p w14:paraId="2229343A" w14:textId="77777777" w:rsidR="001F1892" w:rsidRDefault="001F1892">
      <w:pPr>
        <w:pStyle w:val="ab"/>
        <w:shd w:val="clear" w:color="auto" w:fill="FFFFFF"/>
        <w:spacing w:before="0" w:beforeAutospacing="0" w:after="0" w:afterAutospacing="0" w:line="560" w:lineRule="exact"/>
        <w:ind w:firstLineChars="200" w:firstLine="600"/>
        <w:jc w:val="both"/>
        <w:rPr>
          <w:rFonts w:ascii="仿宋_GB2312" w:eastAsia="仿宋_GB2312" w:hAnsi="Times New Roman" w:cs="仿宋_GB2312"/>
          <w:sz w:val="30"/>
          <w:szCs w:val="30"/>
        </w:rPr>
      </w:pPr>
    </w:p>
    <w:p w14:paraId="564AFCFD" w14:textId="77777777" w:rsidR="001F1892" w:rsidRDefault="00B7124B">
      <w:pPr>
        <w:pStyle w:val="ab"/>
        <w:shd w:val="clear" w:color="auto" w:fill="FFFFFF"/>
        <w:spacing w:before="0" w:beforeAutospacing="0" w:after="0" w:afterAutospacing="0" w:line="560" w:lineRule="exact"/>
        <w:ind w:firstLineChars="200" w:firstLine="602"/>
        <w:jc w:val="both"/>
        <w:rPr>
          <w:rFonts w:ascii="黑体" w:eastAsia="黑体" w:hAnsi="黑体" w:cstheme="minorBidi"/>
          <w:b/>
          <w:color w:val="000000"/>
          <w:kern w:val="2"/>
          <w:sz w:val="30"/>
          <w:szCs w:val="30"/>
        </w:rPr>
      </w:pPr>
      <w:r>
        <w:rPr>
          <w:rFonts w:ascii="黑体" w:eastAsia="黑体" w:hAnsi="黑体" w:cstheme="minorBidi" w:hint="eastAsia"/>
          <w:b/>
          <w:color w:val="000000"/>
          <w:kern w:val="2"/>
          <w:sz w:val="30"/>
          <w:szCs w:val="30"/>
        </w:rPr>
        <w:t>五、董事会声明及相关方承诺</w:t>
      </w:r>
    </w:p>
    <w:p w14:paraId="18AC65DA" w14:textId="77777777" w:rsidR="001F1892" w:rsidRDefault="00B7124B">
      <w:pPr>
        <w:pStyle w:val="ab"/>
        <w:shd w:val="clear" w:color="auto" w:fill="FFFFFF"/>
        <w:spacing w:before="0" w:beforeAutospacing="0" w:after="0" w:afterAutospacing="0" w:line="560" w:lineRule="exact"/>
        <w:ind w:firstLineChars="200" w:firstLine="600"/>
        <w:jc w:val="both"/>
        <w:rPr>
          <w:rFonts w:ascii="仿宋_GB2312" w:eastAsia="仿宋_GB2312" w:hAnsi="Times New Roman" w:cs="仿宋_GB2312"/>
          <w:sz w:val="30"/>
          <w:szCs w:val="30"/>
        </w:rPr>
      </w:pPr>
      <w:r>
        <w:rPr>
          <w:rFonts w:ascii="仿宋_GB2312" w:eastAsia="仿宋_GB2312" w:hAnsi="Times New Roman" w:cs="仿宋_GB2312" w:hint="eastAsia"/>
          <w:sz w:val="30"/>
          <w:szCs w:val="30"/>
        </w:rPr>
        <w:t>（一）上市公司董事会根据本公告格式要求进行核查后，应当做出如下声明：“本公司董事会确认，（</w:t>
      </w:r>
      <w:r>
        <w:rPr>
          <w:rFonts w:ascii="仿宋_GB2312" w:eastAsia="仿宋_GB2312" w:hAnsi="Times New Roman" w:cs="仿宋_GB2312" w:hint="eastAsia"/>
          <w:sz w:val="30"/>
          <w:szCs w:val="30"/>
        </w:rPr>
        <w:t>除前述第三部分涉及的披露事项外）本公司没有任何根据《上海证券</w:t>
      </w:r>
      <w:r>
        <w:rPr>
          <w:rFonts w:ascii="仿宋_GB2312" w:eastAsia="仿宋_GB2312" w:hAnsi="Times New Roman" w:cs="仿宋_GB2312"/>
          <w:sz w:val="30"/>
          <w:szCs w:val="30"/>
        </w:rPr>
        <w:t>交易所科创板</w:t>
      </w:r>
      <w:r>
        <w:rPr>
          <w:rFonts w:ascii="仿宋_GB2312" w:eastAsia="仿宋_GB2312" w:hAnsi="Times New Roman" w:cs="仿宋_GB2312" w:hint="eastAsia"/>
          <w:sz w:val="30"/>
          <w:szCs w:val="30"/>
        </w:rPr>
        <w:t>股票上市规则》等有关规定应披露而未披露的事项或与该等事项有关的筹划、商谈、意向、协议等，董事会也未获悉根据《上海证券</w:t>
      </w:r>
      <w:r>
        <w:rPr>
          <w:rFonts w:ascii="仿宋_GB2312" w:eastAsia="仿宋_GB2312" w:hAnsi="Times New Roman" w:cs="仿宋_GB2312"/>
          <w:sz w:val="30"/>
          <w:szCs w:val="30"/>
        </w:rPr>
        <w:t>交易所科创板</w:t>
      </w:r>
      <w:r>
        <w:rPr>
          <w:rFonts w:ascii="仿宋_GB2312" w:eastAsia="仿宋_GB2312" w:hAnsi="Times New Roman" w:cs="仿宋_GB2312" w:hint="eastAsia"/>
          <w:sz w:val="30"/>
          <w:szCs w:val="30"/>
        </w:rPr>
        <w:t>股票上市规则》等有关规定应披露而未披露的、对本公司股票及可转债交易价格可能产生较大影响的信息；公司前期披露的信息不存在需要更正、补充之处。”</w:t>
      </w:r>
    </w:p>
    <w:p w14:paraId="3377C380" w14:textId="77777777" w:rsidR="001F1892" w:rsidRDefault="00B7124B">
      <w:pPr>
        <w:pStyle w:val="ab"/>
        <w:shd w:val="clear" w:color="auto" w:fill="FFFFFF"/>
        <w:spacing w:before="0" w:beforeAutospacing="0" w:after="0" w:afterAutospacing="0" w:line="560" w:lineRule="exact"/>
        <w:ind w:firstLineChars="200" w:firstLine="600"/>
        <w:jc w:val="both"/>
        <w:rPr>
          <w:rFonts w:ascii="仿宋_GB2312" w:eastAsia="仿宋_GB2312" w:hAnsi="Times New Roman" w:cs="仿宋_GB2312"/>
          <w:sz w:val="30"/>
          <w:szCs w:val="30"/>
        </w:rPr>
      </w:pPr>
      <w:r>
        <w:rPr>
          <w:rFonts w:ascii="仿宋_GB2312" w:eastAsia="仿宋_GB2312" w:hAnsi="Times New Roman" w:cs="仿宋_GB2312" w:hint="eastAsia"/>
          <w:sz w:val="30"/>
          <w:szCs w:val="30"/>
        </w:rPr>
        <w:t>（二）上市公司、控股股东、实际控制人及相关方等在公告中披露目前未筹划涉及上市公司的重大资产重组、股份发行、收购、债务重组、业务重组、资产剥离、资产注入、股份回购、股</w:t>
      </w:r>
      <w:r>
        <w:rPr>
          <w:rFonts w:ascii="仿宋_GB2312" w:eastAsia="仿宋_GB2312" w:hAnsi="Times New Roman" w:cs="仿宋_GB2312" w:hint="eastAsia"/>
          <w:sz w:val="30"/>
          <w:szCs w:val="30"/>
        </w:rPr>
        <w:lastRenderedPageBreak/>
        <w:t>权激励</w:t>
      </w:r>
      <w:r>
        <w:rPr>
          <w:rFonts w:ascii="仿宋_GB2312" w:eastAsia="仿宋_GB2312" w:hAnsi="Times New Roman" w:cs="仿宋_GB2312" w:hint="eastAsia"/>
          <w:sz w:val="30"/>
          <w:szCs w:val="30"/>
        </w:rPr>
        <w:t>、破产重整、重大业务合作、引进战略投资者等重大事项的，可以在公告中承诺</w:t>
      </w:r>
      <w:r>
        <w:rPr>
          <w:rFonts w:ascii="仿宋_GB2312" w:eastAsia="仿宋_GB2312" w:hAnsi="Times New Roman" w:cs="仿宋_GB2312" w:hint="eastAsia"/>
          <w:sz w:val="30"/>
          <w:szCs w:val="30"/>
        </w:rPr>
        <w:t>3</w:t>
      </w:r>
      <w:r>
        <w:rPr>
          <w:rFonts w:ascii="仿宋_GB2312" w:eastAsia="仿宋_GB2312" w:hAnsi="Times New Roman" w:cs="仿宋_GB2312" w:hint="eastAsia"/>
          <w:sz w:val="30"/>
          <w:szCs w:val="30"/>
        </w:rPr>
        <w:t>个月内不筹划前述事项。</w:t>
      </w:r>
    </w:p>
    <w:p w14:paraId="32194CD6" w14:textId="77777777" w:rsidR="001F1892" w:rsidRDefault="00B7124B">
      <w:pPr>
        <w:pStyle w:val="ab"/>
        <w:shd w:val="clear" w:color="auto" w:fill="FFFFFF"/>
        <w:spacing w:before="0" w:beforeAutospacing="0" w:after="0" w:afterAutospacing="0" w:line="560" w:lineRule="exact"/>
        <w:ind w:firstLineChars="200" w:firstLine="600"/>
        <w:jc w:val="both"/>
        <w:rPr>
          <w:rFonts w:ascii="仿宋_GB2312" w:eastAsia="仿宋_GB2312" w:hAnsi="Times New Roman" w:cs="仿宋_GB2312"/>
          <w:sz w:val="30"/>
          <w:szCs w:val="30"/>
        </w:rPr>
      </w:pPr>
      <w:r>
        <w:rPr>
          <w:rFonts w:ascii="仿宋_GB2312" w:eastAsia="仿宋_GB2312" w:hAnsi="Times New Roman" w:cs="仿宋_GB2312" w:hint="eastAsia"/>
          <w:sz w:val="30"/>
          <w:szCs w:val="30"/>
        </w:rPr>
        <w:t>敬请广大投资者注意</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XX</w:t>
      </w:r>
      <w:r>
        <w:rPr>
          <w:rFonts w:ascii="仿宋_GB2312" w:eastAsia="仿宋_GB2312" w:hAnsi="Times New Roman" w:cs="仿宋_GB2312" w:hint="eastAsia"/>
          <w:sz w:val="30"/>
          <w:szCs w:val="30"/>
        </w:rPr>
        <w:t>转债</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的二级市场交易风险、估值风险（和赎回风险）等。</w:t>
      </w:r>
    </w:p>
    <w:p w14:paraId="2552C997" w14:textId="77777777" w:rsidR="001F1892" w:rsidRDefault="001F1892">
      <w:pPr>
        <w:adjustRightInd w:val="0"/>
        <w:snapToGrid w:val="0"/>
        <w:spacing w:line="560" w:lineRule="exact"/>
        <w:ind w:firstLineChars="200" w:firstLine="600"/>
        <w:rPr>
          <w:rFonts w:ascii="仿宋" w:eastAsia="仿宋_GB2312" w:hAnsi="仿宋"/>
          <w:sz w:val="30"/>
          <w:szCs w:val="30"/>
        </w:rPr>
      </w:pPr>
    </w:p>
    <w:p w14:paraId="37D597DA" w14:textId="77777777" w:rsidR="001F1892" w:rsidRDefault="00B7124B">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特此公告。</w:t>
      </w:r>
    </w:p>
    <w:p w14:paraId="131F32C1" w14:textId="77777777" w:rsidR="001F1892" w:rsidRDefault="001F1892">
      <w:pPr>
        <w:adjustRightInd w:val="0"/>
        <w:snapToGrid w:val="0"/>
        <w:spacing w:line="560" w:lineRule="exact"/>
        <w:ind w:firstLineChars="200" w:firstLine="600"/>
        <w:rPr>
          <w:rFonts w:ascii="仿宋" w:eastAsia="仿宋_GB2312" w:hAnsi="仿宋"/>
          <w:sz w:val="30"/>
          <w:szCs w:val="30"/>
        </w:rPr>
      </w:pPr>
    </w:p>
    <w:p w14:paraId="670231B5" w14:textId="77777777" w:rsidR="001F1892" w:rsidRDefault="00B7124B">
      <w:pPr>
        <w:adjustRightInd w:val="0"/>
        <w:snapToGrid w:val="0"/>
        <w:spacing w:line="560" w:lineRule="exact"/>
        <w:ind w:firstLineChars="200" w:firstLine="600"/>
        <w:jc w:val="right"/>
        <w:rPr>
          <w:rFonts w:ascii="仿宋" w:eastAsia="仿宋_GB2312" w:hAnsi="仿宋"/>
          <w:sz w:val="30"/>
          <w:szCs w:val="30"/>
        </w:rPr>
      </w:pPr>
      <w:r>
        <w:rPr>
          <w:rFonts w:ascii="仿宋" w:eastAsia="仿宋_GB2312" w:hAnsi="仿宋" w:hint="eastAsia"/>
          <w:sz w:val="30"/>
          <w:szCs w:val="30"/>
        </w:rPr>
        <w:t>XXXX</w:t>
      </w:r>
      <w:r>
        <w:rPr>
          <w:rFonts w:ascii="仿宋" w:eastAsia="仿宋_GB2312" w:hAnsi="仿宋" w:hint="eastAsia"/>
          <w:sz w:val="30"/>
          <w:szCs w:val="30"/>
        </w:rPr>
        <w:t>股份有限公司董事会</w:t>
      </w:r>
    </w:p>
    <w:p w14:paraId="722C7A8D" w14:textId="77777777" w:rsidR="001F1892" w:rsidRDefault="00B7124B">
      <w:pPr>
        <w:pStyle w:val="a3"/>
        <w:adjustRightInd w:val="0"/>
        <w:snapToGrid w:val="0"/>
        <w:spacing w:line="560" w:lineRule="exact"/>
        <w:ind w:leftChars="0" w:left="0" w:firstLineChars="200" w:firstLine="600"/>
        <w:jc w:val="right"/>
        <w:rPr>
          <w:rFonts w:ascii="仿宋" w:eastAsia="仿宋_GB2312" w:hAnsi="仿宋"/>
          <w:sz w:val="30"/>
          <w:szCs w:val="30"/>
        </w:rPr>
      </w:pPr>
      <w:r>
        <w:rPr>
          <w:rFonts w:ascii="仿宋" w:eastAsia="仿宋_GB2312" w:hAnsi="仿宋" w:hint="eastAsia"/>
          <w:sz w:val="30"/>
          <w:szCs w:val="30"/>
        </w:rPr>
        <w:t>年</w:t>
      </w:r>
      <w:r>
        <w:rPr>
          <w:rFonts w:ascii="仿宋" w:eastAsia="仿宋_GB2312" w:hAnsi="仿宋" w:hint="eastAsia"/>
          <w:sz w:val="30"/>
          <w:szCs w:val="30"/>
        </w:rPr>
        <w:t xml:space="preserve">  </w:t>
      </w:r>
      <w:r>
        <w:rPr>
          <w:rFonts w:ascii="仿宋" w:eastAsia="仿宋_GB2312" w:hAnsi="仿宋" w:hint="eastAsia"/>
          <w:sz w:val="30"/>
          <w:szCs w:val="30"/>
        </w:rPr>
        <w:t>月</w:t>
      </w:r>
      <w:r>
        <w:rPr>
          <w:rFonts w:ascii="仿宋" w:eastAsia="仿宋_GB2312" w:hAnsi="仿宋" w:hint="eastAsia"/>
          <w:sz w:val="30"/>
          <w:szCs w:val="30"/>
        </w:rPr>
        <w:t xml:space="preserve">  </w:t>
      </w:r>
      <w:r>
        <w:rPr>
          <w:rFonts w:ascii="仿宋" w:eastAsia="仿宋_GB2312" w:hAnsi="仿宋" w:hint="eastAsia"/>
          <w:sz w:val="30"/>
          <w:szCs w:val="30"/>
        </w:rPr>
        <w:t>日</w:t>
      </w:r>
    </w:p>
    <w:p w14:paraId="16E91D29" w14:textId="77777777" w:rsidR="001F1892" w:rsidRDefault="001F1892">
      <w:pPr>
        <w:pStyle w:val="ab"/>
        <w:shd w:val="clear" w:color="auto" w:fill="FFFFFF"/>
        <w:spacing w:before="0" w:beforeAutospacing="0" w:after="0" w:afterAutospacing="0"/>
      </w:pPr>
    </w:p>
    <w:sectPr w:rsidR="001F18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2D24F" w14:textId="77777777" w:rsidR="00B7124B" w:rsidRDefault="00B7124B" w:rsidP="00A27B44">
      <w:r>
        <w:separator/>
      </w:r>
    </w:p>
  </w:endnote>
  <w:endnote w:type="continuationSeparator" w:id="0">
    <w:p w14:paraId="5A638EE7" w14:textId="77777777" w:rsidR="00B7124B" w:rsidRDefault="00B7124B" w:rsidP="00A2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15994" w14:textId="77777777" w:rsidR="00B7124B" w:rsidRDefault="00B7124B" w:rsidP="00A27B44">
      <w:r>
        <w:separator/>
      </w:r>
    </w:p>
  </w:footnote>
  <w:footnote w:type="continuationSeparator" w:id="0">
    <w:p w14:paraId="225E7723" w14:textId="77777777" w:rsidR="00B7124B" w:rsidRDefault="00B7124B" w:rsidP="00A27B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84C14"/>
    <w:multiLevelType w:val="multilevel"/>
    <w:tmpl w:val="3E284C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F10"/>
    <w:rsid w:val="000B424A"/>
    <w:rsid w:val="001441D3"/>
    <w:rsid w:val="00180946"/>
    <w:rsid w:val="001A3AB8"/>
    <w:rsid w:val="001F1892"/>
    <w:rsid w:val="00213A72"/>
    <w:rsid w:val="00217DB9"/>
    <w:rsid w:val="003C72A6"/>
    <w:rsid w:val="0073420C"/>
    <w:rsid w:val="00A27B44"/>
    <w:rsid w:val="00B03092"/>
    <w:rsid w:val="00B15388"/>
    <w:rsid w:val="00B7124B"/>
    <w:rsid w:val="00BD34B2"/>
    <w:rsid w:val="00C22F10"/>
    <w:rsid w:val="00FB7925"/>
    <w:rsid w:val="13A26280"/>
    <w:rsid w:val="42CB1E0F"/>
    <w:rsid w:val="4C525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F8722D-E87F-4FFE-A873-368607E7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unhideWhenUsed/>
    <w:qFormat/>
    <w:pPr>
      <w:keepNext/>
      <w:keepLines/>
      <w:spacing w:before="260" w:after="260" w:line="416" w:lineRule="auto"/>
      <w:jc w:val="center"/>
      <w:outlineLvl w:val="2"/>
    </w:pPr>
    <w:rPr>
      <w:rFonts w:ascii="黑体" w:eastAsia="黑体" w:hAnsi="黑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qFormat/>
    <w:pPr>
      <w:ind w:leftChars="2500" w:left="100"/>
    </w:pPr>
    <w:rPr>
      <w:rFonts w:ascii="Times New Roman" w:eastAsia="宋体" w:hAnsi="Times New Roman" w:cs="Times New Roman"/>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link w:val="ac"/>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30">
    <w:name w:val="标题 3 字符"/>
    <w:basedOn w:val="a0"/>
    <w:link w:val="3"/>
    <w:uiPriority w:val="9"/>
    <w:qFormat/>
    <w:rPr>
      <w:rFonts w:ascii="黑体" w:eastAsia="黑体" w:hAnsi="黑体"/>
      <w:b/>
      <w:bCs/>
      <w:sz w:val="36"/>
      <w:szCs w:val="36"/>
    </w:rPr>
  </w:style>
  <w:style w:type="character" w:customStyle="1" w:styleId="a4">
    <w:name w:val="日期 字符"/>
    <w:basedOn w:val="a0"/>
    <w:link w:val="a3"/>
    <w:qFormat/>
    <w:rPr>
      <w:rFonts w:ascii="Times New Roman" w:eastAsia="宋体" w:hAnsi="Times New Roman" w:cs="Times New Roman"/>
      <w:szCs w:val="24"/>
    </w:rPr>
  </w:style>
  <w:style w:type="paragraph" w:styleId="ad">
    <w:name w:val="List Paragraph"/>
    <w:basedOn w:val="a"/>
    <w:uiPriority w:val="34"/>
    <w:qFormat/>
    <w:pPr>
      <w:ind w:firstLineChars="200" w:firstLine="420"/>
    </w:pPr>
    <w:rPr>
      <w:rFonts w:ascii="宋体" w:eastAsia="宋体" w:hAnsi="宋体"/>
      <w:sz w:val="24"/>
    </w:rPr>
  </w:style>
  <w:style w:type="character" w:customStyle="1" w:styleId="ac">
    <w:name w:val="普通(网站) 字符"/>
    <w:basedOn w:val="a0"/>
    <w:link w:val="ab"/>
    <w:uiPriority w:val="99"/>
    <w:qFormat/>
    <w:rPr>
      <w:rFonts w:ascii="宋体" w:eastAsia="宋体" w:hAnsi="宋体" w:cs="宋体"/>
      <w:kern w:val="0"/>
      <w:sz w:val="24"/>
      <w:szCs w:val="24"/>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2738</Words>
  <Characters>2864</Characters>
  <Application>Microsoft Office Word</Application>
  <DocSecurity>0</DocSecurity>
  <Lines>127</Lines>
  <Paragraphs>40</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潘Mark</dc:creator>
  <cp:lastModifiedBy>QYJ</cp:lastModifiedBy>
  <cp:revision>4</cp:revision>
  <dcterms:created xsi:type="dcterms:W3CDTF">2025-02-07T03:29:00Z</dcterms:created>
  <dcterms:modified xsi:type="dcterms:W3CDTF">2025-08-17T14:06:00Z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B06BDA7E4D2A4692A220A2F6C62F8138</vt:lpwstr>
  </property>
</Properties>
</file>