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97416">
      <w:pPr>
        <w:spacing w:line="560" w:lineRule="exact"/>
        <w:jc w:val="center"/>
        <w:rPr>
          <w:rFonts w:ascii="黑体" w:hAnsi="黑体" w:eastAsia="黑体" w:cstheme="minorBidi"/>
          <w:b/>
          <w:bCs/>
          <w:sz w:val="36"/>
          <w:szCs w:val="36"/>
        </w:rPr>
      </w:pPr>
      <w:bookmarkStart w:id="0" w:name="_Toc359483093"/>
      <w:r>
        <w:rPr>
          <w:rFonts w:ascii="黑体" w:hAnsi="黑体" w:eastAsia="黑体" w:cstheme="minorBidi"/>
          <w:b/>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stheme="minorBidi"/>
          <w:b/>
          <w:bCs/>
          <w:sz w:val="36"/>
          <w:szCs w:val="36"/>
        </w:rPr>
        <w:instrText xml:space="preserve">ADDIN CNKISM.UserStyle</w:instrText>
      </w:r>
      <w:r>
        <w:rPr>
          <w:rFonts w:ascii="黑体" w:hAnsi="黑体" w:eastAsia="黑体" w:cstheme="minorBidi"/>
          <w:b/>
          <w:bCs/>
          <w:sz w:val="36"/>
          <w:szCs w:val="36"/>
        </w:rPr>
        <w:fldChar w:fldCharType="separate"/>
      </w:r>
      <w:r>
        <w:rPr>
          <w:rFonts w:ascii="黑体" w:hAnsi="黑体" w:eastAsia="黑体" w:cstheme="minorBidi"/>
          <w:b/>
          <w:bCs/>
          <w:sz w:val="36"/>
          <w:szCs w:val="36"/>
        </w:rPr>
        <w:fldChar w:fldCharType="end"/>
      </w:r>
      <w:r>
        <w:rPr>
          <w:rFonts w:hint="eastAsia" w:ascii="黑体" w:hAnsi="黑体" w:eastAsia="黑体" w:cstheme="minorBidi"/>
          <w:b/>
          <w:bCs/>
          <w:sz w:val="36"/>
          <w:szCs w:val="36"/>
        </w:rPr>
        <w:t>第十九号</w:t>
      </w:r>
      <w:r>
        <w:rPr>
          <w:rFonts w:ascii="黑体" w:hAnsi="黑体" w:eastAsia="黑体" w:cstheme="minorBidi"/>
          <w:b/>
          <w:bCs/>
          <w:sz w:val="36"/>
          <w:szCs w:val="36"/>
        </w:rPr>
        <w:t xml:space="preserve"> </w:t>
      </w:r>
      <w:bookmarkEnd w:id="0"/>
      <w:r>
        <w:rPr>
          <w:rFonts w:hint="eastAsia" w:ascii="黑体" w:hAnsi="黑体" w:eastAsia="黑体" w:cstheme="minorBidi"/>
          <w:b/>
          <w:bCs/>
          <w:sz w:val="36"/>
          <w:szCs w:val="36"/>
        </w:rPr>
        <w:t>权益变动相关提示性公告</w:t>
      </w:r>
    </w:p>
    <w:p w14:paraId="24C71DA0">
      <w:pPr>
        <w:spacing w:line="560" w:lineRule="exact"/>
        <w:rPr>
          <w:rFonts w:ascii="仿宋_GB2312" w:eastAsia="仿宋_GB2312"/>
          <w:sz w:val="30"/>
          <w:szCs w:val="30"/>
        </w:rPr>
      </w:pPr>
    </w:p>
    <w:p w14:paraId="05C84E5B">
      <w:pPr>
        <w:spacing w:line="560" w:lineRule="exact"/>
        <w:rPr>
          <w:rFonts w:ascii="仿宋_GB2312" w:eastAsia="仿宋_GB2312"/>
          <w:sz w:val="30"/>
          <w:szCs w:val="30"/>
        </w:rPr>
      </w:pPr>
    </w:p>
    <w:p w14:paraId="7072BA9E">
      <w:pPr>
        <w:spacing w:line="560" w:lineRule="exact"/>
        <w:rPr>
          <w:rFonts w:ascii="仿宋_GB2312" w:eastAsia="仿宋_GB2312"/>
          <w:sz w:val="30"/>
          <w:szCs w:val="30"/>
        </w:rPr>
      </w:pPr>
    </w:p>
    <w:p w14:paraId="7C6E3D20">
      <w:pPr>
        <w:spacing w:line="560" w:lineRule="exact"/>
        <w:rPr>
          <w:rFonts w:ascii="仿宋_GB2312" w:eastAsia="仿宋_GB2312"/>
          <w:sz w:val="30"/>
          <w:szCs w:val="30"/>
        </w:rPr>
      </w:pPr>
    </w:p>
    <w:p w14:paraId="2C2BED09">
      <w:pPr>
        <w:spacing w:line="560" w:lineRule="exact"/>
        <w:rPr>
          <w:rFonts w:ascii="仿宋_GB2312" w:eastAsia="仿宋_GB2312"/>
          <w:sz w:val="30"/>
          <w:szCs w:val="30"/>
        </w:rPr>
      </w:pPr>
    </w:p>
    <w:p w14:paraId="2C314837">
      <w:pPr>
        <w:spacing w:line="560" w:lineRule="exact"/>
        <w:rPr>
          <w:rFonts w:ascii="仿宋_GB2312" w:eastAsia="仿宋_GB2312"/>
          <w:sz w:val="30"/>
          <w:szCs w:val="30"/>
        </w:rPr>
      </w:pPr>
    </w:p>
    <w:p w14:paraId="79AC2691">
      <w:pPr>
        <w:pStyle w:val="12"/>
        <w:spacing w:line="480" w:lineRule="exact"/>
        <w:rPr>
          <w:rFonts w:ascii="仿宋_GB2312" w:hAnsi="黑体" w:cstheme="minorBidi"/>
          <w:b w:val="0"/>
          <w:bCs w:val="0"/>
          <w:kern w:val="2"/>
          <w:sz w:val="44"/>
          <w:szCs w:val="44"/>
        </w:rPr>
      </w:pPr>
    </w:p>
    <w:sdt>
      <w:sdtPr>
        <w:rPr>
          <w:rFonts w:ascii="宋体" w:hAnsi="宋体" w:eastAsia="宋体" w:cs="Times New Roman"/>
          <w:b w:val="0"/>
          <w:bCs w:val="0"/>
          <w:kern w:val="2"/>
          <w:sz w:val="44"/>
          <w:szCs w:val="44"/>
        </w:rPr>
        <w:id w:val="147465141"/>
        <w:docPartObj>
          <w:docPartGallery w:val="Table of Contents"/>
          <w:docPartUnique/>
        </w:docPartObj>
      </w:sdtPr>
      <w:sdtEndPr>
        <w:rPr>
          <w:rFonts w:hint="eastAsia" w:ascii="仿宋_GB2312" w:hAnsi="仿宋_GB2312" w:eastAsia="宋体" w:cs="仿宋_GB2312"/>
          <w:b w:val="0"/>
          <w:bCs w:val="0"/>
          <w:kern w:val="2"/>
          <w:sz w:val="30"/>
          <w:szCs w:val="44"/>
        </w:rPr>
      </w:sdtEndPr>
      <w:sdtContent>
        <w:p w14:paraId="5C50788B">
          <w:pPr>
            <w:pStyle w:val="12"/>
            <w:rPr>
              <w:rFonts w:ascii="仿宋_GB2312" w:hAnsiTheme="minorHAnsi" w:cstheme="minorBidi"/>
              <w:b w:val="0"/>
              <w:bCs w:val="0"/>
              <w:kern w:val="2"/>
              <w:sz w:val="21"/>
              <w:szCs w:val="22"/>
            </w:rPr>
          </w:pPr>
          <w:r>
            <w:rPr>
              <w:rFonts w:hint="eastAsia" w:ascii="仿宋_GB2312" w:hAnsi="仿宋_GB2312" w:cs="仿宋_GB2312"/>
              <w:b w:val="0"/>
              <w:bCs w:val="0"/>
            </w:rPr>
            <w:fldChar w:fldCharType="begin"/>
          </w:r>
          <w:r>
            <w:rPr>
              <w:rFonts w:hint="eastAsia" w:ascii="仿宋_GB2312" w:hAnsi="仿宋_GB2312" w:cs="仿宋_GB2312"/>
              <w:b w:val="0"/>
              <w:bCs w:val="0"/>
            </w:rPr>
            <w:instrText xml:space="preserve"> TOC \o "1-3" \h \z \u </w:instrText>
          </w:r>
          <w:r>
            <w:rPr>
              <w:rFonts w:hint="eastAsia" w:ascii="仿宋_GB2312" w:hAnsi="仿宋_GB2312" w:cs="仿宋_GB2312"/>
              <w:b w:val="0"/>
              <w:bCs w:val="0"/>
            </w:rPr>
            <w:fldChar w:fldCharType="separate"/>
          </w:r>
          <w:r>
            <w:fldChar w:fldCharType="begin"/>
          </w:r>
          <w:r>
            <w:instrText xml:space="preserve"> HYPERLINK \l "_Toc190164169" </w:instrText>
          </w:r>
          <w:r>
            <w:fldChar w:fldCharType="separate"/>
          </w:r>
          <w:r>
            <w:rPr>
              <w:rStyle w:val="18"/>
              <w:rFonts w:hint="eastAsia" w:ascii="仿宋_GB2312" w:cs="Times New Roman"/>
              <w:b w:val="0"/>
            </w:rPr>
            <w:t>1.投资者及其一致行动人权益变动触及1%刻度的提示性公告</w:t>
          </w:r>
          <w:r>
            <w:rPr>
              <w:rFonts w:hint="eastAsia" w:ascii="仿宋_GB2312"/>
              <w:b w:val="0"/>
            </w:rPr>
            <w:tab/>
          </w:r>
          <w:r>
            <w:rPr>
              <w:rFonts w:hint="eastAsia" w:ascii="仿宋_GB2312"/>
              <w:b w:val="0"/>
            </w:rPr>
            <w:fldChar w:fldCharType="begin"/>
          </w:r>
          <w:r>
            <w:rPr>
              <w:rFonts w:hint="eastAsia" w:ascii="仿宋_GB2312"/>
              <w:b w:val="0"/>
            </w:rPr>
            <w:instrText xml:space="preserve"> PAGEREF _Toc190164169 \h </w:instrText>
          </w:r>
          <w:r>
            <w:rPr>
              <w:rFonts w:hint="eastAsia" w:ascii="仿宋_GB2312"/>
              <w:b w:val="0"/>
            </w:rPr>
            <w:fldChar w:fldCharType="separate"/>
          </w:r>
          <w:r>
            <w:rPr>
              <w:rFonts w:hint="eastAsia" w:ascii="仿宋_GB2312"/>
              <w:b w:val="0"/>
            </w:rPr>
            <w:t>2</w:t>
          </w:r>
          <w:r>
            <w:rPr>
              <w:rFonts w:hint="eastAsia" w:ascii="仿宋_GB2312"/>
              <w:b w:val="0"/>
            </w:rPr>
            <w:fldChar w:fldCharType="end"/>
          </w:r>
          <w:r>
            <w:rPr>
              <w:rFonts w:hint="eastAsia" w:ascii="仿宋_GB2312"/>
              <w:b w:val="0"/>
            </w:rPr>
            <w:fldChar w:fldCharType="end"/>
          </w:r>
        </w:p>
        <w:p w14:paraId="162D4DAE">
          <w:pPr>
            <w:pStyle w:val="12"/>
            <w:rPr>
              <w:rFonts w:ascii="仿宋_GB2312" w:hAnsiTheme="minorHAnsi" w:cstheme="minorBidi"/>
              <w:b w:val="0"/>
              <w:bCs w:val="0"/>
              <w:kern w:val="2"/>
              <w:sz w:val="21"/>
              <w:szCs w:val="22"/>
            </w:rPr>
          </w:pPr>
          <w:r>
            <w:fldChar w:fldCharType="begin"/>
          </w:r>
          <w:r>
            <w:instrText xml:space="preserve"> HYPERLINK \l "_Toc190164170" </w:instrText>
          </w:r>
          <w:r>
            <w:fldChar w:fldCharType="separate"/>
          </w:r>
          <w:r>
            <w:rPr>
              <w:rStyle w:val="18"/>
              <w:rFonts w:hint="eastAsia" w:ascii="仿宋_GB2312" w:cs="Times New Roman"/>
              <w:b w:val="0"/>
            </w:rPr>
            <w:t>2.科创板上市公司关于股东权益变动的提示性公告</w:t>
          </w:r>
          <w:r>
            <w:rPr>
              <w:rFonts w:hint="eastAsia" w:ascii="仿宋_GB2312"/>
              <w:b w:val="0"/>
            </w:rPr>
            <w:tab/>
          </w:r>
          <w:r>
            <w:rPr>
              <w:rFonts w:hint="eastAsia" w:ascii="仿宋_GB2312"/>
              <w:b w:val="0"/>
            </w:rPr>
            <w:fldChar w:fldCharType="begin"/>
          </w:r>
          <w:r>
            <w:rPr>
              <w:rFonts w:hint="eastAsia" w:ascii="仿宋_GB2312"/>
              <w:b w:val="0"/>
            </w:rPr>
            <w:instrText xml:space="preserve"> PAGEREF _Toc190164170 \h </w:instrText>
          </w:r>
          <w:r>
            <w:rPr>
              <w:rFonts w:hint="eastAsia" w:ascii="仿宋_GB2312"/>
              <w:b w:val="0"/>
            </w:rPr>
            <w:fldChar w:fldCharType="separate"/>
          </w:r>
          <w:r>
            <w:rPr>
              <w:rFonts w:hint="eastAsia" w:ascii="仿宋_GB2312"/>
              <w:b w:val="0"/>
            </w:rPr>
            <w:t>6</w:t>
          </w:r>
          <w:r>
            <w:rPr>
              <w:rFonts w:hint="eastAsia" w:ascii="仿宋_GB2312"/>
              <w:b w:val="0"/>
            </w:rPr>
            <w:fldChar w:fldCharType="end"/>
          </w:r>
          <w:r>
            <w:rPr>
              <w:rFonts w:hint="eastAsia" w:ascii="仿宋_GB2312"/>
              <w:b w:val="0"/>
            </w:rPr>
            <w:fldChar w:fldCharType="end"/>
          </w:r>
        </w:p>
        <w:p w14:paraId="6309D63D">
          <w:pPr>
            <w:spacing w:line="56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fldChar w:fldCharType="end"/>
          </w:r>
        </w:p>
      </w:sdtContent>
    </w:sdt>
    <w:p w14:paraId="0B6CCDB0">
      <w:pPr>
        <w:spacing w:line="560" w:lineRule="exact"/>
        <w:rPr>
          <w:rFonts w:ascii="仿宋_GB2312" w:eastAsia="仿宋_GB2312"/>
          <w:sz w:val="30"/>
          <w:szCs w:val="30"/>
        </w:rPr>
      </w:pPr>
    </w:p>
    <w:p w14:paraId="681B7F26">
      <w:pPr>
        <w:rPr>
          <w:rFonts w:ascii="仿宋_GB2312" w:eastAsia="仿宋_GB2312"/>
          <w:sz w:val="30"/>
          <w:szCs w:val="30"/>
        </w:rPr>
      </w:pPr>
      <w:r>
        <w:rPr>
          <w:rFonts w:hint="eastAsia" w:ascii="仿宋_GB2312" w:eastAsia="仿宋_GB2312"/>
          <w:sz w:val="30"/>
          <w:szCs w:val="30"/>
        </w:rPr>
        <w:br w:type="page"/>
      </w:r>
    </w:p>
    <w:p w14:paraId="01E9C713">
      <w:pPr>
        <w:pStyle w:val="3"/>
        <w:rPr>
          <w:rFonts w:cs="Times New Roman"/>
          <w:sz w:val="32"/>
          <w:szCs w:val="32"/>
        </w:rPr>
      </w:pPr>
      <w:bookmarkStart w:id="1" w:name="_Toc15550"/>
      <w:bookmarkStart w:id="2" w:name="_Toc190164169"/>
      <w:bookmarkStart w:id="3" w:name="_Toc2894"/>
      <w:bookmarkStart w:id="4" w:name="_Toc20307"/>
      <w:r>
        <w:rPr>
          <w:rFonts w:hint="eastAsia" w:cs="Times New Roman"/>
          <w:sz w:val="32"/>
          <w:szCs w:val="32"/>
        </w:rPr>
        <w:t>1.投资者及其一致行动人权益变动触及1%刻度的提示性公告</w:t>
      </w:r>
      <w:bookmarkEnd w:id="1"/>
      <w:bookmarkEnd w:id="2"/>
      <w:bookmarkEnd w:id="3"/>
      <w:bookmarkEnd w:id="4"/>
    </w:p>
    <w:p w14:paraId="0086D775">
      <w:pPr>
        <w:spacing w:line="560" w:lineRule="exact"/>
        <w:rPr>
          <w:rFonts w:ascii="仿宋_GB2312" w:hAnsi="Calibri" w:eastAsia="仿宋_GB2312"/>
          <w:b/>
          <w:bCs/>
          <w:sz w:val="30"/>
          <w:szCs w:val="30"/>
        </w:rPr>
      </w:pPr>
      <w:bookmarkStart w:id="5" w:name="_Toc22372"/>
    </w:p>
    <w:p w14:paraId="500455C8">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bookmarkEnd w:id="5"/>
    </w:p>
    <w:p w14:paraId="515BC5EC">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1.持有科创板上市公司（以下简称上市公司）5%以上权益的投资者及其一致行动人（如有），持股比例触及或者跨越1%的整数倍（如6%、7%）的，应当在该事实发生的次日，及时按本公告格式披露提示性公告。</w:t>
      </w:r>
    </w:p>
    <w:p w14:paraId="48C4C786">
      <w:pPr>
        <w:numPr>
          <w:ilvl w:val="255"/>
          <w:numId w:val="0"/>
        </w:num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hint="eastAsia" w:ascii="仿宋_GB2312" w:hAnsi="黑体" w:eastAsia="仿宋_GB2312"/>
          <w:sz w:val="30"/>
          <w:szCs w:val="30"/>
        </w:rPr>
        <w:t>上市公司可转债进入转股期后，投资者</w:t>
      </w:r>
      <w:r>
        <w:rPr>
          <w:rFonts w:hint="eastAsia" w:ascii="仿宋_GB2312" w:hAnsi="仿宋_GB2312" w:eastAsia="仿宋_GB2312" w:cs="仿宋_GB2312"/>
          <w:color w:val="000000"/>
          <w:sz w:val="30"/>
          <w:szCs w:val="30"/>
        </w:rPr>
        <w:t>及其一致行动人</w:t>
      </w:r>
      <w:r>
        <w:rPr>
          <w:rFonts w:hint="eastAsia" w:ascii="仿宋_GB2312" w:hAnsi="黑体" w:eastAsia="仿宋_GB2312"/>
          <w:sz w:val="30"/>
          <w:szCs w:val="30"/>
        </w:rPr>
        <w:t>因持有或者买卖可转债中有权转股部分导致所持上市公司权益发生变动的，应</w:t>
      </w:r>
      <w:r>
        <w:rPr>
          <w:rFonts w:hint="eastAsia" w:ascii="仿宋_GB2312" w:hAnsi="仿宋_GB2312" w:eastAsia="仿宋_GB2312" w:cs="仿宋_GB2312"/>
          <w:color w:val="000000"/>
          <w:sz w:val="30"/>
          <w:szCs w:val="30"/>
        </w:rPr>
        <w:t>根据《上市公司收购管理办法》第八十五条</w:t>
      </w:r>
      <w:r>
        <w:rPr>
          <w:rFonts w:hint="eastAsia" w:ascii="仿宋_GB2312" w:hAnsi="黑体" w:eastAsia="仿宋_GB2312"/>
          <w:sz w:val="30"/>
          <w:szCs w:val="30"/>
        </w:rPr>
        <w:t>计算权益变动比例，如</w:t>
      </w:r>
      <w:r>
        <w:rPr>
          <w:rFonts w:hint="eastAsia" w:ascii="仿宋_GB2312" w:hAnsi="仿宋_GB2312" w:eastAsia="仿宋_GB2312" w:cs="仿宋_GB2312"/>
          <w:color w:val="000000"/>
          <w:sz w:val="30"/>
          <w:szCs w:val="30"/>
        </w:rPr>
        <w:t>触及或者跨越1%的整数倍（如6%、7%），</w:t>
      </w:r>
      <w:r>
        <w:rPr>
          <w:rFonts w:hint="eastAsia" w:ascii="仿宋_GB2312" w:hAnsi="黑体" w:eastAsia="仿宋_GB2312"/>
          <w:sz w:val="30"/>
          <w:szCs w:val="30"/>
        </w:rPr>
        <w:t>投资者</w:t>
      </w:r>
      <w:r>
        <w:rPr>
          <w:rFonts w:hint="eastAsia" w:ascii="仿宋_GB2312" w:hAnsi="仿宋_GB2312" w:eastAsia="仿宋_GB2312" w:cs="仿宋_GB2312"/>
          <w:color w:val="000000"/>
          <w:sz w:val="30"/>
          <w:szCs w:val="30"/>
        </w:rPr>
        <w:t>及其一致行动人</w:t>
      </w:r>
      <w:r>
        <w:rPr>
          <w:rFonts w:hint="eastAsia" w:ascii="仿宋_GB2312" w:hAnsi="黑体" w:eastAsia="仿宋_GB2312"/>
          <w:sz w:val="30"/>
          <w:szCs w:val="30"/>
        </w:rPr>
        <w:t>应</w:t>
      </w:r>
      <w:r>
        <w:rPr>
          <w:rFonts w:hint="eastAsia" w:ascii="仿宋_GB2312" w:hAnsi="仿宋_GB2312" w:eastAsia="仿宋_GB2312" w:cs="仿宋_GB2312"/>
          <w:color w:val="000000"/>
          <w:sz w:val="30"/>
          <w:szCs w:val="30"/>
        </w:rPr>
        <w:t>按本公告格式披露提示性公告。</w:t>
      </w:r>
    </w:p>
    <w:p w14:paraId="402742E3">
      <w:pPr>
        <w:numPr>
          <w:ilvl w:val="255"/>
          <w:numId w:val="0"/>
        </w:num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上市公司股本变化导致投资者及其一致行动人拥有权益的股份比例被动触及披露标准的，投资者及其一致行动人无需披露；由上市公司在相关股本变动公告中披露投资者及其一致行动人被动触及披露标准的情况。</w:t>
      </w:r>
    </w:p>
    <w:p w14:paraId="3D3DC4D3">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4.投资者及其一致行动人持股比例触及或者跨越5%及5%的整数倍，根据《上市公司收购管理办法》披露权益变动报告书、收购报告书的，无需按本公告格式披露权益变动触及或者跨越1%刻度的提示性公告。</w:t>
      </w:r>
    </w:p>
    <w:p w14:paraId="05B49BA3">
      <w:pPr>
        <w:jc w:val="left"/>
        <w:rPr>
          <w:rFonts w:ascii="仿宋_GB2312" w:hAnsi="仿宋_GB2312" w:eastAsia="仿宋_GB2312" w:cs="仿宋_GB2312"/>
          <w:color w:val="000000"/>
          <w:sz w:val="30"/>
          <w:szCs w:val="30"/>
        </w:rPr>
      </w:pPr>
    </w:p>
    <w:p w14:paraId="7CC36C8A">
      <w:pPr>
        <w:jc w:val="left"/>
        <w:rPr>
          <w:rFonts w:hint="eastAsia" w:ascii="仿宋_GB2312" w:hAnsi="仿宋_GB2312" w:eastAsia="仿宋_GB2312" w:cs="仿宋_GB2312"/>
          <w:sz w:val="30"/>
          <w:szCs w:val="30"/>
        </w:rPr>
      </w:pPr>
      <w:r>
        <w:rPr>
          <w:rFonts w:ascii="仿宋_GB2312" w:hAnsi="仿宋_GB2312" w:eastAsia="仿宋_GB2312" w:cs="仿宋_GB2312"/>
          <w:color w:val="000000"/>
          <w:sz w:val="30"/>
          <w:szCs w:val="30"/>
        </w:rPr>
        <w:br w:type="page"/>
      </w:r>
      <w:r>
        <w:rPr>
          <w:rFonts w:hint="eastAsia" w:ascii="仿宋_GB2312" w:hAnsi="仿宋_GB2312" w:eastAsia="仿宋_GB2312" w:cs="仿宋_GB2312"/>
          <w:sz w:val="30"/>
          <w:szCs w:val="30"/>
        </w:rPr>
        <w:t xml:space="preserve">证券代码：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证券简称：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公告编号：</w:t>
      </w:r>
    </w:p>
    <w:p w14:paraId="7027F067">
      <w:pPr>
        <w:adjustRightInd w:val="0"/>
        <w:snapToGrid w:val="0"/>
        <w:spacing w:line="560" w:lineRule="exact"/>
        <w:jc w:val="center"/>
        <w:rPr>
          <w:rFonts w:ascii="仿宋_GB2312" w:eastAsia="仿宋_GB2312"/>
          <w:sz w:val="30"/>
          <w:szCs w:val="30"/>
        </w:rPr>
      </w:pPr>
    </w:p>
    <w:p w14:paraId="473E8C70">
      <w:pPr>
        <w:adjustRightInd w:val="0"/>
        <w:snapToGrid w:val="0"/>
        <w:spacing w:line="560" w:lineRule="exact"/>
        <w:jc w:val="center"/>
        <w:rPr>
          <w:rFonts w:ascii="仿宋_GB2312" w:eastAsia="仿宋_GB2312"/>
          <w:sz w:val="30"/>
          <w:szCs w:val="30"/>
        </w:rPr>
      </w:pPr>
      <w:r>
        <w:rPr>
          <w:rFonts w:hint="eastAsia" w:ascii="仿宋_GB2312" w:eastAsia="仿宋_GB2312"/>
          <w:sz w:val="30"/>
          <w:szCs w:val="30"/>
        </w:rPr>
        <w:t>投资者及其一致行动人（如有）权益变动触及1%刻度的提示性公告</w:t>
      </w:r>
    </w:p>
    <w:p w14:paraId="459E899E">
      <w:pPr>
        <w:adjustRightInd w:val="0"/>
        <w:snapToGrid w:val="0"/>
        <w:spacing w:line="560" w:lineRule="exact"/>
        <w:jc w:val="center"/>
        <w:rPr>
          <w:rFonts w:ascii="仿宋_GB2312" w:eastAsia="仿宋_GB2312"/>
          <w:sz w:val="30"/>
          <w:szCs w:val="30"/>
        </w:rPr>
      </w:pPr>
    </w:p>
    <w:p w14:paraId="6E123F92">
      <w:pPr>
        <w:adjustRightInd w:val="0"/>
        <w:snapToGrid w:val="0"/>
        <w:spacing w:line="560" w:lineRule="exact"/>
        <w:rPr>
          <w:rFonts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margin">
                  <wp:posOffset>-310515</wp:posOffset>
                </wp:positionH>
                <wp:positionV relativeFrom="paragraph">
                  <wp:posOffset>31750</wp:posOffset>
                </wp:positionV>
                <wp:extent cx="5915025" cy="13106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915025" cy="1310640"/>
                        </a:xfrm>
                        <a:prstGeom prst="rect">
                          <a:avLst/>
                        </a:prstGeom>
                        <a:solidFill>
                          <a:srgbClr val="FFFFFF"/>
                        </a:solidFill>
                        <a:ln w="9525">
                          <a:solidFill>
                            <a:srgbClr val="000000"/>
                          </a:solidFill>
                          <a:miter lim="800000"/>
                        </a:ln>
                        <a:effectLst/>
                      </wps:spPr>
                      <wps:txbx>
                        <w:txbxContent>
                          <w:p w14:paraId="48B39AD8">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投资者及其一致行动人XX保证向本公司提供的信息真实、准确、完整，没有虚假记载、误导性陈述或重大遗漏。 </w:t>
                            </w:r>
                          </w:p>
                          <w:p w14:paraId="2D482AD5">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本公司董事会及全体董事保证公告内容与信息披露义务人提供的信息一致。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45pt;margin-top:2.5pt;height:103.2pt;width:465.75pt;mso-position-horizontal-relative:margin;z-index:251659264;mso-width-relative:page;mso-height-relative:page;" fillcolor="#FFFFFF" filled="t" stroked="t" coordsize="21600,21600" o:gfxdata="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WcWpvYAAAACQEAAA8AAAAAAAAAAQAgAAAAIgAAAGRycy9k&#10;b3ducmV2LnhtbFBLAQIUABQAAAAIAIdO4kDXGXA+OwIAAIkEAAAOAAAAAAAAAAEAIAAAACcBAABk&#10;cnMvZTJvRG9jLnhtbFBLBQYAAAAABgAGAFkBAADUBQAAAAA=&#10;">
                <v:fill on="t" focussize="0,0"/>
                <v:stroke color="#000000" miterlimit="8" joinstyle="miter"/>
                <v:imagedata o:title=""/>
                <o:lock v:ext="edit" aspectratio="f"/>
                <v:textbox>
                  <w:txbxContent>
                    <w:p w14:paraId="48B39AD8">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投资者及其一致行动人XX保证向本公司提供的信息真实、准确、完整，没有虚假记载、误导性陈述或重大遗漏。 </w:t>
                      </w:r>
                    </w:p>
                    <w:p w14:paraId="2D482AD5">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本公司董事会及全体董事保证公告内容与信息披露义务人提供的信息一致。</w:t>
                      </w:r>
                    </w:p>
                  </w:txbxContent>
                </v:textbox>
              </v:rect>
            </w:pict>
          </mc:Fallback>
        </mc:AlternateContent>
      </w:r>
    </w:p>
    <w:p w14:paraId="4D1DC7B0">
      <w:pPr>
        <w:widowControl/>
        <w:spacing w:line="540" w:lineRule="exact"/>
        <w:rPr>
          <w:rFonts w:ascii="仿宋" w:hAnsi="仿宋" w:eastAsia="仿宋"/>
          <w:b/>
          <w:bCs/>
          <w:kern w:val="0"/>
          <w:sz w:val="32"/>
          <w:szCs w:val="32"/>
        </w:rPr>
      </w:pPr>
    </w:p>
    <w:p w14:paraId="0A828A53">
      <w:pPr>
        <w:widowControl/>
        <w:spacing w:line="540" w:lineRule="exact"/>
        <w:ind w:firstLine="6880" w:firstLineChars="2150"/>
        <w:jc w:val="right"/>
        <w:rPr>
          <w:rFonts w:ascii="仿宋" w:hAnsi="仿宋" w:eastAsia="仿宋"/>
          <w:kern w:val="0"/>
          <w:sz w:val="32"/>
          <w:szCs w:val="32"/>
        </w:rPr>
      </w:pPr>
    </w:p>
    <w:p w14:paraId="4D014E65">
      <w:pPr>
        <w:widowControl/>
        <w:spacing w:line="540" w:lineRule="exact"/>
        <w:ind w:firstLine="6880" w:firstLineChars="2150"/>
        <w:jc w:val="right"/>
        <w:rPr>
          <w:rFonts w:ascii="仿宋" w:hAnsi="仿宋" w:eastAsia="仿宋"/>
          <w:kern w:val="0"/>
          <w:sz w:val="32"/>
          <w:szCs w:val="32"/>
        </w:rPr>
      </w:pPr>
    </w:p>
    <w:p w14:paraId="46295407">
      <w:pPr>
        <w:widowControl/>
        <w:adjustRightInd w:val="0"/>
        <w:snapToGrid w:val="0"/>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重要内容提示：</w:t>
      </w:r>
    </w:p>
    <w:p w14:paraId="3A897A7E">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本次权益变动属于增持或者减持，是否触及强制要约收购义务</w:t>
      </w:r>
    </w:p>
    <w:p w14:paraId="472D0778">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宋体" w:eastAsia="仿宋_GB2312"/>
          <w:color w:val="000000"/>
          <w:sz w:val="30"/>
          <w:szCs w:val="30"/>
        </w:rPr>
        <w:t>本次权益变动前后，投资者及一致行动人合计</w:t>
      </w:r>
      <w:r>
        <w:rPr>
          <w:rFonts w:hint="eastAsia" w:ascii="仿宋_GB2312" w:eastAsia="仿宋_GB2312"/>
          <w:color w:val="000000"/>
          <w:sz w:val="30"/>
          <w:szCs w:val="30"/>
        </w:rPr>
        <w:t>拥有权益的</w:t>
      </w:r>
      <w:r>
        <w:rPr>
          <w:rFonts w:hint="eastAsia" w:ascii="仿宋_GB2312" w:hAnsi="宋体" w:eastAsia="仿宋_GB2312"/>
          <w:color w:val="000000"/>
          <w:sz w:val="30"/>
          <w:szCs w:val="30"/>
        </w:rPr>
        <w:t>比例变化</w:t>
      </w:r>
    </w:p>
    <w:p w14:paraId="25845C50">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宋体" w:eastAsia="仿宋_GB2312"/>
          <w:color w:val="000000"/>
          <w:sz w:val="30"/>
          <w:szCs w:val="30"/>
        </w:rPr>
        <w:t>本次变动是否违反已作出的承诺、意向、计划</w:t>
      </w:r>
    </w:p>
    <w:p w14:paraId="61D63B1B">
      <w:pPr>
        <w:widowControl/>
        <w:adjustRightInd w:val="0"/>
        <w:snapToGrid w:val="0"/>
        <w:spacing w:line="560" w:lineRule="exact"/>
        <w:ind w:firstLine="600"/>
        <w:rPr>
          <w:rFonts w:ascii="仿宋_GB2312" w:hAnsi="仿宋_GB2312" w:eastAsia="仿宋_GB2312" w:cs="仿宋_GB2312"/>
          <w:sz w:val="30"/>
          <w:szCs w:val="30"/>
        </w:rPr>
      </w:pPr>
    </w:p>
    <w:p w14:paraId="72A67709">
      <w:pPr>
        <w:widowControl/>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b/>
          <w:bCs/>
          <w:sz w:val="30"/>
          <w:szCs w:val="30"/>
        </w:rPr>
        <w:t>一、</w:t>
      </w:r>
      <w:bookmarkStart w:id="6" w:name="_Hlk193523642"/>
      <w:r>
        <w:rPr>
          <w:rFonts w:hint="eastAsia" w:ascii="仿宋_GB2312" w:hAnsi="仿宋_GB2312" w:eastAsia="仿宋_GB2312" w:cs="仿宋_GB2312"/>
          <w:b/>
          <w:bCs/>
          <w:sz w:val="30"/>
          <w:szCs w:val="30"/>
        </w:rPr>
        <w:t>信息披露义务人</w:t>
      </w:r>
      <w:bookmarkEnd w:id="6"/>
      <w:r>
        <w:rPr>
          <w:rFonts w:hint="eastAsia" w:ascii="仿宋_GB2312" w:hAnsi="仿宋_GB2312" w:eastAsia="仿宋_GB2312" w:cs="仿宋_GB2312"/>
          <w:b/>
          <w:bCs/>
          <w:sz w:val="30"/>
          <w:szCs w:val="30"/>
        </w:rPr>
        <w:t>及其一致行动人的基本信息</w:t>
      </w:r>
    </w:p>
    <w:p w14:paraId="77319A9D">
      <w:pPr>
        <w:widowControl/>
        <w:adjustRightInd w:val="0"/>
        <w:snapToGrid w:val="0"/>
        <w:spacing w:line="560" w:lineRule="exact"/>
        <w:ind w:firstLine="600"/>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信息披露义务人应当披露合并计算情况下的身份类别，是否为控股股东、实际控制人及其一致行动人；并分别披露信息披露义务人及其一致行动人的基本情况。</w:t>
      </w:r>
    </w:p>
    <w:p w14:paraId="45056D19">
      <w:pPr>
        <w:widowControl/>
        <w:adjustRightInd w:val="0"/>
        <w:snapToGrid w:val="0"/>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二、权益变动触及1%刻度的基本情况</w:t>
      </w:r>
    </w:p>
    <w:p w14:paraId="7C373FDB">
      <w:pPr>
        <w:widowControl/>
        <w:adjustRightInd w:val="0"/>
        <w:snapToGrid w:val="0"/>
        <w:spacing w:line="560" w:lineRule="exact"/>
        <w:ind w:firstLine="600"/>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w:t>
      </w:r>
      <w:r>
        <w:rPr>
          <w:rFonts w:hint="eastAsia" w:ascii="仿宋_GB2312" w:hAnsi="仿宋_GB2312" w:eastAsia="仿宋_GB2312" w:cs="仿宋_GB2312"/>
          <w:sz w:val="30"/>
          <w:szCs w:val="30"/>
        </w:rPr>
        <w:t>应当披露合并计算情况下，在上市公司中拥有权益的股份触及或者跨越1%的整数倍（如6%、7%）的具体情况，并分别披露</w:t>
      </w:r>
      <w:r>
        <w:rPr>
          <w:rFonts w:hint="eastAsia" w:ascii="仿宋_GB2312" w:hAnsi="宋体" w:eastAsia="仿宋_GB2312"/>
          <w:color w:val="000000"/>
          <w:sz w:val="30"/>
          <w:szCs w:val="30"/>
        </w:rPr>
        <w:t>直接持有上市公司股份的持股主体在本次权益变动前后的持股数量和比例、权益变动</w:t>
      </w:r>
      <w:r>
        <w:rPr>
          <w:rFonts w:hint="eastAsia" w:ascii="仿宋_GB2312" w:hAnsi="仿宋_GB2312" w:eastAsia="仿宋_GB2312" w:cs="仿宋_GB2312"/>
          <w:sz w:val="30"/>
          <w:szCs w:val="30"/>
        </w:rPr>
        <w:t>方式（如集中竞价、大宗交易等）、时间区间等。本次权益变动属于增持的，还需披露增持股份的资金来源（如自有资金、银行贷款、其他金融机构借款、股东借款等）。</w:t>
      </w:r>
    </w:p>
    <w:p w14:paraId="6E99A459">
      <w:pPr>
        <w:widowControl/>
        <w:adjustRightInd w:val="0"/>
        <w:snapToGrid w:val="0"/>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三、其他说明（如适用）</w:t>
      </w:r>
    </w:p>
    <w:p w14:paraId="1742EAD6">
      <w:pPr>
        <w:widowControl/>
        <w:adjustRightInd w:val="0"/>
        <w:snapToGrid w:val="0"/>
        <w:spacing w:line="560" w:lineRule="exact"/>
        <w:ind w:firstLine="600"/>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w:t>
      </w:r>
      <w:r>
        <w:rPr>
          <w:rFonts w:hint="eastAsia" w:ascii="仿宋_GB2312" w:hAnsi="仿宋_GB2312" w:eastAsia="仿宋_GB2312" w:cs="仿宋_GB2312"/>
          <w:sz w:val="30"/>
          <w:szCs w:val="30"/>
        </w:rPr>
        <w:t>及其一致行动人认为需要说明的其他事宜。</w:t>
      </w:r>
    </w:p>
    <w:p w14:paraId="7D37DAFF">
      <w:pPr>
        <w:widowControl/>
        <w:adjustRightInd w:val="0"/>
        <w:snapToGrid w:val="0"/>
        <w:spacing w:line="560" w:lineRule="exact"/>
        <w:ind w:firstLine="600"/>
        <w:jc w:val="left"/>
        <w:rPr>
          <w:rFonts w:ascii="仿宋_GB2312" w:hAnsi="仿宋_GB2312" w:eastAsia="仿宋_GB2312" w:cs="仿宋_GB2312"/>
          <w:sz w:val="30"/>
          <w:szCs w:val="30"/>
        </w:rPr>
      </w:pPr>
    </w:p>
    <w:p w14:paraId="62D95EDF">
      <w:pPr>
        <w:widowControl/>
        <w:adjustRightInd w:val="0"/>
        <w:snapToGri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14:paraId="48198321">
      <w:pPr>
        <w:widowControl/>
        <w:spacing w:line="560" w:lineRule="exact"/>
        <w:jc w:val="right"/>
        <w:rPr>
          <w:rFonts w:ascii="仿宋" w:hAnsi="仿宋" w:eastAsia="仿宋"/>
          <w:sz w:val="32"/>
          <w:szCs w:val="32"/>
        </w:rPr>
      </w:pPr>
      <w:r>
        <w:rPr>
          <w:rFonts w:hint="eastAsia" w:ascii="仿宋_GB2312" w:eastAsia="仿宋_GB2312"/>
          <w:sz w:val="30"/>
          <w:szCs w:val="30"/>
        </w:rPr>
        <w:t>信息披露义务人XXXX</w:t>
      </w:r>
      <w:r>
        <w:rPr>
          <w:rFonts w:hint="eastAsia" w:ascii="仿宋" w:hAnsi="仿宋" w:eastAsia="仿宋"/>
          <w:sz w:val="32"/>
          <w:szCs w:val="32"/>
        </w:rPr>
        <w:t xml:space="preserve">                          </w:t>
      </w:r>
    </w:p>
    <w:p w14:paraId="15C854F8">
      <w:pPr>
        <w:pStyle w:val="31"/>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 xml:space="preserve">年 </w:t>
      </w:r>
      <w:r>
        <w:rPr>
          <w:rFonts w:ascii="仿宋" w:hAnsi="仿宋" w:eastAsia="仿宋_GB2312"/>
          <w:color w:val="000000"/>
          <w:sz w:val="30"/>
          <w:szCs w:val="30"/>
        </w:rPr>
        <w:t xml:space="preserve"> </w:t>
      </w:r>
      <w:r>
        <w:rPr>
          <w:rFonts w:hint="eastAsia" w:ascii="仿宋" w:hAnsi="仿宋" w:eastAsia="仿宋_GB2312"/>
          <w:color w:val="000000"/>
          <w:sz w:val="30"/>
          <w:szCs w:val="30"/>
        </w:rPr>
        <w:t xml:space="preserve">月 </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62F4A683">
      <w:pPr>
        <w:widowControl/>
        <w:spacing w:line="560" w:lineRule="exact"/>
        <w:jc w:val="left"/>
        <w:rPr>
          <w:rFonts w:ascii="仿宋" w:hAnsi="仿宋" w:eastAsia="仿宋"/>
          <w:sz w:val="32"/>
          <w:szCs w:val="32"/>
        </w:rPr>
      </w:pPr>
      <w:bookmarkStart w:id="7" w:name="_Toc7243"/>
    </w:p>
    <w:p w14:paraId="5EA4C994">
      <w:pPr>
        <w:spacing w:line="560" w:lineRule="exact"/>
        <w:ind w:firstLine="600" w:firstLineChars="200"/>
        <w:rPr>
          <w:rFonts w:ascii="仿宋_GB2312" w:hAnsi="仿宋_GB2312" w:eastAsia="仿宋_GB2312" w:cs="仿宋_GB2312"/>
          <w:color w:val="000000"/>
          <w:sz w:val="30"/>
          <w:szCs w:val="30"/>
        </w:rPr>
      </w:pPr>
    </w:p>
    <w:p w14:paraId="72D6125F">
      <w:pPr>
        <w:widowControl/>
        <w:adjustRightInd w:val="0"/>
        <w:snapToGrid w:val="0"/>
        <w:spacing w:line="560" w:lineRule="exact"/>
        <w:ind w:firstLine="600"/>
        <w:jc w:val="center"/>
        <w:rPr>
          <w:rFonts w:ascii="仿宋_GB2312" w:hAnsi="仿宋_GB2312" w:eastAsia="仿宋_GB2312" w:cs="仿宋_GB2312"/>
          <w:sz w:val="30"/>
          <w:szCs w:val="30"/>
        </w:rPr>
      </w:pPr>
    </w:p>
    <w:p w14:paraId="198BBE06">
      <w:pPr>
        <w:widowControl/>
        <w:spacing w:line="560" w:lineRule="exact"/>
        <w:jc w:val="left"/>
        <w:rPr>
          <w:rFonts w:ascii="仿宋" w:hAnsi="仿宋" w:eastAsia="仿宋"/>
          <w:sz w:val="32"/>
          <w:szCs w:val="32"/>
        </w:rPr>
      </w:pPr>
    </w:p>
    <w:p w14:paraId="2105BB3B">
      <w:pPr>
        <w:widowControl/>
        <w:spacing w:line="560" w:lineRule="exact"/>
        <w:jc w:val="right"/>
      </w:pPr>
    </w:p>
    <w:p w14:paraId="73EC921C">
      <w:pPr>
        <w:widowControl/>
        <w:spacing w:line="560" w:lineRule="exact"/>
        <w:jc w:val="right"/>
      </w:pPr>
    </w:p>
    <w:p w14:paraId="55AE278B">
      <w:r>
        <w:br w:type="page"/>
      </w:r>
    </w:p>
    <w:p w14:paraId="152FE494">
      <w:pPr>
        <w:pStyle w:val="3"/>
        <w:rPr>
          <w:rFonts w:cs="Times New Roman"/>
          <w:sz w:val="32"/>
          <w:szCs w:val="32"/>
        </w:rPr>
      </w:pPr>
      <w:bookmarkStart w:id="8" w:name="_Toc25235"/>
      <w:bookmarkStart w:id="9" w:name="_Toc15796"/>
      <w:bookmarkStart w:id="10" w:name="_Toc13741"/>
      <w:bookmarkStart w:id="11" w:name="_Toc190164170"/>
      <w:r>
        <w:rPr>
          <w:rFonts w:hint="eastAsia" w:cs="Times New Roman"/>
          <w:sz w:val="32"/>
          <w:szCs w:val="32"/>
        </w:rPr>
        <w:t>2.科创板上市公司关于股东权益变动的提示性公告</w:t>
      </w:r>
      <w:bookmarkEnd w:id="8"/>
      <w:bookmarkEnd w:id="9"/>
      <w:bookmarkEnd w:id="10"/>
      <w:bookmarkEnd w:id="11"/>
    </w:p>
    <w:p w14:paraId="6960B683">
      <w:pPr>
        <w:spacing w:line="560" w:lineRule="exact"/>
        <w:rPr>
          <w:rFonts w:ascii="仿宋_GB2312" w:hAnsi="Calibri" w:eastAsia="仿宋_GB2312"/>
          <w:b/>
          <w:bCs/>
          <w:sz w:val="30"/>
          <w:szCs w:val="30"/>
        </w:rPr>
      </w:pPr>
    </w:p>
    <w:p w14:paraId="3E46BAFF">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bookmarkEnd w:id="7"/>
    </w:p>
    <w:p w14:paraId="3A80A8B2">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1.投资者及其一致行动人根据相关法律法规须发布详式权益变动报告书、上市公司收购报告书摘要、要约收购报告书摘要等相关公告的，上市公司应按本公告格式及时披露提示性公告；</w:t>
      </w:r>
    </w:p>
    <w:p w14:paraId="74D48941">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2.股东拟公开挂牌出让股份，应当及时通知上市公司，上市公司应按本公告格式及时披露提示性公告；</w:t>
      </w:r>
    </w:p>
    <w:p w14:paraId="18A28597">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3.持有公司5%以上权益的投资者及其一致行动人内部成员或构成发生重大变化，但未导致其持股比例和数量发生变化的，上市公司应按本公告格式及时披露提示性公告；</w:t>
      </w:r>
    </w:p>
    <w:p w14:paraId="2DEBB8D0">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4.持有公司5%以上股份的股东或者实际控制人持股情况或者控制公司的情况发生较大变化，上市公司依规需要履行信息披露义务的，应按本公告格式及时披露提示性公告。</w:t>
      </w:r>
    </w:p>
    <w:p w14:paraId="471DDDED">
      <w:pPr>
        <w:spacing w:line="560" w:lineRule="exact"/>
        <w:ind w:firstLine="600" w:firstLineChars="200"/>
        <w:rPr>
          <w:rFonts w:ascii="仿宋_GB2312" w:hAnsi="仿宋_GB2312" w:eastAsia="仿宋_GB2312" w:cs="仿宋_GB2312"/>
          <w:color w:val="000000"/>
          <w:sz w:val="30"/>
          <w:szCs w:val="30"/>
        </w:rPr>
      </w:pPr>
    </w:p>
    <w:p w14:paraId="5FD7A92F">
      <w:pPr>
        <w:adjustRightInd w:val="0"/>
        <w:snapToGrid w:val="0"/>
        <w:spacing w:line="560" w:lineRule="exact"/>
        <w:rPr>
          <w:rFonts w:ascii="仿宋_GB2312" w:hAnsi="仿宋_GB2312" w:eastAsia="仿宋_GB2312" w:cs="仿宋_GB2312"/>
          <w:color w:val="000000"/>
          <w:sz w:val="30"/>
          <w:szCs w:val="30"/>
        </w:rPr>
      </w:pPr>
      <w:r>
        <w:rPr>
          <w:rFonts w:hint="eastAsia" w:ascii="仿宋_GB2312" w:hAnsi="宋体" w:eastAsia="仿宋_GB2312"/>
          <w:sz w:val="30"/>
          <w:szCs w:val="30"/>
        </w:rPr>
        <w:t>证券代</w:t>
      </w:r>
      <w:bookmarkStart w:id="17" w:name="_GoBack"/>
      <w:bookmarkEnd w:id="17"/>
      <w:r>
        <w:rPr>
          <w:rFonts w:hint="eastAsia" w:ascii="仿宋_GB2312" w:hAnsi="宋体" w:eastAsia="仿宋_GB2312"/>
          <w:sz w:val="30"/>
          <w:szCs w:val="30"/>
        </w:rPr>
        <w:t>码：             证券简称：            公告编号：</w:t>
      </w:r>
    </w:p>
    <w:p w14:paraId="6F8252FA">
      <w:pPr>
        <w:spacing w:line="560" w:lineRule="exact"/>
        <w:ind w:firstLine="600" w:firstLineChars="200"/>
        <w:jc w:val="left"/>
        <w:rPr>
          <w:rFonts w:ascii="仿宋_GB2312" w:hAnsi="仿宋_GB2312" w:eastAsia="仿宋_GB2312" w:cs="仿宋_GB2312"/>
          <w:color w:val="000000"/>
          <w:sz w:val="30"/>
          <w:szCs w:val="30"/>
        </w:rPr>
      </w:pPr>
    </w:p>
    <w:p w14:paraId="75B63807">
      <w:pPr>
        <w:spacing w:line="5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XXXX股份有限公司关于股东权益变动的提示性公告</w:t>
      </w:r>
    </w:p>
    <w:p w14:paraId="6A906471">
      <w:pPr>
        <w:spacing w:line="560" w:lineRule="exact"/>
        <w:ind w:firstLine="600" w:firstLineChars="200"/>
        <w:jc w:val="left"/>
        <w:rPr>
          <w:rFonts w:ascii="仿宋_GB2312" w:hAnsi="仿宋_GB2312" w:eastAsia="仿宋_GB2312" w:cs="仿宋_GB2312"/>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36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6A45A7">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本公司董事会及全体董事保证本公告内容不存在任何虚假记载、误导性陈述或者重大遗漏，并对其内容的真实性、准确性和完整性承担法律责任。</w:t>
            </w:r>
          </w:p>
          <w:p w14:paraId="47FEE226">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如有董事对临时公告的内容的真实性、准确性和完整性无法保证或存在异议的，公司应当在公告中作特别提示。</w:t>
            </w:r>
          </w:p>
        </w:tc>
      </w:tr>
    </w:tbl>
    <w:p w14:paraId="00E85A5D">
      <w:pPr>
        <w:spacing w:line="560" w:lineRule="exact"/>
        <w:rPr>
          <w:rFonts w:ascii="仿宋_GB2312" w:eastAsia="仿宋_GB2312"/>
          <w:sz w:val="30"/>
          <w:szCs w:val="30"/>
        </w:rPr>
      </w:pPr>
    </w:p>
    <w:p w14:paraId="6CDF4992">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bookmarkStart w:id="12" w:name="_Toc6944"/>
      <w:r>
        <w:rPr>
          <w:rFonts w:hint="eastAsia" w:ascii="仿宋_GB2312" w:hAnsi="仿宋_GB2312" w:eastAsia="仿宋_GB2312" w:cs="仿宋_GB2312"/>
          <w:b/>
          <w:color w:val="000000"/>
          <w:kern w:val="0"/>
          <w:sz w:val="30"/>
          <w:szCs w:val="30"/>
        </w:rPr>
        <w:t>重要内容提示：</w:t>
      </w:r>
      <w:bookmarkEnd w:id="12"/>
    </w:p>
    <w:p w14:paraId="4D165130">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本次权益变动属于增持或者减持，是否触及要约收购</w:t>
      </w:r>
    </w:p>
    <w:p w14:paraId="6C357A13">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宋体" w:eastAsia="仿宋_GB2312"/>
          <w:color w:val="000000"/>
          <w:sz w:val="30"/>
          <w:szCs w:val="30"/>
        </w:rPr>
        <w:t>本次权益变动后该投资者及一致行动人合计</w:t>
      </w:r>
      <w:r>
        <w:rPr>
          <w:rFonts w:hint="eastAsia" w:ascii="仿宋_GB2312" w:eastAsia="仿宋_GB2312"/>
          <w:color w:val="000000"/>
          <w:sz w:val="30"/>
          <w:szCs w:val="30"/>
        </w:rPr>
        <w:t>拥有权益的股份</w:t>
      </w:r>
      <w:r>
        <w:rPr>
          <w:rFonts w:hint="eastAsia" w:ascii="仿宋_GB2312" w:hAnsi="宋体" w:eastAsia="仿宋_GB2312"/>
          <w:color w:val="000000"/>
          <w:sz w:val="30"/>
          <w:szCs w:val="30"/>
        </w:rPr>
        <w:t>数量及占公司总股本的比例</w:t>
      </w:r>
    </w:p>
    <w:p w14:paraId="5A990A5C">
      <w:pPr>
        <w:numPr>
          <w:ilvl w:val="1"/>
          <w:numId w:val="2"/>
        </w:numPr>
        <w:tabs>
          <w:tab w:val="clear" w:pos="1320"/>
        </w:tabs>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本次权益变动是否使公司控股股东及实际控制人发生变化</w:t>
      </w:r>
    </w:p>
    <w:p w14:paraId="3C2F5525">
      <w:pPr>
        <w:snapToGrid w:val="0"/>
        <w:spacing w:line="560" w:lineRule="exact"/>
        <w:rPr>
          <w:rFonts w:ascii="宋体" w:hAnsi="宋体"/>
          <w:sz w:val="24"/>
        </w:rPr>
      </w:pPr>
    </w:p>
    <w:p w14:paraId="7EE25197">
      <w:pPr>
        <w:spacing w:line="560" w:lineRule="exact"/>
        <w:ind w:firstLine="602" w:firstLineChars="200"/>
        <w:rPr>
          <w:rFonts w:ascii="黑体" w:hAnsi="黑体" w:eastAsia="黑体" w:cs="黑体"/>
          <w:b/>
          <w:color w:val="000000"/>
          <w:kern w:val="0"/>
          <w:sz w:val="30"/>
          <w:szCs w:val="30"/>
        </w:rPr>
      </w:pPr>
      <w:bookmarkStart w:id="13" w:name="_Toc13378"/>
      <w:r>
        <w:rPr>
          <w:rFonts w:hint="eastAsia" w:ascii="黑体" w:hAnsi="黑体" w:eastAsia="黑体" w:cs="黑体"/>
          <w:b/>
          <w:color w:val="000000"/>
          <w:kern w:val="0"/>
          <w:sz w:val="30"/>
          <w:szCs w:val="30"/>
        </w:rPr>
        <w:t>一、本次权益变动基本情况</w:t>
      </w:r>
      <w:bookmarkEnd w:id="13"/>
    </w:p>
    <w:p w14:paraId="4B61164D">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发生适用情形（</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）所列情形时，上市公司应当披露本次权益变动的具体情况，包括</w:t>
      </w:r>
      <w:r>
        <w:rPr>
          <w:rFonts w:hint="eastAsia" w:ascii="仿宋_GB2312" w:hAnsi="仿宋_GB2312" w:eastAsia="仿宋_GB2312" w:cs="仿宋_GB2312"/>
          <w:color w:val="000000"/>
          <w:sz w:val="30"/>
          <w:szCs w:val="30"/>
        </w:rPr>
        <w:t>投资者及其一致行动人</w:t>
      </w:r>
      <w:r>
        <w:rPr>
          <w:rFonts w:hint="eastAsia" w:ascii="仿宋_GB2312" w:hAnsi="仿宋_GB2312" w:eastAsia="仿宋_GB2312" w:cs="仿宋_GB2312"/>
          <w:kern w:val="0"/>
          <w:sz w:val="30"/>
          <w:szCs w:val="30"/>
        </w:rPr>
        <w:t>基本情况、其在上市公司中拥有权益的股份增加或减少的时间及方式（如通过证券交易所交易的成交时间、股权转让协议的签订时间、行政划转或者变更的批准时间、司法裁定书下达时间等）；变动数量和比例；增持股份的资金来源；是否会导致公司第一大股东或者实际控制人发生变化；并说明相关股权转让协议、行政批准文件、司法裁定书的主要内容。发生适用情形（4）所列情形时，上市公司参照适用前述披露要求。</w:t>
      </w:r>
    </w:p>
    <w:p w14:paraId="66A158F8">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发生适用情形（</w:t>
      </w: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）所列情形时，上市公司应当披露拟出让股份的股东名称、公开挂牌的时间及股份数、挂牌出让结果对公司控制权的影响。</w:t>
      </w:r>
    </w:p>
    <w:p w14:paraId="56DF097E">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发生适用情形（3）所列情形时，上市公司应当披露一致行动人的成员或构成发生变化的具体情况，包括股权转让双方及其持股比例变化，并</w:t>
      </w:r>
      <w:r>
        <w:rPr>
          <w:rFonts w:hint="eastAsia" w:ascii="仿宋_GB2312" w:hAnsi="仿宋_GB2312" w:eastAsia="仿宋_GB2312" w:cs="仿宋_GB2312"/>
          <w:sz w:val="30"/>
          <w:szCs w:val="30"/>
        </w:rPr>
        <w:t>以</w:t>
      </w:r>
      <w:r>
        <w:rPr>
          <w:rFonts w:hint="eastAsia" w:ascii="仿宋_GB2312" w:hAnsi="仿宋_GB2312" w:eastAsia="仿宋_GB2312" w:cs="仿宋_GB2312"/>
          <w:bCs/>
          <w:sz w:val="30"/>
          <w:szCs w:val="30"/>
        </w:rPr>
        <w:t>文字或图表</w:t>
      </w:r>
      <w:r>
        <w:rPr>
          <w:rFonts w:hint="eastAsia" w:ascii="仿宋_GB2312" w:hAnsi="仿宋_GB2312" w:eastAsia="仿宋_GB2312" w:cs="仿宋_GB2312"/>
          <w:sz w:val="30"/>
          <w:szCs w:val="30"/>
        </w:rPr>
        <w:t>方式表述变化前后上市公司股东及其一致行动人的股权结构关系。</w:t>
      </w:r>
      <w:r>
        <w:rPr>
          <w:rFonts w:hint="eastAsia" w:ascii="仿宋_GB2312" w:hAnsi="仿宋_GB2312" w:eastAsia="仿宋_GB2312" w:cs="仿宋_GB2312"/>
          <w:kern w:val="0"/>
          <w:sz w:val="30"/>
          <w:szCs w:val="30"/>
        </w:rPr>
        <w:t>股权结构变化是否会导致公司控股股东及实际控制人发生变化；是否触及要约收购。</w:t>
      </w:r>
    </w:p>
    <w:p w14:paraId="457C1A17">
      <w:pPr>
        <w:spacing w:line="560" w:lineRule="exact"/>
        <w:ind w:firstLine="600" w:firstLineChars="200"/>
        <w:outlineLvl w:val="0"/>
        <w:rPr>
          <w:rFonts w:ascii="仿宋_GB2312" w:hAnsi="仿宋_GB2312" w:eastAsia="仿宋_GB2312" w:cs="仿宋_GB2312"/>
          <w:kern w:val="0"/>
          <w:sz w:val="30"/>
          <w:szCs w:val="30"/>
        </w:rPr>
      </w:pPr>
    </w:p>
    <w:p w14:paraId="4501ACBC">
      <w:pPr>
        <w:spacing w:line="560" w:lineRule="exact"/>
        <w:ind w:firstLine="602" w:firstLineChars="200"/>
        <w:rPr>
          <w:rFonts w:ascii="黑体" w:hAnsi="黑体" w:eastAsia="黑体" w:cs="黑体"/>
          <w:b/>
          <w:color w:val="000000"/>
          <w:kern w:val="0"/>
          <w:sz w:val="30"/>
          <w:szCs w:val="30"/>
        </w:rPr>
      </w:pPr>
      <w:bookmarkStart w:id="14" w:name="_Toc14251"/>
      <w:r>
        <w:rPr>
          <w:rFonts w:hint="eastAsia" w:ascii="黑体" w:hAnsi="黑体" w:eastAsia="黑体" w:cs="黑体"/>
          <w:b/>
          <w:color w:val="000000"/>
          <w:kern w:val="0"/>
          <w:sz w:val="30"/>
          <w:szCs w:val="30"/>
        </w:rPr>
        <w:t>二、所涉及后续事项</w:t>
      </w:r>
      <w:bookmarkEnd w:id="14"/>
    </w:p>
    <w:p w14:paraId="6C4C93F7">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说明上述权益变动情况是否会导致控股股东、实际控制人的变化。如发生变化，应当披露控股股东、实际控制人的股权结构图，其他需要提醒投资者注意的与此次控股股东和实际控制人发生变动的相关事项。</w:t>
      </w:r>
    </w:p>
    <w:p w14:paraId="50D56B9B">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w:t>
      </w:r>
      <w:r>
        <w:rPr>
          <w:rFonts w:hint="eastAsia" w:ascii="仿宋_GB2312" w:hAnsi="仿宋_GB2312" w:eastAsia="仿宋_GB2312" w:cs="仿宋_GB2312"/>
          <w:color w:val="000000"/>
          <w:sz w:val="30"/>
          <w:szCs w:val="30"/>
        </w:rPr>
        <w:t>投资者及其一致行动人</w:t>
      </w:r>
      <w:r>
        <w:rPr>
          <w:rFonts w:hint="eastAsia" w:ascii="仿宋_GB2312" w:hAnsi="仿宋_GB2312" w:eastAsia="仿宋_GB2312" w:cs="仿宋_GB2312"/>
          <w:sz w:val="30"/>
          <w:szCs w:val="30"/>
        </w:rPr>
        <w:t>权益变动等事项是否涉及披露权益变动报告书、收购报告书及摘要、要约收购报告书及摘要等后续工作，及拟披露的时间。</w:t>
      </w:r>
    </w:p>
    <w:p w14:paraId="268E0356">
      <w:pPr>
        <w:spacing w:line="560" w:lineRule="exact"/>
        <w:ind w:firstLine="600" w:firstLineChars="200"/>
        <w:rPr>
          <w:rFonts w:ascii="仿宋_GB2312" w:hAnsi="仿宋_GB2312" w:eastAsia="仿宋_GB2312" w:cs="仿宋_GB2312"/>
          <w:color w:val="000000"/>
          <w:sz w:val="30"/>
          <w:szCs w:val="30"/>
        </w:rPr>
      </w:pPr>
    </w:p>
    <w:p w14:paraId="3122AE8B">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特此公告。</w:t>
      </w:r>
    </w:p>
    <w:p w14:paraId="1A8EDC18">
      <w:pPr>
        <w:widowControl/>
        <w:adjustRightInd w:val="0"/>
        <w:snapToGrid w:val="0"/>
        <w:spacing w:line="560" w:lineRule="exact"/>
        <w:ind w:firstLine="600"/>
        <w:jc w:val="right"/>
        <w:rPr>
          <w:rFonts w:ascii="仿宋_GB2312" w:hAnsi="仿宋_GB2312" w:eastAsia="仿宋_GB2312" w:cs="仿宋_GB2312"/>
          <w:sz w:val="30"/>
          <w:szCs w:val="30"/>
        </w:rPr>
      </w:pPr>
    </w:p>
    <w:p w14:paraId="759E5723">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14:paraId="5681D26C">
      <w:pPr>
        <w:widowControl/>
        <w:adjustRightInd w:val="0"/>
        <w:snapToGrid w:val="0"/>
        <w:spacing w:line="560" w:lineRule="exact"/>
        <w:ind w:firstLine="6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4D726B0D">
      <w:pPr>
        <w:widowControl/>
        <w:adjustRightInd w:val="0"/>
        <w:snapToGrid w:val="0"/>
        <w:spacing w:line="560" w:lineRule="exact"/>
        <w:ind w:firstLine="600"/>
        <w:jc w:val="right"/>
        <w:rPr>
          <w:rFonts w:ascii="仿宋_GB2312" w:hAnsi="仿宋_GB2312" w:eastAsia="仿宋_GB2312" w:cs="仿宋_GB2312"/>
          <w:sz w:val="30"/>
          <w:szCs w:val="30"/>
        </w:rPr>
      </w:pPr>
    </w:p>
    <w:p w14:paraId="3981A831">
      <w:pPr>
        <w:pStyle w:val="27"/>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bookmarkStart w:id="15" w:name="_Toc20977"/>
      <w:r>
        <w:rPr>
          <w:rFonts w:hint="eastAsia" w:ascii="仿宋_GB2312" w:hAnsi="宋体" w:eastAsia="仿宋_GB2312"/>
          <w:b/>
          <w:color w:val="000000"/>
          <w:sz w:val="30"/>
          <w:szCs w:val="30"/>
        </w:rPr>
        <w:t>报备文件</w:t>
      </w:r>
      <w:bookmarkEnd w:id="15"/>
    </w:p>
    <w:p w14:paraId="3E1E2ACE">
      <w:pPr>
        <w:autoSpaceDE w:val="0"/>
        <w:autoSpaceDN w:val="0"/>
        <w:adjustRightInd w:val="0"/>
        <w:snapToGrid w:val="0"/>
        <w:spacing w:line="560" w:lineRule="exact"/>
        <w:ind w:firstLine="600" w:firstLineChars="200"/>
        <w:jc w:val="left"/>
        <w:rPr>
          <w:rFonts w:ascii="仿宋_GB2312" w:hAnsi="仿宋_GB2312" w:eastAsia="仿宋_GB2312" w:cs="仿宋_GB2312"/>
          <w:kern w:val="0"/>
          <w:sz w:val="30"/>
          <w:szCs w:val="30"/>
        </w:rPr>
      </w:pPr>
      <w:bookmarkStart w:id="16" w:name="_Toc8907"/>
      <w:r>
        <w:rPr>
          <w:rFonts w:hint="eastAsia" w:ascii="仿宋_GB2312" w:hAnsi="仿宋_GB2312" w:eastAsia="仿宋_GB2312" w:cs="仿宋_GB2312"/>
          <w:kern w:val="0"/>
          <w:sz w:val="30"/>
          <w:szCs w:val="30"/>
        </w:rPr>
        <w:t>股份转让协议</w:t>
      </w:r>
      <w:bookmarkEnd w:id="16"/>
      <w:r>
        <w:rPr>
          <w:rFonts w:hint="eastAsia" w:ascii="仿宋_GB2312" w:hAnsi="仿宋_GB2312" w:eastAsia="仿宋_GB2312" w:cs="仿宋_GB2312"/>
          <w:kern w:val="0"/>
          <w:sz w:val="30"/>
          <w:szCs w:val="30"/>
        </w:rPr>
        <w:t>（如适用）</w:t>
      </w:r>
    </w:p>
    <w:p w14:paraId="265CF3DC">
      <w:pPr>
        <w:autoSpaceDE w:val="0"/>
        <w:autoSpaceDN w:val="0"/>
        <w:adjustRightInd w:val="0"/>
        <w:snapToGrid w:val="0"/>
        <w:spacing w:line="560" w:lineRule="exact"/>
        <w:ind w:firstLine="420" w:firstLineChars="20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331594"/>
    </w:sdtPr>
    <w:sdtContent>
      <w:p w14:paraId="4D3765A5">
        <w:pPr>
          <w:pStyle w:val="9"/>
          <w:jc w:val="center"/>
        </w:pPr>
        <w:r>
          <w:fldChar w:fldCharType="begin"/>
        </w:r>
        <w:r>
          <w:instrText xml:space="preserve"> PAGE   \* MERGEFORMAT </w:instrText>
        </w:r>
        <w:r>
          <w:fldChar w:fldCharType="separate"/>
        </w:r>
        <w:r>
          <w:rPr>
            <w:lang w:val="zh-CN"/>
          </w:rPr>
          <w:t>7</w:t>
        </w:r>
        <w:r>
          <w:rPr>
            <w:lang w:val="zh-CN"/>
          </w:rPr>
          <w:fldChar w:fldCharType="end"/>
        </w:r>
      </w:p>
    </w:sdtContent>
  </w:sdt>
  <w:p w14:paraId="61433BA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9385A0C"/>
    <w:multiLevelType w:val="multilevel"/>
    <w:tmpl w:val="39385A0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74"/>
    <w:rsid w:val="00004DD7"/>
    <w:rsid w:val="00014618"/>
    <w:rsid w:val="00037BBA"/>
    <w:rsid w:val="00040BF7"/>
    <w:rsid w:val="0004247D"/>
    <w:rsid w:val="000A575F"/>
    <w:rsid w:val="000A7369"/>
    <w:rsid w:val="000B4F4A"/>
    <w:rsid w:val="000C4B97"/>
    <w:rsid w:val="000D0966"/>
    <w:rsid w:val="000D3228"/>
    <w:rsid w:val="000E162F"/>
    <w:rsid w:val="001002DA"/>
    <w:rsid w:val="001209D4"/>
    <w:rsid w:val="00127306"/>
    <w:rsid w:val="00132C0A"/>
    <w:rsid w:val="00134C38"/>
    <w:rsid w:val="00156974"/>
    <w:rsid w:val="00163FFB"/>
    <w:rsid w:val="001674BD"/>
    <w:rsid w:val="00184F8D"/>
    <w:rsid w:val="001C7CDE"/>
    <w:rsid w:val="001D0CF3"/>
    <w:rsid w:val="001D0D02"/>
    <w:rsid w:val="00204A79"/>
    <w:rsid w:val="002244D6"/>
    <w:rsid w:val="00233E4A"/>
    <w:rsid w:val="00237E4E"/>
    <w:rsid w:val="00244723"/>
    <w:rsid w:val="0028264D"/>
    <w:rsid w:val="002D3C17"/>
    <w:rsid w:val="002D64B8"/>
    <w:rsid w:val="00315428"/>
    <w:rsid w:val="00316340"/>
    <w:rsid w:val="00320221"/>
    <w:rsid w:val="00331954"/>
    <w:rsid w:val="00365A93"/>
    <w:rsid w:val="003D42F4"/>
    <w:rsid w:val="00420A5A"/>
    <w:rsid w:val="00424130"/>
    <w:rsid w:val="004560FD"/>
    <w:rsid w:val="00463C17"/>
    <w:rsid w:val="00492803"/>
    <w:rsid w:val="00495D21"/>
    <w:rsid w:val="004A48FF"/>
    <w:rsid w:val="004B1CFB"/>
    <w:rsid w:val="004C5DAE"/>
    <w:rsid w:val="004D4876"/>
    <w:rsid w:val="004E0ABA"/>
    <w:rsid w:val="004F3397"/>
    <w:rsid w:val="004F79B3"/>
    <w:rsid w:val="005123B9"/>
    <w:rsid w:val="00536B0A"/>
    <w:rsid w:val="0054329E"/>
    <w:rsid w:val="00545103"/>
    <w:rsid w:val="00570909"/>
    <w:rsid w:val="00571F2B"/>
    <w:rsid w:val="005B34D2"/>
    <w:rsid w:val="00605CCC"/>
    <w:rsid w:val="00660566"/>
    <w:rsid w:val="006777BA"/>
    <w:rsid w:val="006A3D47"/>
    <w:rsid w:val="006B063E"/>
    <w:rsid w:val="007371CC"/>
    <w:rsid w:val="00743E96"/>
    <w:rsid w:val="007469BE"/>
    <w:rsid w:val="007A1359"/>
    <w:rsid w:val="007C0F35"/>
    <w:rsid w:val="007C5366"/>
    <w:rsid w:val="007F3164"/>
    <w:rsid w:val="008068CB"/>
    <w:rsid w:val="008163E2"/>
    <w:rsid w:val="00860A81"/>
    <w:rsid w:val="008912D0"/>
    <w:rsid w:val="00891FFC"/>
    <w:rsid w:val="008A0392"/>
    <w:rsid w:val="008A6F90"/>
    <w:rsid w:val="008B5C59"/>
    <w:rsid w:val="008C21FF"/>
    <w:rsid w:val="008D6D0A"/>
    <w:rsid w:val="008E002E"/>
    <w:rsid w:val="00902301"/>
    <w:rsid w:val="00906DB9"/>
    <w:rsid w:val="00955A24"/>
    <w:rsid w:val="00972434"/>
    <w:rsid w:val="00987CD1"/>
    <w:rsid w:val="009A0C8F"/>
    <w:rsid w:val="009A21BA"/>
    <w:rsid w:val="009A4E11"/>
    <w:rsid w:val="009B2C35"/>
    <w:rsid w:val="009B5A65"/>
    <w:rsid w:val="009D5C7C"/>
    <w:rsid w:val="00A0366B"/>
    <w:rsid w:val="00A1563F"/>
    <w:rsid w:val="00A54C08"/>
    <w:rsid w:val="00A64F4C"/>
    <w:rsid w:val="00A924BD"/>
    <w:rsid w:val="00AC7226"/>
    <w:rsid w:val="00B5605F"/>
    <w:rsid w:val="00B60110"/>
    <w:rsid w:val="00B8596A"/>
    <w:rsid w:val="00BD518E"/>
    <w:rsid w:val="00C03F01"/>
    <w:rsid w:val="00C448CD"/>
    <w:rsid w:val="00C646BC"/>
    <w:rsid w:val="00C653BC"/>
    <w:rsid w:val="00C85925"/>
    <w:rsid w:val="00CA1AB6"/>
    <w:rsid w:val="00CA5B44"/>
    <w:rsid w:val="00CC2BD7"/>
    <w:rsid w:val="00CC66A9"/>
    <w:rsid w:val="00D0138D"/>
    <w:rsid w:val="00D068E9"/>
    <w:rsid w:val="00D077DA"/>
    <w:rsid w:val="00D72E42"/>
    <w:rsid w:val="00D76D04"/>
    <w:rsid w:val="00D90ED7"/>
    <w:rsid w:val="00DD7B20"/>
    <w:rsid w:val="00DF659E"/>
    <w:rsid w:val="00E42C23"/>
    <w:rsid w:val="00E435A5"/>
    <w:rsid w:val="00E50953"/>
    <w:rsid w:val="00E66E9F"/>
    <w:rsid w:val="00E859AD"/>
    <w:rsid w:val="00EB252C"/>
    <w:rsid w:val="00EE2ECA"/>
    <w:rsid w:val="00EE3C52"/>
    <w:rsid w:val="00F03012"/>
    <w:rsid w:val="00F565D4"/>
    <w:rsid w:val="00F7364A"/>
    <w:rsid w:val="00F818A4"/>
    <w:rsid w:val="00F83409"/>
    <w:rsid w:val="00FD5005"/>
    <w:rsid w:val="00FD6D47"/>
    <w:rsid w:val="016F15D5"/>
    <w:rsid w:val="01C67DA4"/>
    <w:rsid w:val="01FD7E4B"/>
    <w:rsid w:val="0209667A"/>
    <w:rsid w:val="02327E75"/>
    <w:rsid w:val="026648EF"/>
    <w:rsid w:val="02B371EA"/>
    <w:rsid w:val="02E87E56"/>
    <w:rsid w:val="035C1239"/>
    <w:rsid w:val="03847CD4"/>
    <w:rsid w:val="03F24A85"/>
    <w:rsid w:val="043369AF"/>
    <w:rsid w:val="04B638C9"/>
    <w:rsid w:val="04FC403D"/>
    <w:rsid w:val="05451811"/>
    <w:rsid w:val="0570657B"/>
    <w:rsid w:val="05D94925"/>
    <w:rsid w:val="05F11FCC"/>
    <w:rsid w:val="064D26E6"/>
    <w:rsid w:val="06D67865"/>
    <w:rsid w:val="07C628A3"/>
    <w:rsid w:val="07E76C04"/>
    <w:rsid w:val="086B0277"/>
    <w:rsid w:val="08E97AAB"/>
    <w:rsid w:val="08EA2FAE"/>
    <w:rsid w:val="08FA5383"/>
    <w:rsid w:val="092E6F1B"/>
    <w:rsid w:val="094C2DE1"/>
    <w:rsid w:val="098C05B9"/>
    <w:rsid w:val="0A010578"/>
    <w:rsid w:val="0AB04E98"/>
    <w:rsid w:val="0B755EDB"/>
    <w:rsid w:val="0C3D01E0"/>
    <w:rsid w:val="0C892520"/>
    <w:rsid w:val="0CCD4F3B"/>
    <w:rsid w:val="0CE65A97"/>
    <w:rsid w:val="0D0A0A6A"/>
    <w:rsid w:val="0DB17A04"/>
    <w:rsid w:val="0DC0001E"/>
    <w:rsid w:val="0E277570"/>
    <w:rsid w:val="0E583695"/>
    <w:rsid w:val="0E871FE6"/>
    <w:rsid w:val="0EA0188B"/>
    <w:rsid w:val="0F366D17"/>
    <w:rsid w:val="0F52151F"/>
    <w:rsid w:val="0FE07C99"/>
    <w:rsid w:val="1075575A"/>
    <w:rsid w:val="11357ABD"/>
    <w:rsid w:val="116C2CA3"/>
    <w:rsid w:val="11AE2812"/>
    <w:rsid w:val="11B05D16"/>
    <w:rsid w:val="1298498E"/>
    <w:rsid w:val="129B4AD1"/>
    <w:rsid w:val="12E2340F"/>
    <w:rsid w:val="132A1CFF"/>
    <w:rsid w:val="13EB21F9"/>
    <w:rsid w:val="144D217E"/>
    <w:rsid w:val="15EB3A81"/>
    <w:rsid w:val="166F54F2"/>
    <w:rsid w:val="16F7073B"/>
    <w:rsid w:val="173405A0"/>
    <w:rsid w:val="17916249"/>
    <w:rsid w:val="17A96650"/>
    <w:rsid w:val="17EE4314"/>
    <w:rsid w:val="18141C83"/>
    <w:rsid w:val="185A16FC"/>
    <w:rsid w:val="186B64BF"/>
    <w:rsid w:val="18E24DE3"/>
    <w:rsid w:val="18FD7B8B"/>
    <w:rsid w:val="19B10934"/>
    <w:rsid w:val="19E850E3"/>
    <w:rsid w:val="19FD7E6D"/>
    <w:rsid w:val="1A3F149C"/>
    <w:rsid w:val="1B0659E2"/>
    <w:rsid w:val="1B4704F0"/>
    <w:rsid w:val="1B65127F"/>
    <w:rsid w:val="1C393D1E"/>
    <w:rsid w:val="1C773C54"/>
    <w:rsid w:val="1C9E770D"/>
    <w:rsid w:val="1CE407F6"/>
    <w:rsid w:val="1D135804"/>
    <w:rsid w:val="1D41310E"/>
    <w:rsid w:val="1EFC33E4"/>
    <w:rsid w:val="1F053CF4"/>
    <w:rsid w:val="1F59625A"/>
    <w:rsid w:val="1F8117A2"/>
    <w:rsid w:val="1F82454D"/>
    <w:rsid w:val="1FCE373D"/>
    <w:rsid w:val="1FD00E3E"/>
    <w:rsid w:val="20245A9E"/>
    <w:rsid w:val="20A420B7"/>
    <w:rsid w:val="212B570F"/>
    <w:rsid w:val="21391393"/>
    <w:rsid w:val="213E4898"/>
    <w:rsid w:val="21A11C8E"/>
    <w:rsid w:val="225E6A76"/>
    <w:rsid w:val="22715F0F"/>
    <w:rsid w:val="22D749B9"/>
    <w:rsid w:val="234E7D22"/>
    <w:rsid w:val="2444710E"/>
    <w:rsid w:val="2449690E"/>
    <w:rsid w:val="24D95404"/>
    <w:rsid w:val="254734B9"/>
    <w:rsid w:val="255911D5"/>
    <w:rsid w:val="25866706"/>
    <w:rsid w:val="25C25381"/>
    <w:rsid w:val="25CB2FB1"/>
    <w:rsid w:val="26974867"/>
    <w:rsid w:val="269975E3"/>
    <w:rsid w:val="269A7680"/>
    <w:rsid w:val="27D904E6"/>
    <w:rsid w:val="2821281E"/>
    <w:rsid w:val="282A31F1"/>
    <w:rsid w:val="282B5B6F"/>
    <w:rsid w:val="2846384D"/>
    <w:rsid w:val="2893739E"/>
    <w:rsid w:val="28A5355D"/>
    <w:rsid w:val="29181BE3"/>
    <w:rsid w:val="29290B96"/>
    <w:rsid w:val="29525B48"/>
    <w:rsid w:val="299B7BD0"/>
    <w:rsid w:val="29B84F82"/>
    <w:rsid w:val="2B933824"/>
    <w:rsid w:val="2CAB4F54"/>
    <w:rsid w:val="2CBC7C43"/>
    <w:rsid w:val="2CE22EB0"/>
    <w:rsid w:val="2CF71F51"/>
    <w:rsid w:val="2D220192"/>
    <w:rsid w:val="2D885DEC"/>
    <w:rsid w:val="2DB5450D"/>
    <w:rsid w:val="2DDA1700"/>
    <w:rsid w:val="2E543EA7"/>
    <w:rsid w:val="2EBD7006"/>
    <w:rsid w:val="2F7A1C2F"/>
    <w:rsid w:val="30090859"/>
    <w:rsid w:val="30622E72"/>
    <w:rsid w:val="315A7B86"/>
    <w:rsid w:val="31DE3C7B"/>
    <w:rsid w:val="31F9440D"/>
    <w:rsid w:val="3204001F"/>
    <w:rsid w:val="32067C9F"/>
    <w:rsid w:val="324A05E0"/>
    <w:rsid w:val="329655CE"/>
    <w:rsid w:val="331039D5"/>
    <w:rsid w:val="33BC5580"/>
    <w:rsid w:val="33CA77A6"/>
    <w:rsid w:val="34145801"/>
    <w:rsid w:val="34893DA5"/>
    <w:rsid w:val="34AD52AF"/>
    <w:rsid w:val="34E500D8"/>
    <w:rsid w:val="357F2005"/>
    <w:rsid w:val="358949DD"/>
    <w:rsid w:val="36306DF5"/>
    <w:rsid w:val="36327D7A"/>
    <w:rsid w:val="36422007"/>
    <w:rsid w:val="3660246F"/>
    <w:rsid w:val="36840A7D"/>
    <w:rsid w:val="36E865A3"/>
    <w:rsid w:val="37273B0A"/>
    <w:rsid w:val="373E6FB2"/>
    <w:rsid w:val="37410A59"/>
    <w:rsid w:val="37774756"/>
    <w:rsid w:val="37A75BE2"/>
    <w:rsid w:val="37B90E7A"/>
    <w:rsid w:val="386A72E1"/>
    <w:rsid w:val="387C443B"/>
    <w:rsid w:val="392E0B3F"/>
    <w:rsid w:val="39390702"/>
    <w:rsid w:val="39756BD2"/>
    <w:rsid w:val="39957106"/>
    <w:rsid w:val="3A0863F5"/>
    <w:rsid w:val="3AF86D4E"/>
    <w:rsid w:val="3B0765C7"/>
    <w:rsid w:val="3C26613B"/>
    <w:rsid w:val="3C551209"/>
    <w:rsid w:val="3C612A9D"/>
    <w:rsid w:val="3C6627A8"/>
    <w:rsid w:val="3CC06339"/>
    <w:rsid w:val="3DE572A3"/>
    <w:rsid w:val="3E0221C9"/>
    <w:rsid w:val="3E3A5BA6"/>
    <w:rsid w:val="3E7F5015"/>
    <w:rsid w:val="3EC97E6D"/>
    <w:rsid w:val="3F28453A"/>
    <w:rsid w:val="3F304187"/>
    <w:rsid w:val="3F4F1E6B"/>
    <w:rsid w:val="3F7B14E1"/>
    <w:rsid w:val="3FDC5738"/>
    <w:rsid w:val="40061999"/>
    <w:rsid w:val="4086576B"/>
    <w:rsid w:val="40E070FE"/>
    <w:rsid w:val="415A0117"/>
    <w:rsid w:val="41E221A4"/>
    <w:rsid w:val="421A7D25"/>
    <w:rsid w:val="421F4DB2"/>
    <w:rsid w:val="42CF43AB"/>
    <w:rsid w:val="42DD58BF"/>
    <w:rsid w:val="42EC5ED9"/>
    <w:rsid w:val="43552086"/>
    <w:rsid w:val="43D86168"/>
    <w:rsid w:val="44CA2EEC"/>
    <w:rsid w:val="451232E0"/>
    <w:rsid w:val="466C4816"/>
    <w:rsid w:val="4689281A"/>
    <w:rsid w:val="47C63E08"/>
    <w:rsid w:val="48490FA1"/>
    <w:rsid w:val="491856F9"/>
    <w:rsid w:val="49A34A17"/>
    <w:rsid w:val="49B54134"/>
    <w:rsid w:val="4A2A683B"/>
    <w:rsid w:val="4A344BCC"/>
    <w:rsid w:val="4A641E98"/>
    <w:rsid w:val="4AB95033"/>
    <w:rsid w:val="4B431506"/>
    <w:rsid w:val="4B5F55B3"/>
    <w:rsid w:val="4B93309F"/>
    <w:rsid w:val="4B9F72C1"/>
    <w:rsid w:val="4BD56877"/>
    <w:rsid w:val="4C6C5AF1"/>
    <w:rsid w:val="4CCA0089"/>
    <w:rsid w:val="4D1107FD"/>
    <w:rsid w:val="4D3C2946"/>
    <w:rsid w:val="4DA31D93"/>
    <w:rsid w:val="4DDC11CB"/>
    <w:rsid w:val="4E1B1644"/>
    <w:rsid w:val="4F427818"/>
    <w:rsid w:val="4F586138"/>
    <w:rsid w:val="4FF22C73"/>
    <w:rsid w:val="507D4765"/>
    <w:rsid w:val="50EF6321"/>
    <w:rsid w:val="50F419E6"/>
    <w:rsid w:val="51384450"/>
    <w:rsid w:val="517E1341"/>
    <w:rsid w:val="52320449"/>
    <w:rsid w:val="52AF2D38"/>
    <w:rsid w:val="5301082D"/>
    <w:rsid w:val="530214BD"/>
    <w:rsid w:val="53311748"/>
    <w:rsid w:val="53B860CE"/>
    <w:rsid w:val="54D36574"/>
    <w:rsid w:val="54DC4246"/>
    <w:rsid w:val="54EB2BAB"/>
    <w:rsid w:val="54FE5A7F"/>
    <w:rsid w:val="551A1B2C"/>
    <w:rsid w:val="553539DB"/>
    <w:rsid w:val="564E29DF"/>
    <w:rsid w:val="56F94885"/>
    <w:rsid w:val="57313A27"/>
    <w:rsid w:val="57E171D9"/>
    <w:rsid w:val="58024DF3"/>
    <w:rsid w:val="582111C7"/>
    <w:rsid w:val="585010C7"/>
    <w:rsid w:val="58A8585F"/>
    <w:rsid w:val="58D760D0"/>
    <w:rsid w:val="59926803"/>
    <w:rsid w:val="5B115297"/>
    <w:rsid w:val="5B6A0607"/>
    <w:rsid w:val="5B74479A"/>
    <w:rsid w:val="5B8F011A"/>
    <w:rsid w:val="5C2D6B3E"/>
    <w:rsid w:val="5C3D1C65"/>
    <w:rsid w:val="5C5B1215"/>
    <w:rsid w:val="5D1C3851"/>
    <w:rsid w:val="5F312F3C"/>
    <w:rsid w:val="60123B4E"/>
    <w:rsid w:val="6049025D"/>
    <w:rsid w:val="606C77EB"/>
    <w:rsid w:val="60BC4C41"/>
    <w:rsid w:val="614B4CAE"/>
    <w:rsid w:val="61672B5B"/>
    <w:rsid w:val="62467FCB"/>
    <w:rsid w:val="625627E4"/>
    <w:rsid w:val="6266314D"/>
    <w:rsid w:val="630D144B"/>
    <w:rsid w:val="63502316"/>
    <w:rsid w:val="63CE60C7"/>
    <w:rsid w:val="63F26742"/>
    <w:rsid w:val="63FC0596"/>
    <w:rsid w:val="648433BE"/>
    <w:rsid w:val="65071D4D"/>
    <w:rsid w:val="650C485D"/>
    <w:rsid w:val="652B6A8A"/>
    <w:rsid w:val="6593079F"/>
    <w:rsid w:val="6653561F"/>
    <w:rsid w:val="66567ED8"/>
    <w:rsid w:val="66860EDB"/>
    <w:rsid w:val="66AB5E4B"/>
    <w:rsid w:val="67ED7120"/>
    <w:rsid w:val="683462CE"/>
    <w:rsid w:val="684756A2"/>
    <w:rsid w:val="685811C0"/>
    <w:rsid w:val="686626D4"/>
    <w:rsid w:val="68C42A6D"/>
    <w:rsid w:val="68F4217F"/>
    <w:rsid w:val="6A143034"/>
    <w:rsid w:val="6A2C7000"/>
    <w:rsid w:val="6A9205B0"/>
    <w:rsid w:val="6B1B1CC8"/>
    <w:rsid w:val="6B5F00A5"/>
    <w:rsid w:val="6B6D624F"/>
    <w:rsid w:val="6C9327AE"/>
    <w:rsid w:val="6D144001"/>
    <w:rsid w:val="6D3632BC"/>
    <w:rsid w:val="6DD61B41"/>
    <w:rsid w:val="6F2C4671"/>
    <w:rsid w:val="6F4D2F60"/>
    <w:rsid w:val="6FAF46CD"/>
    <w:rsid w:val="71434477"/>
    <w:rsid w:val="719F49E4"/>
    <w:rsid w:val="71E44BEA"/>
    <w:rsid w:val="71F55553"/>
    <w:rsid w:val="73065FC6"/>
    <w:rsid w:val="7328385A"/>
    <w:rsid w:val="73BB0F6D"/>
    <w:rsid w:val="74052660"/>
    <w:rsid w:val="74341D22"/>
    <w:rsid w:val="751D3132"/>
    <w:rsid w:val="76521EAA"/>
    <w:rsid w:val="769D4131"/>
    <w:rsid w:val="76C7316E"/>
    <w:rsid w:val="76FE02C3"/>
    <w:rsid w:val="772E1F11"/>
    <w:rsid w:val="77C5780E"/>
    <w:rsid w:val="784513E1"/>
    <w:rsid w:val="78674E18"/>
    <w:rsid w:val="78947487"/>
    <w:rsid w:val="795641E2"/>
    <w:rsid w:val="797E6B5F"/>
    <w:rsid w:val="79853F6B"/>
    <w:rsid w:val="79D44F27"/>
    <w:rsid w:val="79E7658E"/>
    <w:rsid w:val="7A140357"/>
    <w:rsid w:val="7AA228A8"/>
    <w:rsid w:val="7AA656C8"/>
    <w:rsid w:val="7ADA6E1B"/>
    <w:rsid w:val="7B9A1458"/>
    <w:rsid w:val="7C354D92"/>
    <w:rsid w:val="7C3F79E7"/>
    <w:rsid w:val="7D507824"/>
    <w:rsid w:val="7DC25096"/>
    <w:rsid w:val="7E5D02C0"/>
    <w:rsid w:val="7E913B8C"/>
    <w:rsid w:val="7F2D5A4D"/>
    <w:rsid w:val="7F532FB0"/>
    <w:rsid w:val="7F7E24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30"/>
    <w:unhideWhenUsed/>
    <w:qFormat/>
    <w:uiPriority w:val="9"/>
    <w:pPr>
      <w:keepNext/>
      <w:keepLines/>
      <w:spacing w:line="415" w:lineRule="auto"/>
      <w:jc w:val="center"/>
      <w:outlineLvl w:val="1"/>
    </w:pPr>
    <w:rPr>
      <w:rFonts w:ascii="黑体" w:hAnsi="黑体" w:eastAsia="黑体" w:cstheme="majorBidi"/>
      <w:b/>
      <w:bCs/>
      <w:sz w:val="36"/>
      <w:szCs w:val="36"/>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Document Map"/>
    <w:basedOn w:val="1"/>
    <w:link w:val="28"/>
    <w:semiHidden/>
    <w:unhideWhenUsed/>
    <w:qFormat/>
    <w:uiPriority w:val="99"/>
    <w:rPr>
      <w:rFonts w:ascii="宋体"/>
      <w:sz w:val="18"/>
      <w:szCs w:val="18"/>
    </w:rPr>
  </w:style>
  <w:style w:type="paragraph" w:styleId="6">
    <w:name w:val="annotation text"/>
    <w:basedOn w:val="1"/>
    <w:link w:val="25"/>
    <w:semiHidden/>
    <w:unhideWhenUsed/>
    <w:qFormat/>
    <w:uiPriority w:val="99"/>
    <w:pPr>
      <w:jc w:val="left"/>
    </w:pPr>
  </w:style>
  <w:style w:type="paragraph" w:styleId="7">
    <w:name w:val="Body Text Indent"/>
    <w:basedOn w:val="1"/>
    <w:link w:val="21"/>
    <w:unhideWhenUsed/>
    <w:qFormat/>
    <w:uiPriority w:val="0"/>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tabs>
        <w:tab w:val="right" w:leader="dot" w:pos="8296"/>
      </w:tabs>
      <w:spacing w:line="520" w:lineRule="exact"/>
      <w:ind w:left="420" w:leftChars="200"/>
    </w:pPr>
    <w:rPr>
      <w:rFonts w:ascii="仿宋" w:hAnsi="仿宋" w:eastAsia="仿宋_GB2312" w:cs="宋体"/>
      <w:b/>
      <w:bCs/>
      <w:kern w:val="0"/>
      <w:sz w:val="30"/>
      <w:szCs w:val="30"/>
    </w:rPr>
  </w:style>
  <w:style w:type="paragraph" w:styleId="13">
    <w:name w:val="Title"/>
    <w:basedOn w:val="1"/>
    <w:next w:val="1"/>
    <w:link w:val="20"/>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26"/>
    <w:semiHidden/>
    <w:unhideWhenUsed/>
    <w:qFormat/>
    <w:uiPriority w:val="99"/>
    <w:rPr>
      <w:b/>
      <w:bCs/>
    </w:rPr>
  </w:style>
  <w:style w:type="table" w:styleId="16">
    <w:name w:val="Table Grid"/>
    <w:basedOn w:val="15"/>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字符"/>
    <w:basedOn w:val="17"/>
    <w:link w:val="13"/>
    <w:qFormat/>
    <w:uiPriority w:val="0"/>
    <w:rPr>
      <w:rFonts w:ascii="Cambria" w:hAnsi="Cambria" w:eastAsia="宋体" w:cs="Times New Roman"/>
      <w:b/>
      <w:bCs/>
      <w:sz w:val="32"/>
      <w:szCs w:val="32"/>
    </w:rPr>
  </w:style>
  <w:style w:type="character" w:customStyle="1" w:styleId="21">
    <w:name w:val="正文文本缩进 字符"/>
    <w:basedOn w:val="17"/>
    <w:link w:val="7"/>
    <w:qFormat/>
    <w:uiPriority w:val="0"/>
    <w:rPr>
      <w:rFonts w:ascii="Times New Roman" w:hAnsi="Times New Roman" w:eastAsia="宋体" w:cs="Times New Roman"/>
      <w:szCs w:val="24"/>
    </w:rPr>
  </w:style>
  <w:style w:type="character" w:customStyle="1" w:styleId="22">
    <w:name w:val="批注框文本 字符"/>
    <w:basedOn w:val="17"/>
    <w:link w:val="8"/>
    <w:semiHidden/>
    <w:qFormat/>
    <w:uiPriority w:val="99"/>
    <w:rPr>
      <w:rFonts w:ascii="Times New Roman" w:hAnsi="Times New Roman"/>
      <w:kern w:val="2"/>
      <w:sz w:val="18"/>
      <w:szCs w:val="18"/>
    </w:rPr>
  </w:style>
  <w:style w:type="character" w:customStyle="1" w:styleId="23">
    <w:name w:val="页眉 字符"/>
    <w:basedOn w:val="17"/>
    <w:link w:val="10"/>
    <w:qFormat/>
    <w:uiPriority w:val="99"/>
    <w:rPr>
      <w:rFonts w:ascii="Times New Roman" w:hAnsi="Times New Roman"/>
      <w:kern w:val="2"/>
      <w:sz w:val="18"/>
      <w:szCs w:val="18"/>
    </w:rPr>
  </w:style>
  <w:style w:type="character" w:customStyle="1" w:styleId="24">
    <w:name w:val="页脚 字符"/>
    <w:basedOn w:val="17"/>
    <w:link w:val="9"/>
    <w:qFormat/>
    <w:uiPriority w:val="99"/>
    <w:rPr>
      <w:rFonts w:ascii="Times New Roman" w:hAnsi="Times New Roman"/>
      <w:kern w:val="2"/>
      <w:sz w:val="18"/>
      <w:szCs w:val="18"/>
    </w:rPr>
  </w:style>
  <w:style w:type="character" w:customStyle="1" w:styleId="25">
    <w:name w:val="批注文字 字符"/>
    <w:basedOn w:val="17"/>
    <w:link w:val="6"/>
    <w:semiHidden/>
    <w:qFormat/>
    <w:uiPriority w:val="99"/>
    <w:rPr>
      <w:rFonts w:ascii="Times New Roman" w:hAnsi="Times New Roman"/>
      <w:kern w:val="2"/>
      <w:sz w:val="21"/>
      <w:szCs w:val="24"/>
    </w:rPr>
  </w:style>
  <w:style w:type="character" w:customStyle="1" w:styleId="26">
    <w:name w:val="批注主题 字符"/>
    <w:basedOn w:val="25"/>
    <w:link w:val="14"/>
    <w:semiHidden/>
    <w:qFormat/>
    <w:uiPriority w:val="99"/>
    <w:rPr>
      <w:rFonts w:ascii="Times New Roman" w:hAnsi="Times New Roman"/>
      <w:b/>
      <w:bCs/>
      <w:kern w:val="2"/>
      <w:sz w:val="21"/>
      <w:szCs w:val="24"/>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文档结构图 字符"/>
    <w:basedOn w:val="17"/>
    <w:link w:val="5"/>
    <w:semiHidden/>
    <w:qFormat/>
    <w:uiPriority w:val="99"/>
    <w:rPr>
      <w:rFonts w:ascii="宋体" w:hAnsi="Times New Roman"/>
      <w:kern w:val="2"/>
      <w:sz w:val="18"/>
      <w:szCs w:val="18"/>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标题 2 字符"/>
    <w:basedOn w:val="17"/>
    <w:link w:val="3"/>
    <w:qFormat/>
    <w:uiPriority w:val="9"/>
    <w:rPr>
      <w:rFonts w:ascii="黑体" w:hAnsi="黑体" w:eastAsia="黑体" w:cstheme="majorBidi"/>
      <w:b/>
      <w:bCs/>
      <w:kern w:val="2"/>
      <w:sz w:val="36"/>
      <w:szCs w:val="36"/>
    </w:rPr>
  </w:style>
  <w:style w:type="paragraph" w:customStyle="1" w:styleId="31">
    <w:name w:val="p0"/>
    <w:basedOn w:val="1"/>
    <w:qFormat/>
    <w:uiPriority w:val="0"/>
    <w:pPr>
      <w:widowControl/>
    </w:pPr>
    <w:rPr>
      <w:rFonts w:ascii="Book Antiqua" w:hAnsi="Book Antiqua" w:cs="宋体"/>
      <w:kern w:val="0"/>
      <w:sz w:val="24"/>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2160</Words>
  <Characters>2197</Characters>
  <Lines>145</Lines>
  <Paragraphs>51</Paragraphs>
  <TotalTime>3</TotalTime>
  <ScaleCrop>false</ScaleCrop>
  <LinksUpToDate>false</LinksUpToDate>
  <CharactersWithSpaces>2286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2025-08-14T08:20:00Z</dcterms:created>
  <dc:creator>wentinglou</dc:creator>
  <cp:lastModifiedBy>yjqin</cp:lastModifiedBy>
  <cp:lastPrinted>2025-03-10T07:39:00Z</cp:lastPrinted>
  <dcterms:modified xsi:type="dcterms:W3CDTF">2025-08-27T02:38:39Z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01A966E51D1446E189EC8285EA318334</vt:lpwstr>
  </property>
  <property fmtid="{D5CDD505-2E9C-101B-9397-08002B2CF9AE}" pid="4" name="KSOTemplateDocerSaveRecord">
    <vt:lpwstr>eyJoZGlkIjoiNWVjMDAxZGMyMGQ1M2Q2NTZiZjllYWYzNGExYWExZGUiLCJ1c2VySWQiOiIxMzU5Mjk3MTkxIn0=</vt:lpwstr>
  </property>
</Properties>
</file>