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D2BEC">
      <w:pPr>
        <w:pStyle w:val="2"/>
        <w:spacing w:before="0" w:after="0" w:line="600" w:lineRule="exact"/>
        <w:jc w:val="center"/>
        <w:rPr>
          <w:rFonts w:ascii="黑体" w:hAnsi="黑体" w:eastAsia="黑体"/>
          <w:sz w:val="36"/>
          <w:szCs w:val="36"/>
        </w:rPr>
      </w:pPr>
      <w:bookmarkStart w:id="4" w:name="_GoBack"/>
      <w:bookmarkEnd w:id="4"/>
      <w:bookmarkStart w:id="0" w:name="_Toc531799901"/>
      <w:bookmarkStart w:id="1" w:name="_Toc501975012"/>
      <w:bookmarkStart w:id="2" w:name="_Toc340839649"/>
      <w:bookmarkStart w:id="3" w:name="_Toc330904165"/>
      <w:r>
        <w:rPr>
          <w:rFonts w:hint="eastAsia" w:ascii="黑体" w:hAnsi="黑体" w:eastAsia="黑体"/>
          <w:sz w:val="36"/>
          <w:szCs w:val="36"/>
        </w:rPr>
        <w:t>第十四号</w:t>
      </w:r>
      <w:r>
        <w:rPr>
          <w:rFonts w:ascii="黑体" w:hAnsi="黑体" w:eastAsia="黑体"/>
          <w:sz w:val="36"/>
          <w:szCs w:val="36"/>
        </w:rPr>
        <w:t xml:space="preserve"> </w:t>
      </w:r>
      <w:r>
        <w:rPr>
          <w:rFonts w:hint="eastAsia" w:ascii="黑体" w:hAnsi="黑体" w:eastAsia="黑体"/>
          <w:sz w:val="36"/>
          <w:szCs w:val="36"/>
        </w:rPr>
        <w:t>科创板上市公司业绩快报公告</w:t>
      </w:r>
      <w:bookmarkEnd w:id="0"/>
    </w:p>
    <w:p w14:paraId="64F05E82">
      <w:pPr>
        <w:spacing w:line="600" w:lineRule="exact"/>
      </w:pPr>
    </w:p>
    <w:p w14:paraId="0CBFF04B">
      <w:pPr>
        <w:widowControl/>
        <w:spacing w:line="600" w:lineRule="exact"/>
        <w:jc w:val="left"/>
        <w:rPr>
          <w:rFonts w:ascii="仿宋_GB2312" w:hAnsi="宋体" w:eastAsia="仿宋_GB2312"/>
          <w:b/>
          <w:sz w:val="30"/>
          <w:szCs w:val="30"/>
        </w:rPr>
      </w:pPr>
      <w:r>
        <w:rPr>
          <w:rFonts w:hint="eastAsia" w:ascii="仿宋_GB2312" w:hAnsi="宋体" w:eastAsia="仿宋_GB2312"/>
          <w:b/>
          <w:sz w:val="30"/>
          <w:szCs w:val="30"/>
        </w:rPr>
        <w:t>适用情形：</w:t>
      </w:r>
    </w:p>
    <w:p w14:paraId="4EBCFCEB">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1</w:t>
      </w:r>
      <w:r>
        <w:rPr>
          <w:rFonts w:hint="eastAsia" w:ascii="仿宋_GB2312" w:hAnsi="宋体" w:eastAsia="仿宋_GB2312"/>
          <w:bCs/>
          <w:sz w:val="30"/>
          <w:szCs w:val="30"/>
        </w:rPr>
        <w:t>.科创板上市公司（以下简称上市公司）预计不能在会计年度结束之日起</w:t>
      </w:r>
      <w:r>
        <w:rPr>
          <w:rFonts w:ascii="仿宋_GB2312" w:hAnsi="宋体" w:eastAsia="仿宋_GB2312"/>
          <w:bCs/>
          <w:sz w:val="30"/>
          <w:szCs w:val="30"/>
        </w:rPr>
        <w:t>2</w:t>
      </w:r>
      <w:r>
        <w:rPr>
          <w:rFonts w:hint="eastAsia" w:ascii="仿宋_GB2312" w:hAnsi="宋体" w:eastAsia="仿宋_GB2312"/>
          <w:bCs/>
          <w:sz w:val="30"/>
          <w:szCs w:val="30"/>
        </w:rPr>
        <w:t>个月内披露年度报告的，应当在该会计年度结束之日起</w:t>
      </w:r>
      <w:r>
        <w:rPr>
          <w:rFonts w:ascii="仿宋_GB2312" w:hAnsi="宋体" w:eastAsia="仿宋_GB2312"/>
          <w:bCs/>
          <w:sz w:val="30"/>
          <w:szCs w:val="30"/>
        </w:rPr>
        <w:t>2</w:t>
      </w:r>
      <w:r>
        <w:rPr>
          <w:rFonts w:hint="eastAsia" w:ascii="仿宋_GB2312" w:hAnsi="宋体" w:eastAsia="仿宋_GB2312"/>
          <w:bCs/>
          <w:sz w:val="30"/>
          <w:szCs w:val="30"/>
        </w:rPr>
        <w:t>个月内按照《上海证券交易所科创板股票上市规则》第</w:t>
      </w:r>
      <w:r>
        <w:rPr>
          <w:rFonts w:ascii="仿宋_GB2312" w:hAnsi="宋体" w:eastAsia="仿宋_GB2312"/>
          <w:bCs/>
          <w:sz w:val="30"/>
          <w:szCs w:val="30"/>
        </w:rPr>
        <w:t>6.2.5</w:t>
      </w:r>
      <w:r>
        <w:rPr>
          <w:rFonts w:hint="eastAsia" w:ascii="仿宋_GB2312" w:hAnsi="宋体" w:eastAsia="仿宋_GB2312"/>
          <w:bCs/>
          <w:sz w:val="30"/>
          <w:szCs w:val="30"/>
        </w:rPr>
        <w:t>条的要求披露业绩快报。</w:t>
      </w:r>
      <w:r>
        <w:rPr>
          <w:rFonts w:ascii="仿宋_GB2312" w:hAnsi="宋体" w:eastAsia="仿宋_GB2312"/>
          <w:bCs/>
          <w:sz w:val="30"/>
          <w:szCs w:val="30"/>
        </w:rPr>
        <w:t xml:space="preserve"> </w:t>
      </w:r>
    </w:p>
    <w:p w14:paraId="1634B07B">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2</w:t>
      </w:r>
      <w:r>
        <w:rPr>
          <w:rFonts w:hint="eastAsia" w:ascii="仿宋_GB2312" w:hAnsi="宋体" w:eastAsia="仿宋_GB2312"/>
          <w:bCs/>
          <w:sz w:val="30"/>
          <w:szCs w:val="30"/>
        </w:rPr>
        <w:t>.上市公司在定期报告正式披露前向国家有关机关报送未公开的定期财务数据，预计无法保密，适用本公告格式指引。</w:t>
      </w:r>
    </w:p>
    <w:p w14:paraId="2F621E2E">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3</w:t>
      </w:r>
      <w:r>
        <w:rPr>
          <w:rFonts w:hint="eastAsia" w:ascii="仿宋_GB2312" w:hAnsi="宋体" w:eastAsia="仿宋_GB2312"/>
          <w:bCs/>
          <w:sz w:val="30"/>
          <w:szCs w:val="30"/>
        </w:rPr>
        <w:t>.上市公司在定期报告正式披露前出现业绩提前泄漏，或者因业绩传闻导致公司股票交易异常波动等情形，适用本公告格式指引。</w:t>
      </w:r>
    </w:p>
    <w:p w14:paraId="2854528C">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4</w:t>
      </w:r>
      <w:r>
        <w:rPr>
          <w:rFonts w:hint="eastAsia" w:ascii="仿宋_GB2312" w:hAnsi="宋体" w:eastAsia="仿宋_GB2312"/>
          <w:bCs/>
          <w:sz w:val="30"/>
          <w:szCs w:val="30"/>
        </w:rPr>
        <w:t>.上市公司认为需要或本所要求发布业绩快报的，参照适用本公告格式指引。</w:t>
      </w:r>
    </w:p>
    <w:p w14:paraId="1EC52BDB">
      <w:pPr>
        <w:adjustRightInd w:val="0"/>
        <w:snapToGrid w:val="0"/>
        <w:spacing w:line="600" w:lineRule="exact"/>
        <w:rPr>
          <w:rFonts w:hint="eastAsia" w:ascii="仿宋_GB2312" w:hAnsi="宋体" w:eastAsia="仿宋_GB2312"/>
          <w:bCs/>
          <w:sz w:val="30"/>
          <w:szCs w:val="30"/>
        </w:rPr>
      </w:pPr>
    </w:p>
    <w:p w14:paraId="7160EC05">
      <w:pPr>
        <w:adjustRightInd w:val="0"/>
        <w:snapToGrid w:val="0"/>
        <w:spacing w:line="600" w:lineRule="exact"/>
        <w:rPr>
          <w:rFonts w:hint="eastAsia" w:ascii="仿宋_GB2312" w:hAnsi="宋体" w:eastAsia="仿宋_GB2312"/>
          <w:bCs/>
          <w:sz w:val="30"/>
          <w:szCs w:val="30"/>
        </w:rPr>
      </w:pPr>
      <w:r>
        <w:rPr>
          <w:rFonts w:hint="eastAsia" w:ascii="仿宋_GB2312" w:hAnsi="宋体" w:eastAsia="仿宋_GB2312"/>
          <w:bCs/>
          <w:sz w:val="30"/>
          <w:szCs w:val="30"/>
        </w:rPr>
        <w:t>证券代码：</w:t>
      </w:r>
      <w:r>
        <w:rPr>
          <w:rFonts w:ascii="仿宋_GB2312" w:hAnsi="宋体" w:eastAsia="仿宋_GB2312"/>
          <w:bCs/>
          <w:sz w:val="30"/>
          <w:szCs w:val="30"/>
        </w:rPr>
        <w:t xml:space="preserve">             </w:t>
      </w:r>
      <w:r>
        <w:rPr>
          <w:rFonts w:hint="eastAsia" w:ascii="仿宋_GB2312" w:hAnsi="宋体" w:eastAsia="仿宋_GB2312"/>
          <w:bCs/>
          <w:sz w:val="30"/>
          <w:szCs w:val="30"/>
        </w:rPr>
        <w:t>证券简称：</w:t>
      </w:r>
      <w:r>
        <w:rPr>
          <w:rFonts w:ascii="仿宋_GB2312" w:hAnsi="宋体" w:eastAsia="仿宋_GB2312"/>
          <w:bCs/>
          <w:sz w:val="30"/>
          <w:szCs w:val="30"/>
        </w:rPr>
        <w:t xml:space="preserve">            </w:t>
      </w:r>
      <w:r>
        <w:rPr>
          <w:rFonts w:hint="eastAsia" w:ascii="仿宋_GB2312" w:hAnsi="宋体" w:eastAsia="仿宋_GB2312"/>
          <w:bCs/>
          <w:sz w:val="30"/>
          <w:szCs w:val="30"/>
        </w:rPr>
        <w:t>公告编号：</w:t>
      </w:r>
    </w:p>
    <w:p w14:paraId="2626147F">
      <w:pPr>
        <w:adjustRightInd w:val="0"/>
        <w:snapToGrid w:val="0"/>
        <w:spacing w:line="600" w:lineRule="exact"/>
        <w:rPr>
          <w:rFonts w:ascii="仿宋_GB2312" w:hAnsi="宋体" w:eastAsia="仿宋_GB2312"/>
          <w:bCs/>
          <w:sz w:val="30"/>
          <w:szCs w:val="30"/>
        </w:rPr>
      </w:pPr>
    </w:p>
    <w:p w14:paraId="16538838">
      <w:pPr>
        <w:spacing w:line="600" w:lineRule="exact"/>
        <w:jc w:val="center"/>
        <w:rPr>
          <w:rFonts w:ascii="仿宋_GB2312" w:hAnsi="宋体" w:eastAsia="仿宋_GB2312"/>
          <w:sz w:val="30"/>
          <w:szCs w:val="30"/>
        </w:rPr>
      </w:pPr>
      <w:r>
        <w:rPr>
          <w:rFonts w:ascii="仿宋_GB2312" w:hAnsi="宋体" w:eastAsia="仿宋_GB2312"/>
          <w:sz w:val="30"/>
          <w:szCs w:val="30"/>
        </w:rPr>
        <w:t>XXXX股份有限公司</w:t>
      </w:r>
    </w:p>
    <w:p w14:paraId="30F2E57F">
      <w:pPr>
        <w:spacing w:line="600" w:lineRule="exact"/>
        <w:jc w:val="center"/>
        <w:rPr>
          <w:rFonts w:hint="eastAsia" w:ascii="仿宋_GB2312" w:hAnsi="宋体" w:eastAsia="仿宋_GB2312"/>
          <w:sz w:val="30"/>
          <w:szCs w:val="30"/>
        </w:rPr>
      </w:pPr>
      <w:r>
        <w:rPr>
          <w:rFonts w:ascii="仿宋_GB2312" w:hAnsi="宋体" w:eastAsia="仿宋_GB2312"/>
          <w:sz w:val="30"/>
          <w:szCs w:val="30"/>
        </w:rPr>
        <w:t>XX年度（第一季度、半年度、前三季度）业绩快报公告</w:t>
      </w:r>
    </w:p>
    <w:p w14:paraId="29A3400A">
      <w:pPr>
        <w:adjustRightInd w:val="0"/>
        <w:snapToGrid w:val="0"/>
        <w:spacing w:line="600" w:lineRule="exact"/>
        <w:jc w:val="center"/>
        <w:rPr>
          <w:rFonts w:ascii="仿宋_GB2312" w:hAnsi="宋体" w:eastAsia="仿宋_GB2312"/>
          <w:sz w:val="30"/>
          <w:szCs w:val="30"/>
        </w:rPr>
      </w:pPr>
    </w:p>
    <w:p w14:paraId="1659573D">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本公司董事会及全体董事保证本公告内容不存在任何虚假记载、误导性陈述或者重大遗漏，并对其内容的真实性、准确性和完整性依法承担法律责任。</w:t>
      </w:r>
    </w:p>
    <w:p w14:paraId="4A86A8DD">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如有董事对临时公告内容的真实性、准确性和完整性无法保证或存在异议的，公司应当在公告中作特别提示。</w:t>
      </w:r>
    </w:p>
    <w:p w14:paraId="67B9AF2D">
      <w:pPr>
        <w:autoSpaceDE w:val="0"/>
        <w:autoSpaceDN w:val="0"/>
        <w:adjustRightInd w:val="0"/>
        <w:snapToGrid w:val="0"/>
        <w:spacing w:line="600" w:lineRule="exact"/>
        <w:jc w:val="left"/>
        <w:rPr>
          <w:rFonts w:ascii="宋体" w:hAnsi="宋体"/>
          <w:sz w:val="24"/>
        </w:rPr>
      </w:pPr>
    </w:p>
    <w:p w14:paraId="6298952C">
      <w:pPr>
        <w:autoSpaceDE w:val="0"/>
        <w:autoSpaceDN w:val="0"/>
        <w:adjustRightInd w:val="0"/>
        <w:snapToGrid w:val="0"/>
        <w:spacing w:line="600" w:lineRule="exact"/>
        <w:ind w:firstLine="600" w:firstLineChars="200"/>
        <w:jc w:val="left"/>
        <w:rPr>
          <w:rFonts w:ascii="仿宋_GB2312" w:hAnsi="宋体" w:eastAsia="仿宋_GB2312" w:cs="宋体-WinCharSetFFFF-H"/>
          <w:kern w:val="0"/>
          <w:sz w:val="30"/>
          <w:szCs w:val="30"/>
        </w:rPr>
      </w:pPr>
      <w:r>
        <w:rPr>
          <w:rFonts w:hint="eastAsia" w:ascii="仿宋_GB2312" w:hAnsi="宋体" w:eastAsia="仿宋_GB2312" w:cs="宋体-WinCharSetFFFF-H"/>
          <w:kern w:val="0"/>
          <w:sz w:val="30"/>
          <w:szCs w:val="30"/>
        </w:rPr>
        <w:t>本公告所载</w:t>
      </w:r>
      <w:r>
        <w:rPr>
          <w:rFonts w:ascii="仿宋_GB2312" w:hAnsi="宋体" w:eastAsia="仿宋_GB2312" w:cs="宋体-WinCharSetFFFF-H"/>
          <w:kern w:val="0"/>
          <w:sz w:val="30"/>
          <w:szCs w:val="30"/>
        </w:rPr>
        <w:t>20XX年度</w:t>
      </w:r>
      <w:r>
        <w:rPr>
          <w:rFonts w:hint="eastAsia" w:ascii="仿宋_GB2312" w:hAnsi="宋体" w:eastAsia="仿宋_GB2312" w:cs="宋体"/>
          <w:kern w:val="0"/>
          <w:sz w:val="30"/>
          <w:szCs w:val="30"/>
        </w:rPr>
        <w:t>（或第一季度、半年度、前三季度）</w:t>
      </w:r>
      <w:r>
        <w:rPr>
          <w:rFonts w:hint="eastAsia" w:ascii="仿宋_GB2312" w:hAnsi="宋体" w:eastAsia="仿宋_GB2312" w:cs="宋体-WinCharSetFFFF-H"/>
          <w:kern w:val="0"/>
          <w:sz w:val="30"/>
          <w:szCs w:val="30"/>
        </w:rPr>
        <w:t>主要财务数据为初步核算数据，未经会计师事务所审计，具体数据以公司</w:t>
      </w:r>
      <w:r>
        <w:rPr>
          <w:rFonts w:ascii="仿宋_GB2312" w:hAnsi="宋体" w:eastAsia="仿宋_GB2312" w:cs="宋体-WinCharSetFFFF-H"/>
          <w:kern w:val="0"/>
          <w:sz w:val="30"/>
          <w:szCs w:val="30"/>
        </w:rPr>
        <w:t>20XX年年度</w:t>
      </w:r>
      <w:r>
        <w:rPr>
          <w:rFonts w:hint="eastAsia" w:ascii="仿宋_GB2312" w:hAnsi="宋体" w:eastAsia="仿宋_GB2312"/>
          <w:sz w:val="30"/>
          <w:szCs w:val="30"/>
        </w:rPr>
        <w:t>（第一季度、半年度、前三季度）</w:t>
      </w:r>
      <w:r>
        <w:rPr>
          <w:rFonts w:hint="eastAsia" w:ascii="仿宋_GB2312" w:hAnsi="宋体" w:eastAsia="仿宋_GB2312" w:cs="宋体-WinCharSetFFFF-H"/>
          <w:kern w:val="0"/>
          <w:sz w:val="30"/>
          <w:szCs w:val="30"/>
        </w:rPr>
        <w:t>的定期报告为准，提请投资者注意投资风险。</w:t>
      </w:r>
    </w:p>
    <w:p w14:paraId="24C75DA8">
      <w:pPr>
        <w:autoSpaceDE w:val="0"/>
        <w:autoSpaceDN w:val="0"/>
        <w:adjustRightInd w:val="0"/>
        <w:snapToGrid w:val="0"/>
        <w:spacing w:line="600" w:lineRule="exact"/>
        <w:ind w:firstLine="480" w:firstLineChars="200"/>
        <w:jc w:val="left"/>
        <w:rPr>
          <w:rFonts w:ascii="宋体" w:hAnsi="宋体" w:cs="宋体"/>
          <w:kern w:val="0"/>
          <w:sz w:val="24"/>
        </w:rPr>
      </w:pPr>
    </w:p>
    <w:p w14:paraId="5B140CEE">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w:t>
      </w:r>
      <w:r>
        <w:rPr>
          <w:rFonts w:ascii="黑体" w:hAnsi="黑体" w:eastAsia="黑体" w:cs="宋体"/>
          <w:b/>
          <w:color w:val="000000"/>
          <w:kern w:val="0"/>
          <w:sz w:val="32"/>
          <w:szCs w:val="32"/>
        </w:rPr>
        <w:t>20XX年度（或第一季度、半年度、前三季度）主要财务数据和指标</w:t>
      </w:r>
    </w:p>
    <w:p w14:paraId="2423068F">
      <w:pPr>
        <w:adjustRightInd w:val="0"/>
        <w:snapToGrid w:val="0"/>
        <w:spacing w:line="600" w:lineRule="exact"/>
        <w:ind w:firstLine="480" w:firstLineChars="200"/>
        <w:jc w:val="right"/>
        <w:rPr>
          <w:rFonts w:ascii="仿宋_GB2312" w:hAnsi="宋体" w:eastAsia="仿宋_GB2312" w:cs="宋体"/>
          <w:kern w:val="0"/>
          <w:sz w:val="24"/>
        </w:rPr>
      </w:pPr>
      <w:r>
        <w:rPr>
          <w:rFonts w:hint="eastAsia" w:ascii="仿宋_GB2312" w:hAnsi="宋体" w:eastAsia="仿宋_GB2312" w:cs="宋体"/>
          <w:kern w:val="0"/>
          <w:sz w:val="24"/>
        </w:rPr>
        <w:t>单位：</w:t>
      </w:r>
    </w:p>
    <w:tbl>
      <w:tblPr>
        <w:tblStyle w:val="12"/>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14:paraId="7BA3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593F87BC">
            <w:pPr>
              <w:spacing w:line="360" w:lineRule="auto"/>
              <w:ind w:firstLine="120" w:firstLineChars="50"/>
              <w:jc w:val="center"/>
              <w:rPr>
                <w:rFonts w:ascii="仿宋_GB2312" w:hAnsi="宋体" w:eastAsia="仿宋_GB2312"/>
                <w:sz w:val="24"/>
              </w:rPr>
            </w:pPr>
            <w:r>
              <w:rPr>
                <w:rFonts w:hint="eastAsia" w:ascii="仿宋_GB2312" w:hAnsi="宋体" w:eastAsia="仿宋_GB2312"/>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62F25B7D">
            <w:pPr>
              <w:spacing w:line="360" w:lineRule="auto"/>
              <w:ind w:firstLine="240" w:firstLineChars="100"/>
              <w:jc w:val="center"/>
              <w:rPr>
                <w:rFonts w:ascii="仿宋_GB2312" w:hAnsi="宋体" w:eastAsia="仿宋_GB2312"/>
                <w:sz w:val="24"/>
              </w:rPr>
            </w:pPr>
            <w:r>
              <w:rPr>
                <w:rFonts w:hint="eastAsia" w:ascii="仿宋_GB2312" w:hAnsi="宋体" w:eastAsia="仿宋_GB2312"/>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5C67C768">
            <w:pPr>
              <w:spacing w:line="360" w:lineRule="auto"/>
              <w:jc w:val="center"/>
              <w:rPr>
                <w:rFonts w:ascii="仿宋_GB2312" w:hAnsi="宋体" w:eastAsia="仿宋_GB2312"/>
                <w:sz w:val="24"/>
              </w:rPr>
            </w:pPr>
            <w:r>
              <w:rPr>
                <w:rFonts w:hint="eastAsia" w:ascii="仿宋_GB2312" w:hAnsi="宋体" w:eastAsia="仿宋_GB2312"/>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E6E6E6"/>
            <w:noWrap w:val="0"/>
            <w:vAlign w:val="top"/>
          </w:tcPr>
          <w:p w14:paraId="7A663B70">
            <w:pPr>
              <w:spacing w:line="360" w:lineRule="auto"/>
              <w:ind w:left="264" w:hanging="264" w:hangingChars="110"/>
              <w:jc w:val="center"/>
              <w:rPr>
                <w:rFonts w:ascii="仿宋_GB2312" w:hAnsi="宋体" w:eastAsia="仿宋_GB2312"/>
                <w:sz w:val="24"/>
              </w:rPr>
            </w:pPr>
            <w:r>
              <w:rPr>
                <w:rFonts w:hint="eastAsia" w:ascii="仿宋_GB2312" w:hAnsi="宋体" w:eastAsia="仿宋_GB2312"/>
                <w:sz w:val="24"/>
              </w:rPr>
              <w:t>增减变动幅度（％）</w:t>
            </w:r>
          </w:p>
        </w:tc>
      </w:tr>
      <w:tr w14:paraId="3579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07963C27">
            <w:pPr>
              <w:spacing w:line="360" w:lineRule="auto"/>
              <w:jc w:val="center"/>
              <w:rPr>
                <w:rFonts w:ascii="仿宋_GB2312" w:hAnsi="宋体" w:eastAsia="仿宋_GB2312"/>
                <w:sz w:val="24"/>
              </w:rPr>
            </w:pPr>
            <w:r>
              <w:rPr>
                <w:rFonts w:hint="eastAsia" w:ascii="仿宋_GB2312" w:hAnsi="宋体" w:eastAsia="仿宋_GB2312"/>
                <w:sz w:val="24"/>
              </w:rPr>
              <w:t>营业总收入</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CDD4B42">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5D3936F">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5EC3C38D">
            <w:pPr>
              <w:spacing w:line="360" w:lineRule="auto"/>
              <w:jc w:val="center"/>
              <w:rPr>
                <w:rFonts w:ascii="仿宋_GB2312" w:hAnsi="宋体" w:eastAsia="仿宋_GB2312"/>
                <w:sz w:val="24"/>
              </w:rPr>
            </w:pPr>
          </w:p>
        </w:tc>
      </w:tr>
      <w:tr w14:paraId="1A78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1CAB4011">
            <w:pPr>
              <w:spacing w:line="360" w:lineRule="auto"/>
              <w:jc w:val="center"/>
              <w:rPr>
                <w:rFonts w:ascii="仿宋_GB2312" w:hAnsi="宋体" w:eastAsia="仿宋_GB2312"/>
                <w:sz w:val="24"/>
              </w:rPr>
            </w:pPr>
            <w:r>
              <w:rPr>
                <w:rFonts w:hint="eastAsia" w:ascii="仿宋_GB2312" w:hAnsi="宋体" w:eastAsia="仿宋_GB2312"/>
                <w:sz w:val="24"/>
              </w:rPr>
              <w:t>营业利润</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31615FB">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A082342">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7D0DB834">
            <w:pPr>
              <w:spacing w:line="360" w:lineRule="auto"/>
              <w:jc w:val="center"/>
              <w:rPr>
                <w:rFonts w:ascii="仿宋_GB2312" w:hAnsi="宋体" w:eastAsia="仿宋_GB2312"/>
                <w:sz w:val="24"/>
              </w:rPr>
            </w:pPr>
          </w:p>
        </w:tc>
      </w:tr>
      <w:tr w14:paraId="2EC2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0309636C">
            <w:pPr>
              <w:spacing w:line="360" w:lineRule="auto"/>
              <w:jc w:val="center"/>
              <w:rPr>
                <w:rFonts w:ascii="仿宋_GB2312" w:hAnsi="宋体" w:eastAsia="仿宋_GB2312"/>
                <w:sz w:val="24"/>
              </w:rPr>
            </w:pPr>
            <w:r>
              <w:rPr>
                <w:rFonts w:hint="eastAsia" w:ascii="仿宋_GB2312" w:hAnsi="宋体" w:eastAsia="仿宋_GB2312"/>
                <w:sz w:val="24"/>
              </w:rPr>
              <w:t>利润总额</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56E13D6">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5880032">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357F15C1">
            <w:pPr>
              <w:spacing w:line="360" w:lineRule="auto"/>
              <w:jc w:val="center"/>
              <w:rPr>
                <w:rFonts w:ascii="仿宋_GB2312" w:hAnsi="宋体" w:eastAsia="仿宋_GB2312"/>
                <w:sz w:val="24"/>
              </w:rPr>
            </w:pPr>
          </w:p>
        </w:tc>
      </w:tr>
      <w:tr w14:paraId="7C31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25283B32">
            <w:pPr>
              <w:spacing w:line="360" w:lineRule="auto"/>
              <w:jc w:val="center"/>
              <w:rPr>
                <w:rFonts w:ascii="仿宋_GB2312" w:hAnsi="宋体" w:eastAsia="仿宋_GB2312"/>
                <w:sz w:val="24"/>
              </w:rPr>
            </w:pPr>
            <w:r>
              <w:rPr>
                <w:rFonts w:hint="eastAsia" w:ascii="仿宋_GB2312" w:hAnsi="宋体" w:eastAsia="仿宋_GB2312"/>
                <w:sz w:val="24"/>
              </w:rPr>
              <w:t>归属于母公司所有者的净利润</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1E99532">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27E882C">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05F127C7">
            <w:pPr>
              <w:spacing w:line="360" w:lineRule="auto"/>
              <w:jc w:val="center"/>
              <w:rPr>
                <w:rFonts w:ascii="仿宋_GB2312" w:hAnsi="宋体" w:eastAsia="仿宋_GB2312"/>
                <w:sz w:val="24"/>
              </w:rPr>
            </w:pPr>
          </w:p>
        </w:tc>
      </w:tr>
      <w:tr w14:paraId="070E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0F1034A0">
            <w:pPr>
              <w:spacing w:line="360" w:lineRule="auto"/>
              <w:jc w:val="center"/>
              <w:rPr>
                <w:rFonts w:ascii="仿宋_GB2312" w:hAnsi="宋体" w:eastAsia="仿宋_GB2312"/>
                <w:sz w:val="24"/>
              </w:rPr>
            </w:pPr>
            <w:r>
              <w:rPr>
                <w:rFonts w:hint="eastAsia" w:ascii="仿宋_GB2312" w:hAnsi="宋体" w:eastAsia="仿宋_GB2312"/>
                <w:sz w:val="24"/>
              </w:rPr>
              <w:t>归属于母公司所有者的扣除非经常性损益的净利润</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9BCABF0">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601E863">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7744CBD8">
            <w:pPr>
              <w:spacing w:line="360" w:lineRule="auto"/>
              <w:jc w:val="center"/>
              <w:rPr>
                <w:rFonts w:ascii="仿宋_GB2312" w:hAnsi="宋体" w:eastAsia="仿宋_GB2312"/>
                <w:sz w:val="24"/>
              </w:rPr>
            </w:pPr>
          </w:p>
        </w:tc>
      </w:tr>
      <w:tr w14:paraId="7ACB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2B642703">
            <w:pPr>
              <w:spacing w:line="360" w:lineRule="auto"/>
              <w:jc w:val="center"/>
              <w:rPr>
                <w:rFonts w:ascii="仿宋_GB2312" w:hAnsi="宋体" w:eastAsia="仿宋_GB2312"/>
                <w:sz w:val="24"/>
              </w:rPr>
            </w:pPr>
            <w:r>
              <w:rPr>
                <w:rFonts w:hint="eastAsia" w:ascii="仿宋_GB2312" w:hAnsi="宋体" w:eastAsia="仿宋_GB2312"/>
                <w:sz w:val="24"/>
              </w:rPr>
              <w:t>基本每股收益（元）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33BA51A">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1BD0764">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22B883C8">
            <w:pPr>
              <w:spacing w:line="360" w:lineRule="auto"/>
              <w:jc w:val="center"/>
              <w:rPr>
                <w:rFonts w:ascii="仿宋_GB2312" w:hAnsi="宋体" w:eastAsia="仿宋_GB2312"/>
                <w:sz w:val="24"/>
              </w:rPr>
            </w:pPr>
          </w:p>
        </w:tc>
      </w:tr>
      <w:tr w14:paraId="0E9A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4AA64384">
            <w:pPr>
              <w:spacing w:line="360" w:lineRule="auto"/>
              <w:jc w:val="center"/>
              <w:rPr>
                <w:rFonts w:ascii="仿宋_GB2312" w:hAnsi="宋体" w:eastAsia="仿宋_GB2312"/>
                <w:sz w:val="24"/>
              </w:rPr>
            </w:pPr>
            <w:r>
              <w:rPr>
                <w:rFonts w:hint="eastAsia" w:ascii="仿宋_GB2312" w:hAnsi="宋体" w:eastAsia="仿宋_GB2312"/>
                <w:sz w:val="24"/>
              </w:rPr>
              <w:t>加权平均净资产收益率</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839CDF1">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8AFE78E">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32679BE2">
            <w:pPr>
              <w:spacing w:line="360" w:lineRule="auto"/>
              <w:jc w:val="center"/>
              <w:rPr>
                <w:rFonts w:ascii="仿宋_GB2312" w:hAnsi="宋体" w:eastAsia="仿宋_GB2312"/>
                <w:sz w:val="24"/>
              </w:rPr>
            </w:pPr>
          </w:p>
        </w:tc>
      </w:tr>
      <w:tr w14:paraId="2773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39B7F889">
            <w:pPr>
              <w:spacing w:line="360" w:lineRule="auto"/>
              <w:jc w:val="center"/>
              <w:rPr>
                <w:rFonts w:ascii="仿宋_GB2312" w:hAnsi="宋体" w:eastAsia="仿宋_GB2312"/>
                <w:sz w:val="24"/>
              </w:rPr>
            </w:pPr>
          </w:p>
        </w:tc>
        <w:tc>
          <w:tcPr>
            <w:tcW w:w="180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28F5DD21">
            <w:pPr>
              <w:spacing w:line="360" w:lineRule="auto"/>
              <w:jc w:val="center"/>
              <w:rPr>
                <w:rFonts w:ascii="仿宋_GB2312" w:hAnsi="宋体" w:eastAsia="仿宋_GB2312"/>
                <w:sz w:val="24"/>
              </w:rPr>
            </w:pPr>
            <w:r>
              <w:rPr>
                <w:rFonts w:hint="eastAsia" w:ascii="仿宋_GB2312" w:hAnsi="宋体" w:eastAsia="仿宋_GB2312"/>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78355655">
            <w:pPr>
              <w:spacing w:line="360" w:lineRule="auto"/>
              <w:jc w:val="center"/>
              <w:rPr>
                <w:rFonts w:ascii="仿宋_GB2312" w:hAnsi="宋体" w:eastAsia="仿宋_GB2312"/>
                <w:sz w:val="24"/>
              </w:rPr>
            </w:pPr>
            <w:r>
              <w:rPr>
                <w:rFonts w:hint="eastAsia" w:ascii="仿宋_GB2312" w:hAnsi="宋体" w:eastAsia="仿宋_GB2312"/>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E6E6E6"/>
            <w:noWrap w:val="0"/>
            <w:vAlign w:val="top"/>
          </w:tcPr>
          <w:p w14:paraId="660299F3">
            <w:pPr>
              <w:spacing w:line="360" w:lineRule="auto"/>
              <w:jc w:val="center"/>
              <w:rPr>
                <w:rFonts w:ascii="仿宋_GB2312" w:hAnsi="宋体" w:eastAsia="仿宋_GB2312"/>
                <w:sz w:val="24"/>
              </w:rPr>
            </w:pPr>
            <w:r>
              <w:rPr>
                <w:rFonts w:hint="eastAsia" w:ascii="仿宋_GB2312" w:hAnsi="宋体" w:eastAsia="仿宋_GB2312"/>
                <w:sz w:val="24"/>
              </w:rPr>
              <w:t>增减变动幅度（％）</w:t>
            </w:r>
          </w:p>
        </w:tc>
      </w:tr>
      <w:tr w14:paraId="4EA9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67BD9705">
            <w:pPr>
              <w:spacing w:line="360" w:lineRule="auto"/>
              <w:jc w:val="center"/>
              <w:rPr>
                <w:rFonts w:ascii="仿宋_GB2312" w:hAnsi="宋体" w:eastAsia="仿宋_GB2312"/>
                <w:sz w:val="24"/>
              </w:rPr>
            </w:pPr>
            <w:r>
              <w:rPr>
                <w:rFonts w:hint="eastAsia" w:ascii="仿宋_GB2312" w:hAnsi="宋体" w:eastAsia="仿宋_GB2312"/>
                <w:sz w:val="24"/>
              </w:rPr>
              <w:t>总</w:t>
            </w:r>
            <w:r>
              <w:rPr>
                <w:rFonts w:ascii="仿宋_GB2312" w:hAnsi="宋体" w:eastAsia="仿宋_GB2312"/>
                <w:sz w:val="24"/>
              </w:rPr>
              <w:t xml:space="preserve"> </w:t>
            </w:r>
            <w:r>
              <w:rPr>
                <w:rFonts w:hint="eastAsia" w:ascii="仿宋_GB2312" w:hAnsi="宋体" w:eastAsia="仿宋_GB2312"/>
                <w:sz w:val="24"/>
              </w:rPr>
              <w:t>资</w:t>
            </w:r>
            <w:r>
              <w:rPr>
                <w:rFonts w:ascii="仿宋_GB2312" w:hAnsi="宋体" w:eastAsia="仿宋_GB2312"/>
                <w:sz w:val="24"/>
              </w:rPr>
              <w:t xml:space="preserve"> </w:t>
            </w:r>
            <w:r>
              <w:rPr>
                <w:rFonts w:hint="eastAsia" w:ascii="仿宋_GB2312" w:hAnsi="宋体" w:eastAsia="仿宋_GB2312"/>
                <w:sz w:val="24"/>
              </w:rPr>
              <w:t>产</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FB33E20">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E4CEF90">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55A10EF9">
            <w:pPr>
              <w:spacing w:line="360" w:lineRule="auto"/>
              <w:jc w:val="center"/>
              <w:rPr>
                <w:rFonts w:ascii="仿宋_GB2312" w:hAnsi="宋体" w:eastAsia="仿宋_GB2312"/>
                <w:sz w:val="24"/>
              </w:rPr>
            </w:pPr>
          </w:p>
        </w:tc>
      </w:tr>
      <w:tr w14:paraId="1160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4C78D6A9">
            <w:pPr>
              <w:spacing w:line="360" w:lineRule="auto"/>
              <w:jc w:val="center"/>
              <w:rPr>
                <w:rFonts w:ascii="仿宋_GB2312" w:hAnsi="宋体" w:eastAsia="仿宋_GB2312"/>
                <w:sz w:val="24"/>
              </w:rPr>
            </w:pPr>
            <w:r>
              <w:rPr>
                <w:rFonts w:hint="eastAsia" w:ascii="仿宋_GB2312" w:hAnsi="宋体" w:eastAsia="仿宋_GB2312"/>
                <w:sz w:val="24"/>
              </w:rPr>
              <w:t>归属于母公司的所有者权益</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1F553D2">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77D6222">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79CDBEAA">
            <w:pPr>
              <w:spacing w:line="360" w:lineRule="auto"/>
              <w:jc w:val="center"/>
              <w:rPr>
                <w:rFonts w:ascii="仿宋_GB2312" w:hAnsi="宋体" w:eastAsia="仿宋_GB2312"/>
                <w:sz w:val="24"/>
              </w:rPr>
            </w:pPr>
          </w:p>
        </w:tc>
      </w:tr>
      <w:tr w14:paraId="7C27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24035CD7">
            <w:pPr>
              <w:spacing w:line="360" w:lineRule="auto"/>
              <w:jc w:val="center"/>
              <w:rPr>
                <w:rFonts w:ascii="仿宋_GB2312" w:hAnsi="宋体" w:eastAsia="仿宋_GB2312"/>
                <w:sz w:val="24"/>
              </w:rPr>
            </w:pPr>
            <w:r>
              <w:rPr>
                <w:rFonts w:hint="eastAsia" w:ascii="仿宋_GB2312" w:hAnsi="宋体" w:eastAsia="仿宋_GB2312"/>
                <w:sz w:val="24"/>
              </w:rPr>
              <w:t>股</w:t>
            </w:r>
            <w:r>
              <w:rPr>
                <w:rFonts w:ascii="仿宋_GB2312" w:hAnsi="宋体" w:eastAsia="仿宋_GB2312"/>
                <w:sz w:val="24"/>
              </w:rPr>
              <w:t xml:space="preserve"> </w:t>
            </w:r>
            <w:r>
              <w:rPr>
                <w:rFonts w:hint="eastAsia" w:ascii="仿宋_GB2312" w:hAnsi="宋体" w:eastAsia="仿宋_GB2312"/>
                <w:sz w:val="24"/>
              </w:rPr>
              <w:t>本</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EF138F8">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14C93F1">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50EA858F">
            <w:pPr>
              <w:spacing w:line="360" w:lineRule="auto"/>
              <w:jc w:val="center"/>
              <w:rPr>
                <w:rFonts w:ascii="仿宋_GB2312" w:hAnsi="宋体" w:eastAsia="仿宋_GB2312"/>
                <w:sz w:val="24"/>
              </w:rPr>
            </w:pPr>
          </w:p>
        </w:tc>
      </w:tr>
      <w:tr w14:paraId="1B41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3A825FEE">
            <w:pPr>
              <w:spacing w:line="360" w:lineRule="auto"/>
              <w:jc w:val="center"/>
              <w:rPr>
                <w:rFonts w:ascii="仿宋_GB2312" w:hAnsi="宋体" w:eastAsia="仿宋_GB2312"/>
                <w:sz w:val="24"/>
              </w:rPr>
            </w:pPr>
            <w:r>
              <w:rPr>
                <w:rFonts w:hint="eastAsia" w:ascii="仿宋_GB2312" w:hAnsi="宋体" w:eastAsia="仿宋_GB2312"/>
                <w:sz w:val="24"/>
              </w:rPr>
              <w:t>归属于母公司所有者的每股净资产（元）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C4DED2A">
            <w:pPr>
              <w:spacing w:line="360" w:lineRule="auto"/>
              <w:jc w:val="center"/>
              <w:rPr>
                <w:rFonts w:ascii="仿宋_GB2312" w:hAnsi="宋体" w:eastAsia="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27FFCA5">
            <w:pPr>
              <w:spacing w:line="360" w:lineRule="auto"/>
              <w:jc w:val="center"/>
              <w:rPr>
                <w:rFonts w:ascii="仿宋_GB2312" w:hAnsi="宋体" w:eastAsia="仿宋_GB2312"/>
                <w:sz w:val="24"/>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5BA2E0C6">
            <w:pPr>
              <w:spacing w:line="360" w:lineRule="auto"/>
              <w:jc w:val="center"/>
              <w:rPr>
                <w:rFonts w:ascii="仿宋_GB2312" w:hAnsi="宋体" w:eastAsia="仿宋_GB2312"/>
                <w:sz w:val="24"/>
              </w:rPr>
            </w:pPr>
          </w:p>
        </w:tc>
      </w:tr>
    </w:tbl>
    <w:p w14:paraId="36C852CA">
      <w:pPr>
        <w:spacing w:line="600" w:lineRule="exact"/>
        <w:jc w:val="left"/>
        <w:rPr>
          <w:rFonts w:ascii="仿宋_GB2312" w:hAnsi="宋体" w:eastAsia="仿宋_GB2312" w:cs="宋体"/>
          <w:kern w:val="0"/>
          <w:sz w:val="24"/>
        </w:rPr>
      </w:pPr>
      <w:r>
        <w:rPr>
          <w:rFonts w:ascii="仿宋_GB2312" w:hAnsi="宋体" w:eastAsia="仿宋_GB2312" w:cs="宋体"/>
          <w:kern w:val="0"/>
          <w:sz w:val="24"/>
        </w:rPr>
        <w:t>注：1</w:t>
      </w:r>
      <w:r>
        <w:rPr>
          <w:rFonts w:hint="eastAsia" w:ascii="仿宋_GB2312" w:hAnsi="宋体" w:eastAsia="仿宋_GB2312" w:cs="宋体"/>
          <w:kern w:val="0"/>
          <w:sz w:val="24"/>
        </w:rPr>
        <w:t>.</w:t>
      </w:r>
      <w:r>
        <w:rPr>
          <w:rFonts w:ascii="仿宋_GB2312" w:hAnsi="宋体" w:eastAsia="仿宋_GB2312" w:cs="宋体"/>
          <w:kern w:val="0"/>
          <w:sz w:val="24"/>
        </w:rPr>
        <w:t>本报告期初数同法定披露的上年年末数。</w:t>
      </w:r>
    </w:p>
    <w:p w14:paraId="32786B98">
      <w:pPr>
        <w:spacing w:line="600" w:lineRule="exact"/>
        <w:ind w:firstLine="480" w:firstLineChars="200"/>
        <w:jc w:val="left"/>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w:t>
      </w:r>
      <w:r>
        <w:rPr>
          <w:rFonts w:ascii="仿宋_GB2312" w:hAnsi="宋体" w:eastAsia="仿宋_GB2312" w:cs="宋体"/>
          <w:kern w:val="0"/>
          <w:sz w:val="24"/>
        </w:rPr>
        <w:t>编制合并报表的公司应当以合并报表数据填制；上年同期财务数据经过重述的，应同时披露重述后的相关数据。</w:t>
      </w:r>
    </w:p>
    <w:p w14:paraId="01342F57">
      <w:pPr>
        <w:spacing w:line="600" w:lineRule="exact"/>
        <w:ind w:firstLine="480" w:firstLineChars="200"/>
        <w:jc w:val="left"/>
        <w:rPr>
          <w:rFonts w:ascii="宋体" w:hAnsi="宋体"/>
          <w:sz w:val="24"/>
        </w:rPr>
      </w:pPr>
    </w:p>
    <w:p w14:paraId="3102A7E1">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二、经营业绩和财务状况情况说明</w:t>
      </w:r>
    </w:p>
    <w:p w14:paraId="30F1A543">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（一）应简要说明报告期的经营情况、财务状况及影响经营业绩的主要因素。</w:t>
      </w:r>
    </w:p>
    <w:p w14:paraId="1F25B90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（二）上表中有关项目增减变动幅度达</w:t>
      </w:r>
      <w:r>
        <w:rPr>
          <w:rFonts w:ascii="仿宋_GB2312" w:hAnsi="宋体" w:eastAsia="仿宋_GB2312" w:cs="宋体"/>
          <w:color w:val="000000"/>
          <w:kern w:val="0"/>
          <w:sz w:val="30"/>
          <w:szCs w:val="30"/>
        </w:rPr>
        <w:t>30%以上的，应说明增减变动的主要原因。包括但不限于以下事项：</w:t>
      </w:r>
    </w:p>
    <w:p w14:paraId="7ACEE779">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1.主营业务影响；例如，国家或行业政策变化，主要客户的变化、大额资产减值损失的计提或冲回，大额汇兑损益等。</w:t>
      </w:r>
    </w:p>
    <w:p w14:paraId="4D40E379">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2.非经营性损益的影响；例如上期或本期收到大额政府补助，非流动资产处置损益、长期股权投资产生的大额投资收益等。</w:t>
      </w:r>
    </w:p>
    <w:p w14:paraId="2C6FEB2F">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会计处理的影响。例如，本期或上期合并报表范围变化，会计政策变更、会计估计变更或会计差错更正等。</w:t>
      </w:r>
    </w:p>
    <w:p w14:paraId="178E9AAE">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4.上年比较基数较小。</w:t>
      </w:r>
    </w:p>
    <w:p w14:paraId="04C521A6">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5.其他影响。</w:t>
      </w:r>
    </w:p>
    <w:p w14:paraId="3806BB72">
      <w:pPr>
        <w:widowControl/>
        <w:spacing w:line="600" w:lineRule="exact"/>
        <w:ind w:firstLine="624" w:firstLineChars="260"/>
        <w:rPr>
          <w:rFonts w:ascii="宋体" w:hAnsi="宋体" w:cs="宋体"/>
          <w:kern w:val="0"/>
          <w:sz w:val="24"/>
        </w:rPr>
      </w:pPr>
    </w:p>
    <w:p w14:paraId="5AB091BB">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三、风险提示</w:t>
      </w:r>
    </w:p>
    <w:p w14:paraId="7BEEF91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（一）公司应当说明可能存在影响本次业绩快报内容准确性的不确定因素，例如不确定的重大交易、会计处理存在争议等。</w:t>
      </w:r>
    </w:p>
    <w:p w14:paraId="296511E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（二）对上述不确定因素可能造成的影响进行合理、量化分析，同时披露剔除不确定因素后的业绩变动情况。</w:t>
      </w:r>
    </w:p>
    <w:p w14:paraId="527A14C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（三）其他风险提示。</w:t>
      </w:r>
    </w:p>
    <w:p w14:paraId="5769EB57">
      <w:pPr>
        <w:widowControl/>
        <w:spacing w:line="600" w:lineRule="exact"/>
        <w:ind w:firstLine="600" w:firstLineChars="250"/>
        <w:rPr>
          <w:rFonts w:ascii="宋体" w:hAnsi="宋体" w:cs="宋体"/>
          <w:kern w:val="0"/>
          <w:sz w:val="24"/>
        </w:rPr>
      </w:pPr>
    </w:p>
    <w:p w14:paraId="08E00920">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四、上网公告附件</w:t>
      </w:r>
    </w:p>
    <w:p w14:paraId="0EC9999D">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经公司现任法定代表人、主管会计工作的负责人、总会计师（如有）、会计机构负责人（会计主管人员）签字并盖章的比较式资产负债表和利润表。</w:t>
      </w:r>
    </w:p>
    <w:p w14:paraId="3F70B345">
      <w:pPr>
        <w:widowControl/>
        <w:spacing w:line="600" w:lineRule="exact"/>
        <w:ind w:firstLine="600" w:firstLineChars="200"/>
        <w:rPr>
          <w:rFonts w:ascii="仿宋_GB2312" w:hAnsi="宋体" w:eastAsia="仿宋_GB2312" w:cs="宋体"/>
          <w:color w:val="000000"/>
          <w:kern w:val="0"/>
          <w:sz w:val="30"/>
          <w:szCs w:val="30"/>
        </w:rPr>
      </w:pPr>
    </w:p>
    <w:p w14:paraId="0BD0706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2ABA406D">
      <w:pPr>
        <w:widowControl/>
        <w:spacing w:line="600" w:lineRule="exact"/>
        <w:ind w:firstLine="600" w:firstLineChars="200"/>
        <w:jc w:val="righ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XXXX股份有限公司董事会</w:t>
      </w:r>
      <w:r>
        <w:rPr>
          <w:rFonts w:hint="eastAsia" w:ascii="仿宋_GB2312" w:hAnsi="宋体" w:eastAsia="仿宋_GB2312" w:cs="宋体"/>
          <w:color w:val="000000"/>
          <w:kern w:val="0"/>
          <w:sz w:val="30"/>
          <w:szCs w:val="30"/>
        </w:rPr>
        <w:br w:type="textWrapping"/>
      </w:r>
      <w:r>
        <w:rPr>
          <w:rFonts w:hint="eastAsia" w:ascii="仿宋_GB2312" w:hAnsi="宋体" w:eastAsia="仿宋_GB2312" w:cs="宋体"/>
          <w:color w:val="000000"/>
          <w:kern w:val="0"/>
          <w:sz w:val="30"/>
          <w:szCs w:val="30"/>
        </w:rPr>
        <w:t>年  月  日</w:t>
      </w:r>
    </w:p>
    <w:p w14:paraId="752B96E1">
      <w:pPr>
        <w:pStyle w:val="25"/>
        <w:widowControl w:val="0"/>
        <w:numPr>
          <w:ilvl w:val="0"/>
          <w:numId w:val="1"/>
        </w:numPr>
        <w:spacing w:before="0" w:beforeAutospacing="0" w:after="0" w:afterAutospacing="0" w:line="600" w:lineRule="exact"/>
        <w:ind w:left="0" w:firstLine="602" w:firstLineChars="200"/>
        <w:jc w:val="both"/>
        <w:rPr>
          <w:rFonts w:ascii="仿宋_GB2312" w:eastAsia="仿宋_GB2312"/>
          <w:b/>
          <w:color w:val="000000"/>
          <w:sz w:val="30"/>
          <w:szCs w:val="30"/>
        </w:rPr>
      </w:pPr>
      <w:r>
        <w:rPr>
          <w:rFonts w:hint="eastAsia" w:ascii="仿宋_GB2312" w:eastAsia="仿宋_GB2312"/>
          <w:b/>
          <w:color w:val="000000"/>
          <w:sz w:val="30"/>
          <w:szCs w:val="30"/>
        </w:rPr>
        <w:t>注意事项</w:t>
      </w:r>
    </w:p>
    <w:p w14:paraId="2475DAE4">
      <w:pPr>
        <w:widowControl/>
        <w:spacing w:line="600" w:lineRule="exact"/>
        <w:ind w:firstLine="600" w:firstLineChars="200"/>
        <w:jc w:val="left"/>
      </w:pPr>
      <w:r>
        <w:rPr>
          <w:rFonts w:hint="eastAsia" w:ascii="仿宋_GB2312" w:hAnsi="宋体" w:eastAsia="仿宋_GB2312"/>
          <w:color w:val="000000"/>
          <w:kern w:val="0"/>
          <w:sz w:val="30"/>
          <w:szCs w:val="30"/>
        </w:rPr>
        <w:t>业绩快报不能代替业绩预告，业绩预告应当在会计年度结束后一个月内披露。</w:t>
      </w:r>
      <w:bookmarkEnd w:id="1"/>
      <w:bookmarkEnd w:id="2"/>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宋体-WinCharSetFFFF-H">
    <w:altName w:val="方正舒体"/>
    <w:panose1 w:val="00000000000000000000"/>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A6949">
    <w:pPr>
      <w:pStyle w:val="9"/>
      <w:jc w:val="center"/>
    </w:pPr>
    <w:r>
      <w:fldChar w:fldCharType="begin"/>
    </w:r>
    <w:r>
      <w:instrText xml:space="preserve"> PAGE   \* MERGEFORMAT </w:instrText>
    </w:r>
    <w:r>
      <w:fldChar w:fldCharType="separate"/>
    </w:r>
    <w:r>
      <w:rPr>
        <w:lang w:val="zh-CN"/>
      </w:rPr>
      <w:t>4</w:t>
    </w:r>
    <w:r>
      <w:fldChar w:fldCharType="end"/>
    </w:r>
  </w:p>
  <w:p w14:paraId="5C0C3EF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826EA"/>
    <w:multiLevelType w:val="multilevel"/>
    <w:tmpl w:val="3E8826EA"/>
    <w:lvl w:ilvl="0" w:tentative="0">
      <w:start w:val="1"/>
      <w:numFmt w:val="bullet"/>
      <w:lvlText w:val=""/>
      <w:lvlJc w:val="left"/>
      <w:pPr>
        <w:ind w:left="425" w:hanging="425"/>
      </w:pPr>
      <w:rPr>
        <w:rFonts w:hint="default" w:ascii="Wingdings" w:hAnsi="Wingdings"/>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9D"/>
    <w:rsid w:val="00017271"/>
    <w:rsid w:val="00030419"/>
    <w:rsid w:val="00086B8E"/>
    <w:rsid w:val="000A4CFF"/>
    <w:rsid w:val="000D7272"/>
    <w:rsid w:val="000E21CA"/>
    <w:rsid w:val="00145C04"/>
    <w:rsid w:val="001558FA"/>
    <w:rsid w:val="0016304D"/>
    <w:rsid w:val="00172A90"/>
    <w:rsid w:val="00177063"/>
    <w:rsid w:val="001A103F"/>
    <w:rsid w:val="001A42A6"/>
    <w:rsid w:val="001B6708"/>
    <w:rsid w:val="001D3B32"/>
    <w:rsid w:val="001D75FD"/>
    <w:rsid w:val="001F4CCF"/>
    <w:rsid w:val="00212DC1"/>
    <w:rsid w:val="00215BC6"/>
    <w:rsid w:val="00222535"/>
    <w:rsid w:val="00224DC4"/>
    <w:rsid w:val="002304CE"/>
    <w:rsid w:val="00237701"/>
    <w:rsid w:val="00270C59"/>
    <w:rsid w:val="00274F4C"/>
    <w:rsid w:val="00291652"/>
    <w:rsid w:val="002B3012"/>
    <w:rsid w:val="002D28C9"/>
    <w:rsid w:val="002E283D"/>
    <w:rsid w:val="00346391"/>
    <w:rsid w:val="0035369F"/>
    <w:rsid w:val="00367C9B"/>
    <w:rsid w:val="0037514B"/>
    <w:rsid w:val="003B540A"/>
    <w:rsid w:val="003D2FFD"/>
    <w:rsid w:val="00434584"/>
    <w:rsid w:val="004362D4"/>
    <w:rsid w:val="004455A5"/>
    <w:rsid w:val="004558F3"/>
    <w:rsid w:val="0045699D"/>
    <w:rsid w:val="00457EF6"/>
    <w:rsid w:val="00493CD7"/>
    <w:rsid w:val="004A5BB2"/>
    <w:rsid w:val="004C64E9"/>
    <w:rsid w:val="004E2C63"/>
    <w:rsid w:val="005306D2"/>
    <w:rsid w:val="0053654C"/>
    <w:rsid w:val="005814BA"/>
    <w:rsid w:val="005909C9"/>
    <w:rsid w:val="005A4CC2"/>
    <w:rsid w:val="005D2170"/>
    <w:rsid w:val="005E3577"/>
    <w:rsid w:val="005E7009"/>
    <w:rsid w:val="00600110"/>
    <w:rsid w:val="00600C2C"/>
    <w:rsid w:val="00610EB2"/>
    <w:rsid w:val="00647CE6"/>
    <w:rsid w:val="00666F33"/>
    <w:rsid w:val="006816A6"/>
    <w:rsid w:val="00686979"/>
    <w:rsid w:val="006A775F"/>
    <w:rsid w:val="006B6DC5"/>
    <w:rsid w:val="006B714F"/>
    <w:rsid w:val="006D6D83"/>
    <w:rsid w:val="006F256D"/>
    <w:rsid w:val="00712108"/>
    <w:rsid w:val="007333A1"/>
    <w:rsid w:val="007401AD"/>
    <w:rsid w:val="0075003C"/>
    <w:rsid w:val="00761D51"/>
    <w:rsid w:val="00771552"/>
    <w:rsid w:val="007B3C2A"/>
    <w:rsid w:val="007C051B"/>
    <w:rsid w:val="007C4AF0"/>
    <w:rsid w:val="007C507B"/>
    <w:rsid w:val="007C6B5D"/>
    <w:rsid w:val="007E1644"/>
    <w:rsid w:val="007F77FC"/>
    <w:rsid w:val="00825C69"/>
    <w:rsid w:val="008309A3"/>
    <w:rsid w:val="008320EC"/>
    <w:rsid w:val="00836A70"/>
    <w:rsid w:val="008573C5"/>
    <w:rsid w:val="00882BAA"/>
    <w:rsid w:val="008A14DA"/>
    <w:rsid w:val="008A1DEC"/>
    <w:rsid w:val="008D68FF"/>
    <w:rsid w:val="008E5D8D"/>
    <w:rsid w:val="00913CF9"/>
    <w:rsid w:val="00947BE8"/>
    <w:rsid w:val="00950AEC"/>
    <w:rsid w:val="00956D3D"/>
    <w:rsid w:val="00966339"/>
    <w:rsid w:val="00973C2A"/>
    <w:rsid w:val="009A1AA6"/>
    <w:rsid w:val="009A3BC4"/>
    <w:rsid w:val="009A6E14"/>
    <w:rsid w:val="009B064B"/>
    <w:rsid w:val="009B1CE1"/>
    <w:rsid w:val="009F371B"/>
    <w:rsid w:val="00A2448C"/>
    <w:rsid w:val="00A425A2"/>
    <w:rsid w:val="00A86C9C"/>
    <w:rsid w:val="00A90C87"/>
    <w:rsid w:val="00AD1FC4"/>
    <w:rsid w:val="00AD3739"/>
    <w:rsid w:val="00AE1180"/>
    <w:rsid w:val="00AE1DD7"/>
    <w:rsid w:val="00B047CE"/>
    <w:rsid w:val="00B22B9F"/>
    <w:rsid w:val="00B273B1"/>
    <w:rsid w:val="00B36434"/>
    <w:rsid w:val="00BA3103"/>
    <w:rsid w:val="00BB3639"/>
    <w:rsid w:val="00BD303F"/>
    <w:rsid w:val="00BE3D79"/>
    <w:rsid w:val="00BF0C29"/>
    <w:rsid w:val="00BF60C5"/>
    <w:rsid w:val="00C20B45"/>
    <w:rsid w:val="00C32135"/>
    <w:rsid w:val="00C35363"/>
    <w:rsid w:val="00C4253B"/>
    <w:rsid w:val="00C64DE1"/>
    <w:rsid w:val="00C82AAE"/>
    <w:rsid w:val="00C87670"/>
    <w:rsid w:val="00CC275E"/>
    <w:rsid w:val="00CD5635"/>
    <w:rsid w:val="00CE2143"/>
    <w:rsid w:val="00CE66F3"/>
    <w:rsid w:val="00D24E2E"/>
    <w:rsid w:val="00D64667"/>
    <w:rsid w:val="00D92E16"/>
    <w:rsid w:val="00DB551A"/>
    <w:rsid w:val="00DD2067"/>
    <w:rsid w:val="00DF489E"/>
    <w:rsid w:val="00E0249D"/>
    <w:rsid w:val="00E27ABA"/>
    <w:rsid w:val="00E516D0"/>
    <w:rsid w:val="00E547C4"/>
    <w:rsid w:val="00E60C3F"/>
    <w:rsid w:val="00E66D88"/>
    <w:rsid w:val="00EA25FF"/>
    <w:rsid w:val="00ED05B6"/>
    <w:rsid w:val="00F30214"/>
    <w:rsid w:val="00F30F3D"/>
    <w:rsid w:val="00F3794D"/>
    <w:rsid w:val="00F52EFF"/>
    <w:rsid w:val="00F533A2"/>
    <w:rsid w:val="00F9286B"/>
    <w:rsid w:val="00FC19E7"/>
    <w:rsid w:val="00FD0954"/>
    <w:rsid w:val="25412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qFormat/>
    <w:uiPriority w:val="99"/>
    <w:tblPr>
      <w:tblStyle w:val="12"/>
      <w:tblCellMar>
        <w:top w:w="0" w:type="dxa"/>
        <w:left w:w="108" w:type="dxa"/>
        <w:bottom w:w="0" w:type="dxa"/>
        <w:right w:w="108" w:type="dxa"/>
      </w:tblCellMar>
    </w:tblPr>
    <w:trPr>
      <w:wBefore w:w="0" w:type="dxa"/>
    </w:trPr>
  </w:style>
  <w:style w:type="paragraph" w:styleId="3">
    <w:name w:val="Document Map"/>
    <w:basedOn w:val="1"/>
    <w:link w:val="26"/>
    <w:semiHidden/>
    <w:unhideWhenUsed/>
    <w:uiPriority w:val="99"/>
    <w:rPr>
      <w:rFonts w:ascii="宋体"/>
      <w:sz w:val="18"/>
      <w:szCs w:val="18"/>
    </w:rPr>
  </w:style>
  <w:style w:type="paragraph" w:styleId="4">
    <w:name w:val="annotation text"/>
    <w:basedOn w:val="1"/>
    <w:link w:val="18"/>
    <w:semiHidden/>
    <w:unhideWhenUsed/>
    <w:uiPriority w:val="99"/>
    <w:pPr>
      <w:jc w:val="left"/>
    </w:pPr>
  </w:style>
  <w:style w:type="paragraph" w:styleId="5">
    <w:name w:val="Body Text Indent"/>
    <w:basedOn w:val="1"/>
    <w:link w:val="17"/>
    <w:unhideWhenUsed/>
    <w:uiPriority w:val="0"/>
    <w:pPr>
      <w:spacing w:after="120"/>
      <w:ind w:left="420" w:leftChars="200"/>
    </w:pPr>
  </w:style>
  <w:style w:type="paragraph" w:styleId="6">
    <w:name w:val="Date"/>
    <w:basedOn w:val="1"/>
    <w:next w:val="1"/>
    <w:link w:val="23"/>
    <w:semiHidden/>
    <w:unhideWhenUsed/>
    <w:uiPriority w:val="99"/>
    <w:pPr>
      <w:ind w:left="100" w:leftChars="2500"/>
    </w:pPr>
  </w:style>
  <w:style w:type="paragraph" w:styleId="7">
    <w:name w:val="Body Text Indent 2"/>
    <w:basedOn w:val="1"/>
    <w:link w:val="16"/>
    <w:uiPriority w:val="0"/>
    <w:pPr>
      <w:spacing w:line="600" w:lineRule="exact"/>
      <w:ind w:firstLine="600" w:firstLineChars="200"/>
    </w:pPr>
    <w:rPr>
      <w:rFonts w:ascii="仿宋_GB2312" w:hAnsi="宋体" w:eastAsia="仿宋_GB2312"/>
      <w:sz w:val="30"/>
      <w:szCs w:val="30"/>
    </w:rPr>
  </w:style>
  <w:style w:type="paragraph" w:styleId="8">
    <w:name w:val="Balloon Text"/>
    <w:basedOn w:val="1"/>
    <w:link w:val="20"/>
    <w:semiHidden/>
    <w:unhideWhenUsed/>
    <w:uiPriority w:val="99"/>
    <w:rPr>
      <w:sz w:val="18"/>
      <w:szCs w:val="18"/>
    </w:rPr>
  </w:style>
  <w:style w:type="paragraph" w:styleId="9">
    <w:name w:val="footer"/>
    <w:basedOn w:val="1"/>
    <w:link w:val="22"/>
    <w:unhideWhenUsed/>
    <w:uiPriority w:val="99"/>
    <w:pPr>
      <w:tabs>
        <w:tab w:val="center" w:pos="4153"/>
        <w:tab w:val="right" w:pos="8306"/>
      </w:tabs>
      <w:snapToGrid w:val="0"/>
      <w:jc w:val="left"/>
    </w:pPr>
    <w:rPr>
      <w:sz w:val="18"/>
      <w:szCs w:val="18"/>
    </w:rPr>
  </w:style>
  <w:style w:type="paragraph" w:styleId="10">
    <w:name w:val="header"/>
    <w:basedOn w:val="1"/>
    <w:link w:val="2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19"/>
    <w:semiHidden/>
    <w:unhideWhenUsed/>
    <w:uiPriority w:val="99"/>
    <w:rPr>
      <w:b/>
      <w:bCs/>
    </w:rPr>
  </w:style>
  <w:style w:type="character" w:styleId="14">
    <w:name w:val="annotation reference"/>
    <w:basedOn w:val="13"/>
    <w:semiHidden/>
    <w:unhideWhenUsed/>
    <w:uiPriority w:val="99"/>
    <w:rPr>
      <w:sz w:val="21"/>
      <w:szCs w:val="21"/>
    </w:rPr>
  </w:style>
  <w:style w:type="character" w:customStyle="1" w:styleId="15">
    <w:name w:val="标题 1 Char"/>
    <w:basedOn w:val="13"/>
    <w:link w:val="2"/>
    <w:uiPriority w:val="0"/>
    <w:rPr>
      <w:rFonts w:ascii="Times New Roman" w:hAnsi="Times New Roman" w:eastAsia="宋体" w:cs="Times New Roman"/>
      <w:b/>
      <w:bCs/>
      <w:kern w:val="44"/>
      <w:sz w:val="44"/>
      <w:szCs w:val="44"/>
    </w:rPr>
  </w:style>
  <w:style w:type="character" w:customStyle="1" w:styleId="16">
    <w:name w:val="正文文本缩进 2 Char"/>
    <w:basedOn w:val="13"/>
    <w:link w:val="7"/>
    <w:uiPriority w:val="0"/>
    <w:rPr>
      <w:rFonts w:ascii="仿宋_GB2312" w:hAnsi="宋体" w:eastAsia="仿宋_GB2312" w:cs="Times New Roman"/>
      <w:sz w:val="30"/>
      <w:szCs w:val="30"/>
    </w:rPr>
  </w:style>
  <w:style w:type="character" w:customStyle="1" w:styleId="17">
    <w:name w:val="正文文本缩进 Char"/>
    <w:basedOn w:val="13"/>
    <w:link w:val="5"/>
    <w:uiPriority w:val="0"/>
    <w:rPr>
      <w:rFonts w:ascii="Times New Roman" w:hAnsi="Times New Roman" w:eastAsia="宋体" w:cs="Times New Roman"/>
      <w:szCs w:val="24"/>
    </w:rPr>
  </w:style>
  <w:style w:type="character" w:customStyle="1" w:styleId="18">
    <w:name w:val="批注文字 Char"/>
    <w:basedOn w:val="13"/>
    <w:link w:val="4"/>
    <w:semiHidden/>
    <w:uiPriority w:val="99"/>
    <w:rPr>
      <w:rFonts w:ascii="Times New Roman" w:hAnsi="Times New Roman" w:eastAsia="宋体" w:cs="Times New Roman"/>
      <w:szCs w:val="24"/>
    </w:rPr>
  </w:style>
  <w:style w:type="character" w:customStyle="1" w:styleId="19">
    <w:name w:val="批注主题 Char"/>
    <w:basedOn w:val="18"/>
    <w:link w:val="11"/>
    <w:semiHidden/>
    <w:uiPriority w:val="99"/>
    <w:rPr>
      <w:b/>
      <w:bCs/>
    </w:rPr>
  </w:style>
  <w:style w:type="character" w:customStyle="1" w:styleId="20">
    <w:name w:val="批注框文本 Char"/>
    <w:basedOn w:val="13"/>
    <w:link w:val="8"/>
    <w:semiHidden/>
    <w:uiPriority w:val="99"/>
    <w:rPr>
      <w:rFonts w:ascii="Times New Roman" w:hAnsi="Times New Roman" w:eastAsia="宋体" w:cs="Times New Roman"/>
      <w:sz w:val="18"/>
      <w:szCs w:val="18"/>
    </w:rPr>
  </w:style>
  <w:style w:type="character" w:customStyle="1" w:styleId="21">
    <w:name w:val="页眉 Char"/>
    <w:basedOn w:val="13"/>
    <w:link w:val="10"/>
    <w:semiHidden/>
    <w:uiPriority w:val="99"/>
    <w:rPr>
      <w:rFonts w:ascii="Times New Roman" w:hAnsi="Times New Roman" w:eastAsia="宋体" w:cs="Times New Roman"/>
      <w:sz w:val="18"/>
      <w:szCs w:val="18"/>
    </w:rPr>
  </w:style>
  <w:style w:type="character" w:customStyle="1" w:styleId="22">
    <w:name w:val="页脚 Char"/>
    <w:basedOn w:val="13"/>
    <w:link w:val="9"/>
    <w:uiPriority w:val="99"/>
    <w:rPr>
      <w:rFonts w:ascii="Times New Roman" w:hAnsi="Times New Roman" w:eastAsia="宋体" w:cs="Times New Roman"/>
      <w:sz w:val="18"/>
      <w:szCs w:val="18"/>
    </w:rPr>
  </w:style>
  <w:style w:type="character" w:customStyle="1" w:styleId="23">
    <w:name w:val="日期 Char"/>
    <w:basedOn w:val="13"/>
    <w:link w:val="6"/>
    <w:semiHidden/>
    <w:uiPriority w:val="99"/>
    <w:rPr>
      <w:rFonts w:ascii="Times New Roman" w:hAnsi="Times New Roman" w:eastAsia="宋体" w:cs="Times New Roman"/>
      <w:szCs w:val="24"/>
    </w:rPr>
  </w:style>
  <w:style w:type="paragraph" w:customStyle="1" w:styleId="24">
    <w:name w:val="Defaul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styleId="25">
    <w:name w:val="List Paragraph"/>
    <w:basedOn w:val="1"/>
    <w:qFormat/>
    <w:uiPriority w:val="0"/>
    <w:pPr>
      <w:widowControl/>
      <w:spacing w:before="100" w:beforeAutospacing="1" w:after="100" w:afterAutospacing="1"/>
      <w:jc w:val="left"/>
    </w:pPr>
    <w:rPr>
      <w:rFonts w:ascii="宋体" w:hAnsi="宋体"/>
      <w:kern w:val="0"/>
      <w:sz w:val="24"/>
    </w:rPr>
  </w:style>
  <w:style w:type="character" w:customStyle="1" w:styleId="26">
    <w:name w:val="文档结构图 Char"/>
    <w:basedOn w:val="13"/>
    <w:link w:val="3"/>
    <w:semiHidden/>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215</Words>
  <Characters>1232</Characters>
  <Lines>10</Lines>
  <Paragraphs>2</Paragraphs>
  <TotalTime>0</TotalTime>
  <ScaleCrop>false</ScaleCrop>
  <LinksUpToDate>false</LinksUpToDate>
  <CharactersWithSpaces>1445</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2019-04-05T01:39:00Z</dcterms:created>
  <dc:creator>wenyihuang</dc:creator>
  <cp:lastModifiedBy>黄文怡</cp:lastModifiedBy>
  <dcterms:modified xsi:type="dcterms:W3CDTF">2025-04-25T09:41:22Z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78F4D7CC38CA4D1AA90755F90B3A95AB_13</vt:lpwstr>
  </property>
</Properties>
</file>