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260" w:after="260" w:line="416" w:lineRule="auto"/>
        <w:jc w:val="center"/>
        <w:outlineLvl w:val="2"/>
        <w:rPr>
          <w:rFonts w:ascii="黑体" w:hAnsi="黑体" w:eastAsia="黑体" w:cs="Times New Roman"/>
          <w:b/>
          <w:bCs/>
          <w:sz w:val="32"/>
          <w:szCs w:val="32"/>
        </w:rPr>
      </w:pPr>
      <w:bookmarkStart w:id="1" w:name="_GoBack"/>
      <w:bookmarkEnd w:id="1"/>
      <w:bookmarkStart w:id="0" w:name="_Toc108525207"/>
      <w:r>
        <w:rPr>
          <w:rFonts w:hint="eastAsia" w:ascii="黑体" w:hAnsi="黑体" w:eastAsia="黑体" w:cs="Times New Roman"/>
          <w:b/>
          <w:bCs/>
          <w:sz w:val="32"/>
          <w:szCs w:val="32"/>
        </w:rPr>
        <w:t>科创板上市公司实施权益分派时停止转股</w:t>
      </w:r>
      <w:bookmarkEnd w:id="0"/>
    </w:p>
    <w:p>
      <w:pPr>
        <w:jc w:val="center"/>
        <w:rPr>
          <w:rFonts w:ascii="Calibri" w:hAnsi="Calibri" w:eastAsia="宋体" w:cs="Times New Roman"/>
        </w:rPr>
      </w:pPr>
      <w:r>
        <w:rPr>
          <w:rFonts w:hint="eastAsia" w:ascii="仿宋_GB2312" w:hAnsi="宋体" w:eastAsia="仿宋_GB2312" w:cs="宋体"/>
          <w:color w:val="0000FF"/>
          <w:kern w:val="0"/>
          <w:sz w:val="24"/>
          <w:szCs w:val="28"/>
        </w:rPr>
        <w:t>（此公告涉及业务流程及操作，请按相关要求逐项编制公告，勿随意删改）</w:t>
      </w:r>
    </w:p>
    <w:p>
      <w:pPr>
        <w:rPr>
          <w:rFonts w:ascii="Calibri" w:hAnsi="Calibri" w:eastAsia="宋体" w:cs="Times New Roman"/>
        </w:rPr>
      </w:pPr>
    </w:p>
    <w:p>
      <w:pPr>
        <w:autoSpaceDE w:val="0"/>
        <w:autoSpaceDN w:val="0"/>
        <w:adjustRightInd w:val="0"/>
        <w:snapToGrid w:val="0"/>
        <w:spacing w:line="560" w:lineRule="exact"/>
        <w:jc w:val="left"/>
        <w:rPr>
          <w:rFonts w:ascii="仿宋" w:hAnsi="仿宋" w:eastAsia="仿宋_GB2312" w:cs="宋体"/>
          <w:b/>
          <w:bCs/>
          <w:kern w:val="0"/>
          <w:sz w:val="30"/>
          <w:szCs w:val="30"/>
        </w:rPr>
      </w:pPr>
      <w:r>
        <w:rPr>
          <w:rFonts w:hint="eastAsia" w:ascii="仿宋" w:hAnsi="仿宋" w:eastAsia="仿宋_GB2312" w:cs="宋体"/>
          <w:b/>
          <w:bCs/>
          <w:kern w:val="0"/>
          <w:sz w:val="30"/>
          <w:szCs w:val="30"/>
        </w:rPr>
        <w:t>适用情形：</w:t>
      </w:r>
    </w:p>
    <w:p>
      <w:pPr>
        <w:widowControl/>
        <w:adjustRightInd w:val="0"/>
        <w:snapToGrid w:val="0"/>
        <w:spacing w:line="560" w:lineRule="exact"/>
        <w:ind w:firstLine="600" w:firstLineChars="200"/>
        <w:jc w:val="left"/>
        <w:rPr>
          <w:rFonts w:ascii="仿宋" w:hAnsi="仿宋" w:eastAsia="仿宋_GB2312" w:cs="Arial"/>
          <w:color w:val="000000"/>
          <w:kern w:val="0"/>
          <w:sz w:val="30"/>
          <w:szCs w:val="30"/>
        </w:rPr>
      </w:pPr>
      <w:r>
        <w:rPr>
          <w:rFonts w:hint="eastAsia" w:ascii="仿宋" w:hAnsi="仿宋" w:eastAsia="仿宋_GB2312" w:cs="Times New Roman"/>
          <w:sz w:val="30"/>
          <w:szCs w:val="30"/>
        </w:rPr>
        <w:t>科创板上市公司发行的可转债进入转股期的，实施权益分派时须先披露本提示性公告，再披露权益分派实施公告，以保证权益分派实施期间，上市公司股本保持不变，每股权益分派比例不变。</w:t>
      </w:r>
    </w:p>
    <w:p>
      <w:pPr>
        <w:widowControl/>
        <w:adjustRightInd w:val="0"/>
        <w:snapToGrid w:val="0"/>
        <w:spacing w:line="560" w:lineRule="exact"/>
        <w:ind w:firstLine="600" w:firstLineChars="200"/>
        <w:jc w:val="left"/>
        <w:rPr>
          <w:rFonts w:ascii="仿宋" w:hAnsi="仿宋" w:eastAsia="仿宋_GB2312" w:cs="Arial"/>
          <w:color w:val="000000"/>
          <w:kern w:val="0"/>
          <w:sz w:val="30"/>
          <w:szCs w:val="30"/>
        </w:rPr>
      </w:pPr>
    </w:p>
    <w:p>
      <w:pPr>
        <w:widowControl/>
        <w:adjustRightInd w:val="0"/>
        <w:snapToGrid w:val="0"/>
        <w:spacing w:line="560" w:lineRule="exact"/>
        <w:jc w:val="left"/>
        <w:rPr>
          <w:rFonts w:ascii="仿宋" w:hAnsi="仿宋" w:eastAsia="仿宋_GB2312" w:cs="Arial"/>
          <w:color w:val="000000"/>
          <w:kern w:val="0"/>
          <w:sz w:val="30"/>
          <w:szCs w:val="30"/>
        </w:rPr>
      </w:pPr>
      <w:r>
        <w:rPr>
          <w:rFonts w:ascii="仿宋" w:hAnsi="仿宋" w:eastAsia="仿宋_GB2312" w:cs="Arial"/>
          <w:color w:val="000000"/>
          <w:kern w:val="0"/>
          <w:sz w:val="30"/>
          <w:szCs w:val="30"/>
        </w:rPr>
        <w:t>股票代码：</w:t>
      </w:r>
      <w:r>
        <w:rPr>
          <w:rFonts w:hint="eastAsia" w:ascii="仿宋" w:hAnsi="仿宋" w:eastAsia="仿宋_GB2312" w:cs="Arial"/>
          <w:color w:val="000000"/>
          <w:kern w:val="0"/>
          <w:sz w:val="30"/>
          <w:szCs w:val="30"/>
        </w:rPr>
        <w:t xml:space="preserve">       </w:t>
      </w:r>
      <w:r>
        <w:rPr>
          <w:rFonts w:ascii="仿宋" w:hAnsi="仿宋" w:eastAsia="仿宋_GB2312" w:cs="Arial"/>
          <w:color w:val="000000"/>
          <w:kern w:val="0"/>
          <w:sz w:val="30"/>
          <w:szCs w:val="30"/>
        </w:rPr>
        <w:t xml:space="preserve"> </w:t>
      </w:r>
      <w:r>
        <w:rPr>
          <w:rFonts w:hint="eastAsia" w:ascii="仿宋" w:hAnsi="仿宋" w:eastAsia="仿宋_GB2312" w:cs="Arial"/>
          <w:color w:val="000000"/>
          <w:kern w:val="0"/>
          <w:sz w:val="30"/>
          <w:szCs w:val="30"/>
        </w:rPr>
        <w:t xml:space="preserve">     </w:t>
      </w:r>
      <w:r>
        <w:rPr>
          <w:rFonts w:ascii="仿宋" w:hAnsi="仿宋" w:eastAsia="仿宋_GB2312" w:cs="Arial"/>
          <w:color w:val="000000"/>
          <w:kern w:val="0"/>
          <w:sz w:val="30"/>
          <w:szCs w:val="30"/>
        </w:rPr>
        <w:t>股票简称：</w:t>
      </w:r>
      <w:r>
        <w:rPr>
          <w:rFonts w:hint="eastAsia" w:ascii="仿宋" w:hAnsi="仿宋" w:eastAsia="仿宋_GB2312" w:cs="Arial"/>
          <w:color w:val="000000"/>
          <w:kern w:val="0"/>
          <w:sz w:val="30"/>
          <w:szCs w:val="30"/>
        </w:rPr>
        <w:t xml:space="preserve">           </w:t>
      </w:r>
      <w:r>
        <w:rPr>
          <w:rFonts w:ascii="仿宋" w:hAnsi="仿宋" w:eastAsia="仿宋_GB2312" w:cs="Arial"/>
          <w:color w:val="000000"/>
          <w:kern w:val="0"/>
          <w:sz w:val="30"/>
          <w:szCs w:val="30"/>
        </w:rPr>
        <w:t>公告编号：</w:t>
      </w:r>
    </w:p>
    <w:p>
      <w:pPr>
        <w:widowControl/>
        <w:adjustRightInd w:val="0"/>
        <w:snapToGrid w:val="0"/>
        <w:spacing w:line="560" w:lineRule="exact"/>
        <w:jc w:val="left"/>
        <w:rPr>
          <w:rFonts w:ascii="仿宋" w:hAnsi="仿宋" w:eastAsia="仿宋_GB2312" w:cs="Arial"/>
          <w:color w:val="000000"/>
          <w:kern w:val="0"/>
          <w:sz w:val="30"/>
          <w:szCs w:val="30"/>
        </w:rPr>
      </w:pPr>
      <w:r>
        <w:rPr>
          <w:rFonts w:ascii="仿宋" w:hAnsi="仿宋" w:eastAsia="仿宋_GB2312" w:cs="Arial"/>
          <w:color w:val="000000"/>
          <w:kern w:val="0"/>
          <w:sz w:val="30"/>
          <w:szCs w:val="30"/>
        </w:rPr>
        <w:t>转债代码：</w:t>
      </w:r>
      <w:r>
        <w:rPr>
          <w:rFonts w:hint="eastAsia" w:ascii="仿宋" w:hAnsi="仿宋" w:eastAsia="仿宋_GB2312" w:cs="Arial"/>
          <w:color w:val="000000"/>
          <w:kern w:val="0"/>
          <w:sz w:val="30"/>
          <w:szCs w:val="30"/>
        </w:rPr>
        <w:t xml:space="preserve">             </w:t>
      </w:r>
      <w:r>
        <w:rPr>
          <w:rFonts w:ascii="仿宋" w:hAnsi="仿宋" w:eastAsia="仿宋_GB2312" w:cs="Arial"/>
          <w:color w:val="000000"/>
          <w:kern w:val="0"/>
          <w:sz w:val="30"/>
          <w:szCs w:val="30"/>
        </w:rPr>
        <w:t>转债简称：</w:t>
      </w:r>
      <w:r>
        <w:rPr>
          <w:rFonts w:hint="eastAsia" w:ascii="仿宋" w:hAnsi="仿宋" w:eastAsia="仿宋_GB2312" w:cs="Arial"/>
          <w:color w:val="000000"/>
          <w:kern w:val="0"/>
          <w:sz w:val="30"/>
          <w:szCs w:val="30"/>
        </w:rPr>
        <w:t xml:space="preserve">      </w:t>
      </w:r>
    </w:p>
    <w:p>
      <w:pPr>
        <w:adjustRightInd w:val="0"/>
        <w:snapToGrid w:val="0"/>
        <w:spacing w:line="560" w:lineRule="exact"/>
        <w:jc w:val="center"/>
        <w:rPr>
          <w:rFonts w:ascii="仿宋" w:hAnsi="仿宋" w:eastAsia="仿宋_GB2312" w:cs="Times New Roman"/>
          <w:color w:val="000000"/>
          <w:sz w:val="30"/>
          <w:szCs w:val="30"/>
        </w:rPr>
      </w:pPr>
    </w:p>
    <w:p>
      <w:pPr>
        <w:adjustRightInd w:val="0"/>
        <w:snapToGrid w:val="0"/>
        <w:spacing w:line="560" w:lineRule="exact"/>
        <w:jc w:val="center"/>
        <w:rPr>
          <w:rFonts w:ascii="仿宋" w:hAnsi="仿宋" w:eastAsia="仿宋_GB2312" w:cs="Times New Roman"/>
          <w:color w:val="000000"/>
          <w:sz w:val="30"/>
          <w:szCs w:val="30"/>
        </w:rPr>
      </w:pPr>
      <w:r>
        <w:rPr>
          <w:rFonts w:hint="eastAsia" w:ascii="仿宋" w:hAnsi="仿宋" w:eastAsia="仿宋_GB2312" w:cs="Times New Roman"/>
          <w:color w:val="000000"/>
          <w:sz w:val="30"/>
          <w:szCs w:val="30"/>
        </w:rPr>
        <w:t>XXXX股份有限公司实施XXXX权益分派时</w:t>
      </w:r>
    </w:p>
    <w:p>
      <w:pPr>
        <w:adjustRightInd w:val="0"/>
        <w:snapToGrid w:val="0"/>
        <w:spacing w:line="560" w:lineRule="exact"/>
        <w:jc w:val="center"/>
        <w:rPr>
          <w:rFonts w:ascii="仿宋" w:hAnsi="仿宋" w:eastAsia="仿宋_GB2312" w:cs="Times New Roman"/>
          <w:color w:val="000000"/>
          <w:sz w:val="30"/>
          <w:szCs w:val="30"/>
        </w:rPr>
      </w:pPr>
      <w:r>
        <w:rPr>
          <w:rFonts w:hint="eastAsia" w:ascii="仿宋" w:hAnsi="仿宋" w:eastAsia="仿宋_GB2312" w:cs="Times New Roman"/>
          <w:sz w:val="30"/>
          <w:szCs w:val="30"/>
        </w:rPr>
        <w:t>“XX转债”停止</w:t>
      </w:r>
      <w:r>
        <w:rPr>
          <w:rFonts w:hint="eastAsia" w:ascii="仿宋" w:hAnsi="仿宋" w:eastAsia="仿宋_GB2312" w:cs="Times New Roman"/>
          <w:color w:val="000000"/>
          <w:sz w:val="30"/>
          <w:szCs w:val="30"/>
        </w:rPr>
        <w:t>转股的提示性公告</w:t>
      </w:r>
    </w:p>
    <w:p>
      <w:pPr>
        <w:adjustRightInd w:val="0"/>
        <w:snapToGrid w:val="0"/>
        <w:spacing w:line="560" w:lineRule="exact"/>
        <w:jc w:val="center"/>
        <w:rPr>
          <w:rFonts w:ascii="仿宋" w:hAnsi="仿宋" w:eastAsia="仿宋_GB2312" w:cs="Times New Roman"/>
          <w:b/>
          <w:color w:val="000000"/>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s="Times New Roman"/>
          <w:color w:val="000000"/>
          <w:sz w:val="30"/>
          <w:szCs w:val="30"/>
        </w:rPr>
      </w:pPr>
      <w:r>
        <w:rPr>
          <w:rFonts w:hint="eastAsia" w:ascii="仿宋" w:hAnsi="仿宋" w:eastAsia="仿宋_GB2312" w:cs="Times New Roman"/>
          <w:color w:val="000000"/>
          <w:sz w:val="30"/>
          <w:szCs w:val="30"/>
        </w:rPr>
        <w:t>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s="Times New Roman"/>
          <w:color w:val="000000"/>
          <w:sz w:val="30"/>
          <w:szCs w:val="30"/>
        </w:rPr>
      </w:pPr>
      <w:r>
        <w:rPr>
          <w:rFonts w:hint="eastAsia" w:ascii="仿宋" w:hAnsi="仿宋" w:eastAsia="仿宋_GB2312" w:cs="Times New Roman"/>
          <w:color w:val="000000"/>
          <w:sz w:val="30"/>
          <w:szCs w:val="30"/>
        </w:rPr>
        <w:t>如有董事对临时公告内容的真实性、准确性和完整性无法保证或存在异议的，公司应当在公告中作特别提示。</w:t>
      </w:r>
    </w:p>
    <w:p>
      <w:pPr>
        <w:adjustRightInd w:val="0"/>
        <w:snapToGrid w:val="0"/>
        <w:spacing w:line="560" w:lineRule="exact"/>
        <w:ind w:firstLine="602" w:firstLineChars="200"/>
        <w:rPr>
          <w:rFonts w:ascii="仿宋" w:hAnsi="仿宋" w:eastAsia="仿宋_GB2312" w:cs="Times New Roman"/>
          <w:b/>
          <w:color w:val="000000"/>
          <w:sz w:val="30"/>
          <w:szCs w:val="30"/>
        </w:rPr>
      </w:pPr>
    </w:p>
    <w:p>
      <w:pPr>
        <w:adjustRightInd w:val="0"/>
        <w:snapToGrid w:val="0"/>
        <w:spacing w:line="560" w:lineRule="exact"/>
        <w:ind w:firstLine="602" w:firstLineChars="200"/>
        <w:rPr>
          <w:rFonts w:ascii="仿宋" w:hAnsi="仿宋" w:eastAsia="仿宋_GB2312" w:cs="Times New Roman"/>
          <w:b/>
          <w:sz w:val="30"/>
          <w:szCs w:val="30"/>
        </w:rPr>
      </w:pPr>
      <w:r>
        <w:rPr>
          <w:rFonts w:hint="eastAsia" w:ascii="仿宋" w:hAnsi="仿宋" w:eastAsia="仿宋_GB2312" w:cs="Times New Roman"/>
          <w:b/>
          <w:sz w:val="30"/>
          <w:szCs w:val="30"/>
        </w:rPr>
        <w:t>重要内容提示：</w:t>
      </w:r>
    </w:p>
    <w:p>
      <w:pPr>
        <w:numPr>
          <w:ilvl w:val="0"/>
          <w:numId w:val="1"/>
        </w:numPr>
        <w:adjustRightInd w:val="0"/>
        <w:snapToGrid w:val="0"/>
        <w:spacing w:line="560" w:lineRule="exact"/>
        <w:ind w:firstLine="420"/>
        <w:rPr>
          <w:rFonts w:ascii="仿宋" w:hAnsi="仿宋" w:eastAsia="仿宋_GB2312" w:cs="Times New Roman"/>
          <w:sz w:val="30"/>
          <w:szCs w:val="30"/>
        </w:rPr>
      </w:pPr>
      <w:r>
        <w:rPr>
          <w:rFonts w:hint="eastAsia" w:ascii="仿宋" w:hAnsi="仿宋" w:eastAsia="仿宋_GB2312" w:cs="Times New Roman"/>
          <w:sz w:val="30"/>
          <w:szCs w:val="30"/>
        </w:rPr>
        <w:t>权益分派公告前一交易日至权益分派股权登记日间，本公司可转债将停止转股。</w:t>
      </w:r>
    </w:p>
    <w:p>
      <w:pPr>
        <w:adjustRightInd w:val="0"/>
        <w:snapToGrid w:val="0"/>
        <w:spacing w:line="560" w:lineRule="exact"/>
        <w:ind w:firstLine="602" w:firstLineChars="200"/>
        <w:rPr>
          <w:rFonts w:ascii="仿宋" w:hAnsi="仿宋" w:eastAsia="仿宋_GB2312" w:cs="Times New Roman"/>
          <w:b/>
          <w:color w:val="000000"/>
          <w:sz w:val="30"/>
          <w:szCs w:val="30"/>
        </w:rPr>
      </w:pPr>
    </w:p>
    <w:p>
      <w:pPr>
        <w:adjustRightInd w:val="0"/>
        <w:snapToGrid w:val="0"/>
        <w:spacing w:line="560" w:lineRule="exact"/>
        <w:ind w:firstLine="602" w:firstLineChars="200"/>
        <w:rPr>
          <w:rFonts w:ascii="黑体" w:hAnsi="黑体" w:eastAsia="黑体" w:cs="Times New Roman"/>
          <w:b/>
          <w:bCs/>
          <w:sz w:val="30"/>
          <w:szCs w:val="30"/>
        </w:rPr>
      </w:pPr>
      <w:r>
        <w:rPr>
          <w:rFonts w:hint="eastAsia" w:ascii="黑体" w:hAnsi="黑体" w:eastAsia="黑体" w:cs="Times New Roman"/>
          <w:b/>
          <w:bCs/>
          <w:sz w:val="30"/>
          <w:szCs w:val="30"/>
        </w:rPr>
        <w:t>一、简要介绍权益分派方案的基本情况</w:t>
      </w:r>
    </w:p>
    <w:p>
      <w:pPr>
        <w:adjustRightInd w:val="0"/>
        <w:snapToGrid w:val="0"/>
        <w:spacing w:line="560" w:lineRule="exact"/>
        <w:ind w:firstLine="600" w:firstLineChars="200"/>
        <w:rPr>
          <w:rFonts w:ascii="仿宋" w:hAnsi="仿宋" w:eastAsia="仿宋_GB2312" w:cs="Times New Roman"/>
          <w:sz w:val="30"/>
          <w:szCs w:val="30"/>
        </w:rPr>
      </w:pPr>
      <w:r>
        <w:rPr>
          <w:rFonts w:hint="eastAsia" w:ascii="仿宋" w:hAnsi="仿宋" w:eastAsia="仿宋_GB2312" w:cs="Times New Roman"/>
          <w:sz w:val="30"/>
          <w:szCs w:val="30"/>
        </w:rPr>
        <w:t>简要介绍权益分派方案的基本内容、股东会日期、届次、相关决议的信息披露等情况。</w:t>
      </w:r>
    </w:p>
    <w:p>
      <w:pPr>
        <w:adjustRightInd w:val="0"/>
        <w:snapToGrid w:val="0"/>
        <w:spacing w:line="560" w:lineRule="exact"/>
        <w:ind w:firstLine="600" w:firstLineChars="200"/>
        <w:rPr>
          <w:rFonts w:ascii="仿宋" w:hAnsi="仿宋" w:eastAsia="仿宋_GB2312" w:cs="Times New Roman"/>
          <w:sz w:val="30"/>
          <w:szCs w:val="30"/>
        </w:rPr>
      </w:pPr>
      <w:r>
        <w:rPr>
          <w:rFonts w:hint="eastAsia" w:ascii="仿宋" w:hAnsi="仿宋" w:eastAsia="仿宋_GB2312" w:cs="Times New Roman"/>
          <w:sz w:val="30"/>
          <w:szCs w:val="30"/>
        </w:rPr>
        <w:t>提示权益分派方案实施后，将依据可转债募集说明书发行条款及相关规定对可转债当期转股价格进行调整。</w:t>
      </w:r>
    </w:p>
    <w:p>
      <w:pPr>
        <w:adjustRightInd w:val="0"/>
        <w:snapToGrid w:val="0"/>
        <w:spacing w:line="560" w:lineRule="exact"/>
        <w:ind w:firstLine="600" w:firstLineChars="200"/>
        <w:rPr>
          <w:rFonts w:ascii="仿宋" w:hAnsi="仿宋" w:eastAsia="仿宋_GB2312" w:cs="Times New Roman"/>
          <w:sz w:val="30"/>
          <w:szCs w:val="30"/>
        </w:rPr>
      </w:pPr>
    </w:p>
    <w:p>
      <w:pPr>
        <w:adjustRightInd w:val="0"/>
        <w:snapToGrid w:val="0"/>
        <w:spacing w:line="560" w:lineRule="exact"/>
        <w:ind w:firstLine="602" w:firstLineChars="200"/>
        <w:rPr>
          <w:rFonts w:ascii="黑体" w:hAnsi="黑体" w:eastAsia="黑体" w:cs="Times New Roman"/>
          <w:b/>
          <w:bCs/>
          <w:sz w:val="30"/>
          <w:szCs w:val="30"/>
        </w:rPr>
      </w:pPr>
      <w:r>
        <w:rPr>
          <w:rFonts w:hint="eastAsia" w:ascii="黑体" w:hAnsi="黑体" w:eastAsia="黑体" w:cs="Times New Roman"/>
          <w:b/>
          <w:bCs/>
          <w:sz w:val="30"/>
          <w:szCs w:val="30"/>
        </w:rPr>
        <w:t>二、本次权益分派方案实施时停止转股的安排</w:t>
      </w:r>
    </w:p>
    <w:p>
      <w:pPr>
        <w:adjustRightInd w:val="0"/>
        <w:snapToGrid w:val="0"/>
        <w:spacing w:line="560" w:lineRule="exact"/>
        <w:ind w:firstLine="600" w:firstLineChars="200"/>
        <w:rPr>
          <w:rFonts w:ascii="仿宋" w:hAnsi="仿宋" w:eastAsia="仿宋_GB2312" w:cs="Times New Roman"/>
          <w:sz w:val="30"/>
          <w:szCs w:val="30"/>
        </w:rPr>
      </w:pPr>
      <w:r>
        <w:rPr>
          <w:rFonts w:hint="eastAsia" w:ascii="仿宋" w:hAnsi="仿宋" w:eastAsia="仿宋_GB2312" w:cs="Times New Roman"/>
          <w:sz w:val="30"/>
          <w:szCs w:val="30"/>
        </w:rPr>
        <w:t>（一）公司将于P日在指定媒体披露</w:t>
      </w:r>
      <w:r>
        <w:rPr>
          <w:rFonts w:ascii="仿宋" w:hAnsi="仿宋" w:eastAsia="仿宋_GB2312" w:cs="Times New Roman"/>
          <w:sz w:val="30"/>
          <w:szCs w:val="30"/>
        </w:rPr>
        <w:t>权益分派实施公告和可转债转股价格调整公告</w:t>
      </w:r>
      <w:r>
        <w:rPr>
          <w:rFonts w:hint="eastAsia" w:ascii="仿宋" w:hAnsi="仿宋" w:eastAsia="仿宋_GB2312" w:cs="Times New Roman"/>
          <w:sz w:val="30"/>
          <w:szCs w:val="30"/>
        </w:rPr>
        <w:t>。</w:t>
      </w:r>
    </w:p>
    <w:p>
      <w:pPr>
        <w:adjustRightInd w:val="0"/>
        <w:snapToGrid w:val="0"/>
        <w:spacing w:line="560" w:lineRule="exact"/>
        <w:ind w:firstLine="600" w:firstLineChars="200"/>
        <w:rPr>
          <w:rFonts w:ascii="仿宋" w:hAnsi="仿宋" w:eastAsia="仿宋_GB2312" w:cs="Times New Roman"/>
          <w:sz w:val="30"/>
          <w:szCs w:val="30"/>
        </w:rPr>
      </w:pPr>
      <w:r>
        <w:rPr>
          <w:rFonts w:hint="eastAsia" w:ascii="仿宋" w:hAnsi="仿宋" w:eastAsia="仿宋_GB2312" w:cs="Times New Roman"/>
          <w:sz w:val="30"/>
          <w:szCs w:val="30"/>
        </w:rPr>
        <w:t>（二）自</w:t>
      </w:r>
      <w:r>
        <w:rPr>
          <w:rFonts w:ascii="仿宋" w:hAnsi="仿宋" w:eastAsia="仿宋_GB2312" w:cs="Times New Roman"/>
          <w:sz w:val="30"/>
          <w:szCs w:val="30"/>
        </w:rPr>
        <w:t>P－1日至</w:t>
      </w:r>
      <w:r>
        <w:rPr>
          <w:rFonts w:hint="eastAsia" w:ascii="仿宋" w:hAnsi="仿宋" w:eastAsia="仿宋_GB2312" w:cs="Times New Roman"/>
          <w:sz w:val="30"/>
          <w:szCs w:val="30"/>
        </w:rPr>
        <w:t>权益分派</w:t>
      </w:r>
      <w:r>
        <w:rPr>
          <w:rFonts w:ascii="仿宋" w:hAnsi="仿宋" w:eastAsia="仿宋_GB2312" w:cs="Times New Roman"/>
          <w:sz w:val="30"/>
          <w:szCs w:val="30"/>
        </w:rPr>
        <w:t>股权登记日期间</w:t>
      </w:r>
      <w:r>
        <w:rPr>
          <w:rFonts w:hint="eastAsia" w:ascii="仿宋" w:hAnsi="仿宋" w:eastAsia="仿宋_GB2312" w:cs="Times New Roman"/>
          <w:sz w:val="30"/>
          <w:szCs w:val="30"/>
        </w:rPr>
        <w:t>，“XX转债”</w:t>
      </w:r>
      <w:r>
        <w:rPr>
          <w:rFonts w:ascii="仿宋" w:hAnsi="仿宋" w:eastAsia="仿宋_GB2312" w:cs="Times New Roman"/>
          <w:sz w:val="30"/>
          <w:szCs w:val="30"/>
        </w:rPr>
        <w:t>将停止</w:t>
      </w:r>
      <w:r>
        <w:rPr>
          <w:rFonts w:hint="eastAsia" w:ascii="仿宋" w:hAnsi="仿宋" w:eastAsia="仿宋_GB2312" w:cs="Times New Roman"/>
          <w:sz w:val="30"/>
          <w:szCs w:val="30"/>
        </w:rPr>
        <w:t>转股</w:t>
      </w:r>
      <w:r>
        <w:rPr>
          <w:rFonts w:ascii="仿宋" w:hAnsi="仿宋" w:eastAsia="仿宋_GB2312" w:cs="Times New Roman"/>
          <w:sz w:val="30"/>
          <w:szCs w:val="30"/>
        </w:rPr>
        <w:t>，</w:t>
      </w:r>
      <w:r>
        <w:rPr>
          <w:rFonts w:hint="eastAsia" w:ascii="仿宋" w:hAnsi="仿宋" w:eastAsia="仿宋_GB2312" w:cs="Times New Roman"/>
          <w:sz w:val="30"/>
          <w:szCs w:val="30"/>
        </w:rPr>
        <w:t>股权登记日后的第一个交易日起“XX转债”恢复转股，</w:t>
      </w:r>
      <w:r>
        <w:rPr>
          <w:rFonts w:ascii="仿宋" w:hAnsi="仿宋" w:eastAsia="仿宋_GB2312" w:cs="Times New Roman"/>
          <w:sz w:val="30"/>
          <w:szCs w:val="30"/>
        </w:rPr>
        <w:t>欲享受权益分派的可转债持有人可在P－2日</w:t>
      </w:r>
      <w:r>
        <w:rPr>
          <w:rFonts w:hint="eastAsia" w:ascii="仿宋" w:hAnsi="仿宋" w:eastAsia="仿宋_GB2312" w:cs="Times New Roman"/>
          <w:sz w:val="30"/>
          <w:szCs w:val="30"/>
        </w:rPr>
        <w:t>（含</w:t>
      </w:r>
      <w:r>
        <w:rPr>
          <w:rFonts w:ascii="仿宋" w:hAnsi="仿宋" w:eastAsia="仿宋_GB2312" w:cs="Times New Roman"/>
          <w:sz w:val="30"/>
          <w:szCs w:val="30"/>
        </w:rPr>
        <w:t>P－2日</w:t>
      </w:r>
      <w:r>
        <w:rPr>
          <w:rFonts w:hint="eastAsia" w:ascii="仿宋" w:hAnsi="仿宋" w:eastAsia="仿宋_GB2312" w:cs="Times New Roman"/>
          <w:sz w:val="30"/>
          <w:szCs w:val="30"/>
        </w:rPr>
        <w:t>）</w:t>
      </w:r>
      <w:r>
        <w:rPr>
          <w:rFonts w:ascii="仿宋" w:hAnsi="仿宋" w:eastAsia="仿宋_GB2312" w:cs="Times New Roman"/>
          <w:sz w:val="30"/>
          <w:szCs w:val="30"/>
        </w:rPr>
        <w:t>之前进行转股。</w:t>
      </w:r>
    </w:p>
    <w:p>
      <w:pPr>
        <w:adjustRightInd w:val="0"/>
        <w:snapToGrid w:val="0"/>
        <w:spacing w:line="560" w:lineRule="exact"/>
        <w:ind w:firstLine="480" w:firstLineChars="200"/>
        <w:rPr>
          <w:rFonts w:ascii="楷体" w:hAnsi="楷体" w:eastAsia="楷体" w:cs="Times New Roman"/>
          <w:sz w:val="24"/>
          <w:szCs w:val="24"/>
        </w:rPr>
      </w:pPr>
    </w:p>
    <w:p>
      <w:pPr>
        <w:adjustRightInd w:val="0"/>
        <w:snapToGrid w:val="0"/>
        <w:spacing w:line="560" w:lineRule="exact"/>
        <w:ind w:firstLine="602" w:firstLineChars="200"/>
        <w:rPr>
          <w:rFonts w:ascii="黑体" w:hAnsi="黑体" w:eastAsia="黑体" w:cs="Times New Roman"/>
          <w:b/>
          <w:bCs/>
          <w:sz w:val="30"/>
          <w:szCs w:val="30"/>
        </w:rPr>
      </w:pPr>
      <w:r>
        <w:rPr>
          <w:rFonts w:hint="eastAsia" w:ascii="黑体" w:hAnsi="黑体" w:eastAsia="黑体" w:cs="Times New Roman"/>
          <w:b/>
          <w:bCs/>
          <w:sz w:val="30"/>
          <w:szCs w:val="30"/>
        </w:rPr>
        <w:t>三</w:t>
      </w:r>
      <w:r>
        <w:rPr>
          <w:rFonts w:ascii="黑体" w:hAnsi="黑体" w:eastAsia="黑体" w:cs="Times New Roman"/>
          <w:b/>
          <w:bCs/>
          <w:sz w:val="30"/>
          <w:szCs w:val="30"/>
        </w:rPr>
        <w:t>、其他</w:t>
      </w:r>
    </w:p>
    <w:p>
      <w:pPr>
        <w:widowControl/>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联系人、咨询电话等其他内容。</w:t>
      </w:r>
    </w:p>
    <w:p>
      <w:pPr>
        <w:widowControl/>
        <w:adjustRightInd w:val="0"/>
        <w:snapToGrid w:val="0"/>
        <w:spacing w:line="560" w:lineRule="exact"/>
        <w:ind w:firstLine="600" w:firstLineChars="200"/>
        <w:jc w:val="left"/>
        <w:rPr>
          <w:rFonts w:ascii="仿宋" w:hAnsi="仿宋" w:eastAsia="仿宋_GB2312" w:cs="宋体"/>
          <w:kern w:val="0"/>
          <w:sz w:val="30"/>
          <w:szCs w:val="30"/>
        </w:rPr>
      </w:pPr>
    </w:p>
    <w:p>
      <w:pPr>
        <w:widowControl/>
        <w:adjustRightInd w:val="0"/>
        <w:snapToGrid w:val="0"/>
        <w:spacing w:line="560" w:lineRule="exact"/>
        <w:ind w:firstLine="600" w:firstLineChars="200"/>
        <w:jc w:val="left"/>
        <w:rPr>
          <w:rFonts w:ascii="仿宋" w:hAnsi="仿宋" w:eastAsia="仿宋_GB2312" w:cs="宋体"/>
          <w:kern w:val="0"/>
          <w:sz w:val="30"/>
          <w:szCs w:val="30"/>
        </w:rPr>
      </w:pPr>
      <w:r>
        <w:rPr>
          <w:rFonts w:hint="eastAsia" w:ascii="仿宋" w:hAnsi="仿宋" w:eastAsia="仿宋_GB2312" w:cs="宋体"/>
          <w:kern w:val="0"/>
          <w:sz w:val="30"/>
          <w:szCs w:val="30"/>
        </w:rPr>
        <w:t>特此公告。</w:t>
      </w:r>
    </w:p>
    <w:p>
      <w:pPr>
        <w:adjustRightInd w:val="0"/>
        <w:snapToGrid w:val="0"/>
        <w:spacing w:line="560" w:lineRule="exact"/>
        <w:ind w:firstLine="600" w:firstLineChars="200"/>
        <w:jc w:val="left"/>
        <w:rPr>
          <w:rFonts w:ascii="仿宋" w:hAnsi="仿宋" w:eastAsia="仿宋_GB2312" w:cs="Times New Roman"/>
          <w:sz w:val="30"/>
          <w:szCs w:val="30"/>
        </w:rPr>
      </w:pPr>
      <w:r>
        <w:rPr>
          <w:rFonts w:ascii="仿宋" w:hAnsi="仿宋" w:eastAsia="仿宋_GB2312" w:cs="Times New Roman"/>
          <w:sz w:val="30"/>
          <w:szCs w:val="30"/>
        </w:rPr>
        <w:t xml:space="preserve"> </w:t>
      </w:r>
    </w:p>
    <w:p>
      <w:pPr>
        <w:adjustRightInd w:val="0"/>
        <w:snapToGrid w:val="0"/>
        <w:spacing w:line="560" w:lineRule="exact"/>
        <w:ind w:firstLine="600" w:firstLineChars="200"/>
        <w:jc w:val="right"/>
        <w:rPr>
          <w:rFonts w:ascii="仿宋" w:hAnsi="仿宋" w:eastAsia="仿宋_GB2312" w:cs="Times New Roman"/>
          <w:sz w:val="30"/>
          <w:szCs w:val="30"/>
        </w:rPr>
      </w:pPr>
      <w:r>
        <w:rPr>
          <w:rFonts w:hint="eastAsia" w:ascii="仿宋" w:hAnsi="仿宋" w:eastAsia="仿宋_GB2312" w:cs="Times New Roman"/>
          <w:sz w:val="30"/>
          <w:szCs w:val="30"/>
        </w:rPr>
        <w:t>XXXX股份有限公司董事会</w:t>
      </w:r>
    </w:p>
    <w:p>
      <w:pPr>
        <w:adjustRightInd w:val="0"/>
        <w:snapToGrid w:val="0"/>
        <w:spacing w:line="560" w:lineRule="exact"/>
        <w:ind w:firstLine="600" w:firstLineChars="200"/>
        <w:jc w:val="right"/>
        <w:rPr>
          <w:rFonts w:ascii="仿宋" w:hAnsi="仿宋" w:eastAsia="仿宋_GB2312" w:cs="Times New Roman"/>
          <w:sz w:val="30"/>
          <w:szCs w:val="30"/>
        </w:rPr>
      </w:pPr>
      <w:r>
        <w:rPr>
          <w:rFonts w:hint="eastAsia" w:ascii="仿宋" w:hAnsi="仿宋" w:eastAsia="仿宋_GB2312" w:cs="Times New Roman"/>
          <w:sz w:val="30"/>
          <w:szCs w:val="30"/>
        </w:rPr>
        <w:t>年  月  日</w:t>
      </w:r>
    </w:p>
    <w:p>
      <w:pPr>
        <w:adjustRightInd w:val="0"/>
        <w:snapToGrid w:val="0"/>
        <w:spacing w:line="560" w:lineRule="exact"/>
        <w:ind w:firstLine="600" w:firstLineChars="200"/>
        <w:jc w:val="right"/>
        <w:rPr>
          <w:rFonts w:ascii="仿宋" w:hAnsi="仿宋" w:eastAsia="仿宋_GB2312" w:cs="Times New Roman"/>
          <w:sz w:val="30"/>
          <w:szCs w:val="30"/>
        </w:rPr>
      </w:pPr>
    </w:p>
    <w:p>
      <w:pPr>
        <w:numPr>
          <w:ilvl w:val="0"/>
          <w:numId w:val="2"/>
        </w:numPr>
        <w:tabs>
          <w:tab w:val="left" w:pos="846"/>
          <w:tab w:val="clear" w:pos="420"/>
        </w:tabs>
        <w:adjustRightInd w:val="0"/>
        <w:snapToGrid w:val="0"/>
        <w:spacing w:line="600" w:lineRule="exact"/>
        <w:ind w:left="0" w:firstLine="602" w:firstLineChars="200"/>
        <w:jc w:val="left"/>
        <w:rPr>
          <w:rFonts w:ascii="仿宋_GB2312" w:hAnsi="宋体" w:eastAsia="仿宋_GB2312" w:cs="Times New Roman"/>
          <w:b/>
          <w:sz w:val="30"/>
          <w:szCs w:val="30"/>
        </w:rPr>
      </w:pPr>
      <w:r>
        <w:rPr>
          <w:rFonts w:hint="eastAsia" w:ascii="仿宋_GB2312" w:hAnsi="宋体" w:eastAsia="仿宋_GB2312" w:cs="Times New Roman"/>
          <w:b/>
          <w:sz w:val="30"/>
          <w:szCs w:val="30"/>
        </w:rPr>
        <w:t>注意事项</w:t>
      </w:r>
    </w:p>
    <w:p>
      <w:pPr>
        <w:adjustRightInd w:val="0"/>
        <w:snapToGrid w:val="0"/>
        <w:spacing w:line="600" w:lineRule="exact"/>
        <w:ind w:firstLine="600" w:firstLineChars="200"/>
        <w:jc w:val="left"/>
        <w:rPr>
          <w:rFonts w:ascii="仿宋_GB2312" w:hAnsi="宋体" w:eastAsia="仿宋_GB2312" w:cs="Times New Roman"/>
          <w:sz w:val="30"/>
          <w:szCs w:val="30"/>
        </w:rPr>
      </w:pPr>
      <w:r>
        <w:rPr>
          <w:rFonts w:hint="eastAsia" w:ascii="仿宋_GB2312" w:hAnsi="宋体" w:eastAsia="仿宋_GB2312" w:cs="Times New Roman"/>
          <w:sz w:val="30"/>
          <w:szCs w:val="30"/>
        </w:rPr>
        <w:t>本公告中的日期均为交易日，公司应于P-4日披露本提示性公告。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030EAA"/>
    <w:multiLevelType w:val="multilevel"/>
    <w:tmpl w:val="38030EAA"/>
    <w:lvl w:ilvl="0" w:tentative="0">
      <w:start w:val="1"/>
      <w:numFmt w:val="bullet"/>
      <w:lvlText w:val=""/>
      <w:lvlJc w:val="left"/>
      <w:pPr>
        <w:tabs>
          <w:tab w:val="left" w:pos="0"/>
        </w:tabs>
        <w:ind w:left="0" w:hanging="420"/>
      </w:pPr>
      <w:rPr>
        <w:rFonts w:hint="default" w:ascii="Wingdings" w:hAnsi="Wingdings"/>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bullet"/>
      <w:lvlText w:val=""/>
      <w:lvlJc w:val="left"/>
      <w:pPr>
        <w:ind w:left="840" w:hanging="420"/>
      </w:pPr>
      <w:rPr>
        <w:rFonts w:hint="default" w:ascii="Wingdings" w:hAnsi="Wingdings"/>
      </w:rPr>
    </w:lvl>
    <w:lvl w:ilvl="3" w:tentative="0">
      <w:start w:val="1"/>
      <w:numFmt w:val="bullet"/>
      <w:lvlText w:val=""/>
      <w:lvlJc w:val="left"/>
      <w:pPr>
        <w:ind w:left="1260" w:hanging="420"/>
      </w:pPr>
      <w:rPr>
        <w:rFonts w:hint="default" w:ascii="Wingdings" w:hAnsi="Wingdings"/>
      </w:rPr>
    </w:lvl>
    <w:lvl w:ilvl="4" w:tentative="0">
      <w:start w:val="1"/>
      <w:numFmt w:val="bullet"/>
      <w:lvlText w:val=""/>
      <w:lvlJc w:val="left"/>
      <w:pPr>
        <w:ind w:left="1680" w:hanging="420"/>
      </w:pPr>
      <w:rPr>
        <w:rFonts w:hint="default" w:ascii="Wingdings" w:hAnsi="Wingdings"/>
      </w:rPr>
    </w:lvl>
    <w:lvl w:ilvl="5" w:tentative="0">
      <w:start w:val="1"/>
      <w:numFmt w:val="bullet"/>
      <w:lvlText w:val=""/>
      <w:lvlJc w:val="left"/>
      <w:pPr>
        <w:ind w:left="2100" w:hanging="420"/>
      </w:pPr>
      <w:rPr>
        <w:rFonts w:hint="default" w:ascii="Wingdings" w:hAnsi="Wingdings"/>
      </w:rPr>
    </w:lvl>
    <w:lvl w:ilvl="6" w:tentative="0">
      <w:start w:val="1"/>
      <w:numFmt w:val="bullet"/>
      <w:lvlText w:val=""/>
      <w:lvlJc w:val="left"/>
      <w:pPr>
        <w:ind w:left="2520" w:hanging="420"/>
      </w:pPr>
      <w:rPr>
        <w:rFonts w:hint="default" w:ascii="Wingdings" w:hAnsi="Wingdings"/>
      </w:rPr>
    </w:lvl>
    <w:lvl w:ilvl="7" w:tentative="0">
      <w:start w:val="1"/>
      <w:numFmt w:val="bullet"/>
      <w:lvlText w:val=""/>
      <w:lvlJc w:val="left"/>
      <w:pPr>
        <w:ind w:left="2940" w:hanging="420"/>
      </w:pPr>
      <w:rPr>
        <w:rFonts w:hint="default" w:ascii="Wingdings" w:hAnsi="Wingdings"/>
      </w:rPr>
    </w:lvl>
    <w:lvl w:ilvl="8" w:tentative="0">
      <w:start w:val="1"/>
      <w:numFmt w:val="bullet"/>
      <w:lvlText w:val=""/>
      <w:lvlJc w:val="left"/>
      <w:pPr>
        <w:ind w:left="3360" w:hanging="420"/>
      </w:pPr>
      <w:rPr>
        <w:rFonts w:hint="default" w:ascii="Wingdings" w:hAnsi="Wingdings"/>
      </w:rPr>
    </w:lvl>
  </w:abstractNum>
  <w:abstractNum w:abstractNumId="1">
    <w:nsid w:val="73D15925"/>
    <w:multiLevelType w:val="multilevel"/>
    <w:tmpl w:val="73D15925"/>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5FE"/>
    <w:rsid w:val="00581DDA"/>
    <w:rsid w:val="005D35FE"/>
    <w:rsid w:val="00792460"/>
    <w:rsid w:val="007A07C6"/>
    <w:rsid w:val="00873AF8"/>
    <w:rsid w:val="00A636A1"/>
    <w:rsid w:val="00A6556F"/>
    <w:rsid w:val="00BC3403"/>
    <w:rsid w:val="00D07469"/>
    <w:rsid w:val="00EA2656"/>
    <w:rsid w:val="42F95390"/>
    <w:rsid w:val="767F2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667</Words>
  <Characters>681</Characters>
  <Lines>5</Lines>
  <Paragraphs>1</Paragraphs>
  <TotalTime>74</TotalTime>
  <ScaleCrop>false</ScaleCrop>
  <LinksUpToDate>false</LinksUpToDate>
  <CharactersWithSpaces>729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2022-07-20T09:33:00Z</dcterms:created>
  <dc:creator>PC</dc:creator>
  <cp:lastModifiedBy>tanshiyu</cp:lastModifiedBy>
  <dcterms:modified xsi:type="dcterms:W3CDTF">2025-04-21T08:17:09Z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eyJoZGlkIjoiMzk4NGIwMTVlYjczY2M2MGVkYzUzMjIwZWIyMjUzOTYiLCJ1c2VySWQiOiI1MTQ2NTAzMTUifQ==</vt:lpwstr>
  </property>
  <property fmtid="{D5CDD505-2E9C-101B-9397-08002B2CF9AE}" pid="3" name="KSOProductBuildVer">
    <vt:lpwstr>2052-11.8.2.12085</vt:lpwstr>
  </property>
  <property fmtid="{D5CDD505-2E9C-101B-9397-08002B2CF9AE}" pid="4" name="ICV">
    <vt:lpwstr>2A98AF422EBC47AB846AA96625D326E2</vt:lpwstr>
  </property>
</Properties>
</file>