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C7767">
      <w:pPr>
        <w:adjustRightInd w:val="0"/>
        <w:snapToGrid w:val="0"/>
        <w:spacing w:line="600" w:lineRule="exact"/>
        <w:rPr>
          <w:rFonts w:hint="eastAsia" w:ascii="黑体" w:hAnsi="黑体" w:eastAsia="黑体" w:cs="黑体"/>
          <w:b w:val="0"/>
          <w:sz w:val="32"/>
          <w:szCs w:val="32"/>
          <w:u w:val="none"/>
          <w:lang w:val="en-US" w:eastAsia="zh-CN"/>
        </w:rPr>
      </w:pPr>
      <w:r>
        <w:rPr>
          <w:rFonts w:hint="eastAsia" w:ascii="黑体" w:hAnsi="黑体" w:eastAsia="黑体" w:cs="黑体"/>
          <w:b w:val="0"/>
          <w:sz w:val="32"/>
          <w:szCs w:val="32"/>
          <w:u w:val="none"/>
        </w:rPr>
        <w:t>附件</w:t>
      </w:r>
      <w:r>
        <w:rPr>
          <w:rFonts w:hint="eastAsia" w:ascii="黑体" w:hAnsi="黑体" w:eastAsia="黑体" w:cs="黑体"/>
          <w:b w:val="0"/>
          <w:sz w:val="32"/>
          <w:szCs w:val="32"/>
          <w:u w:val="none"/>
          <w:lang w:val="en-US" w:eastAsia="zh-CN"/>
        </w:rPr>
        <w:t>3</w:t>
      </w:r>
    </w:p>
    <w:p w14:paraId="2539EDB9">
      <w:pPr>
        <w:adjustRightInd w:val="0"/>
        <w:snapToGrid w:val="0"/>
        <w:spacing w:line="600" w:lineRule="exact"/>
        <w:rPr>
          <w:rFonts w:hint="eastAsia" w:ascii="黑体" w:hAnsi="黑体" w:eastAsia="黑体" w:cs="黑体"/>
          <w:b w:val="0"/>
          <w:sz w:val="32"/>
          <w:szCs w:val="32"/>
          <w:u w:val="none"/>
          <w:lang w:val="en-US" w:eastAsia="zh-CN"/>
        </w:rPr>
      </w:pPr>
    </w:p>
    <w:p w14:paraId="5D2A876E">
      <w:pPr>
        <w:spacing w:line="560" w:lineRule="exact"/>
        <w:jc w:val="center"/>
        <w:rPr>
          <w:rFonts w:hint="eastAsia" w:ascii="方正大标宋简体" w:hAnsi="方正大标宋简体" w:eastAsia="方正大标宋简体" w:cs="方正大标宋简体"/>
          <w:b w:val="0"/>
          <w:sz w:val="44"/>
          <w:szCs w:val="44"/>
        </w:rPr>
      </w:pPr>
      <w:r>
        <w:rPr>
          <w:rFonts w:hint="eastAsia" w:ascii="方正大标宋简体" w:hAnsi="方正大标宋简体" w:eastAsia="方正大标宋简体" w:cs="方正大标宋简体"/>
          <w:b w:val="0"/>
          <w:sz w:val="44"/>
          <w:szCs w:val="44"/>
        </w:rPr>
        <w:t>上海证券交易所交易规则（</w:t>
      </w:r>
      <w:r>
        <w:rPr>
          <w:rFonts w:hint="default" w:ascii="Times New Roman" w:hAnsi="Times New Roman" w:eastAsia="方正大标宋简体"/>
          <w:b w:val="0"/>
          <w:sz w:val="44"/>
          <w:szCs w:val="44"/>
        </w:rPr>
        <w:t>202</w:t>
      </w:r>
      <w:r>
        <w:rPr>
          <w:rFonts w:hint="eastAsia" w:eastAsia="方正大标宋简体"/>
          <w:b w:val="0"/>
          <w:sz w:val="44"/>
          <w:szCs w:val="44"/>
          <w:lang w:val="en-US" w:eastAsia="zh-CN"/>
        </w:rPr>
        <w:t>6</w:t>
      </w:r>
      <w:r>
        <w:rPr>
          <w:rFonts w:hint="eastAsia" w:ascii="方正大标宋简体" w:hAnsi="方正大标宋简体" w:eastAsia="方正大标宋简体" w:cs="方正大标宋简体"/>
          <w:b w:val="0"/>
          <w:sz w:val="44"/>
          <w:szCs w:val="44"/>
        </w:rPr>
        <w:t>年修订）</w:t>
      </w:r>
    </w:p>
    <w:p w14:paraId="730B9F73">
      <w:pPr>
        <w:spacing w:line="560" w:lineRule="exact"/>
        <w:jc w:val="center"/>
        <w:rPr>
          <w:rFonts w:hint="eastAsia" w:ascii="方正大标宋简体" w:hAnsi="方正大标宋简体" w:eastAsia="方正大标宋简体" w:cs="方正大标宋简体"/>
          <w:b w:val="0"/>
          <w:sz w:val="44"/>
          <w:szCs w:val="44"/>
        </w:rPr>
      </w:pPr>
      <w:bookmarkStart w:id="0" w:name="_GoBack"/>
      <w:bookmarkEnd w:id="0"/>
      <w:r>
        <w:rPr>
          <w:rFonts w:hint="eastAsia" w:ascii="方正大标宋简体" w:hAnsi="方正大标宋简体" w:eastAsia="方正大标宋简体" w:cs="方正大标宋简体"/>
          <w:b w:val="0"/>
          <w:sz w:val="44"/>
          <w:szCs w:val="44"/>
        </w:rPr>
        <w:t>暂缓实施条文</w:t>
      </w:r>
    </w:p>
    <w:tbl>
      <w:tblPr>
        <w:tblStyle w:val="8"/>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62"/>
        <w:gridCol w:w="5412"/>
        <w:gridCol w:w="3811"/>
      </w:tblGrid>
      <w:tr w14:paraId="432F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atLeast"/>
          <w:jc w:val="center"/>
        </w:trPr>
        <w:tc>
          <w:tcPr>
            <w:tcW w:w="0" w:type="auto"/>
            <w:shd w:val="clear" w:color="auto" w:fill="FFFFFF"/>
            <w:noWrap/>
            <w:tcMar>
              <w:top w:w="90" w:type="dxa"/>
              <w:left w:w="120" w:type="dxa"/>
              <w:bottom w:w="90" w:type="dxa"/>
              <w:right w:w="120" w:type="dxa"/>
            </w:tcMar>
            <w:vAlign w:val="center"/>
          </w:tcPr>
          <w:p w14:paraId="2DA45E04">
            <w:pPr>
              <w:jc w:val="center"/>
              <w:rPr>
                <w:rFonts w:ascii="仿宋_GB2312" w:eastAsia="仿宋_GB2312"/>
                <w:b/>
              </w:rPr>
            </w:pPr>
            <w:r>
              <w:rPr>
                <w:rFonts w:hint="eastAsia" w:ascii="仿宋_GB2312" w:eastAsia="仿宋_GB2312"/>
                <w:b/>
              </w:rPr>
              <w:t>序号</w:t>
            </w:r>
          </w:p>
        </w:tc>
        <w:tc>
          <w:tcPr>
            <w:tcW w:w="5412" w:type="dxa"/>
            <w:shd w:val="clear" w:color="auto" w:fill="FFFFFF"/>
            <w:noWrap/>
            <w:tcMar>
              <w:top w:w="90" w:type="dxa"/>
              <w:left w:w="120" w:type="dxa"/>
              <w:bottom w:w="90" w:type="dxa"/>
              <w:right w:w="120" w:type="dxa"/>
            </w:tcMar>
            <w:vAlign w:val="center"/>
          </w:tcPr>
          <w:p w14:paraId="7C3315D5">
            <w:pPr>
              <w:jc w:val="center"/>
              <w:rPr>
                <w:rFonts w:ascii="仿宋_GB2312" w:eastAsia="仿宋_GB2312"/>
                <w:b/>
              </w:rPr>
            </w:pPr>
            <w:r>
              <w:rPr>
                <w:rFonts w:hint="eastAsia" w:ascii="仿宋_GB2312" w:eastAsia="仿宋_GB2312"/>
                <w:b/>
              </w:rPr>
              <w:t>条款内容</w:t>
            </w:r>
          </w:p>
        </w:tc>
        <w:tc>
          <w:tcPr>
            <w:tcW w:w="3811" w:type="dxa"/>
            <w:shd w:val="clear" w:color="auto" w:fill="FFFFFF"/>
            <w:noWrap/>
            <w:tcMar>
              <w:top w:w="90" w:type="dxa"/>
              <w:left w:w="120" w:type="dxa"/>
              <w:bottom w:w="90" w:type="dxa"/>
              <w:right w:w="120" w:type="dxa"/>
            </w:tcMar>
            <w:vAlign w:val="center"/>
          </w:tcPr>
          <w:p w14:paraId="6B2DFCF9">
            <w:pPr>
              <w:jc w:val="center"/>
              <w:rPr>
                <w:rFonts w:ascii="仿宋_GB2312" w:eastAsia="仿宋_GB2312"/>
                <w:b/>
              </w:rPr>
            </w:pPr>
            <w:r>
              <w:rPr>
                <w:rFonts w:hint="eastAsia" w:ascii="仿宋_GB2312" w:eastAsia="仿宋_GB2312"/>
                <w:b/>
              </w:rPr>
              <w:t>暂缓实施内容</w:t>
            </w:r>
          </w:p>
        </w:tc>
      </w:tr>
      <w:tr w14:paraId="3D05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4" w:hRule="atLeast"/>
          <w:jc w:val="center"/>
        </w:trPr>
        <w:tc>
          <w:tcPr>
            <w:tcW w:w="0" w:type="auto"/>
            <w:shd w:val="clear" w:color="auto" w:fill="FFFFFF"/>
            <w:tcMar>
              <w:top w:w="90" w:type="dxa"/>
              <w:left w:w="75" w:type="dxa"/>
              <w:bottom w:w="90" w:type="dxa"/>
              <w:right w:w="75" w:type="dxa"/>
            </w:tcMar>
            <w:vAlign w:val="center"/>
          </w:tcPr>
          <w:p w14:paraId="4C97D13D">
            <w:pPr>
              <w:jc w:val="center"/>
              <w:rPr>
                <w:rFonts w:ascii="仿宋_GB2312" w:eastAsia="仿宋_GB2312"/>
              </w:rPr>
            </w:pPr>
            <w:r>
              <w:rPr>
                <w:rFonts w:hint="eastAsia" w:ascii="仿宋_GB2312" w:eastAsia="仿宋_GB2312"/>
              </w:rPr>
              <w:t>1</w:t>
            </w:r>
          </w:p>
        </w:tc>
        <w:tc>
          <w:tcPr>
            <w:tcW w:w="5412" w:type="dxa"/>
            <w:shd w:val="clear" w:color="auto" w:fill="FFFFFF"/>
            <w:tcMar>
              <w:top w:w="90" w:type="dxa"/>
              <w:left w:w="75" w:type="dxa"/>
              <w:bottom w:w="90" w:type="dxa"/>
              <w:right w:w="75" w:type="dxa"/>
            </w:tcMar>
            <w:vAlign w:val="center"/>
          </w:tcPr>
          <w:p w14:paraId="5D25B748">
            <w:pPr>
              <w:ind w:firstLine="420" w:firstLineChars="200"/>
              <w:rPr>
                <w:rFonts w:ascii="仿宋_GB2312" w:eastAsia="仿宋_GB2312"/>
              </w:rPr>
            </w:pPr>
            <w:r>
              <w:rPr>
                <w:rFonts w:hint="eastAsia" w:ascii="仿宋_GB2312" w:eastAsia="仿宋_GB2312"/>
              </w:rPr>
              <w:t>3.6.2 本所接受下列大宗交易申报：</w:t>
            </w:r>
          </w:p>
          <w:p w14:paraId="51F8A0AD">
            <w:pPr>
              <w:ind w:firstLine="420" w:firstLineChars="200"/>
              <w:rPr>
                <w:rFonts w:ascii="仿宋_GB2312" w:eastAsia="仿宋_GB2312"/>
              </w:rPr>
            </w:pPr>
            <w:r>
              <w:rPr>
                <w:rFonts w:hint="eastAsia" w:ascii="仿宋_GB2312" w:eastAsia="仿宋_GB2312"/>
              </w:rPr>
              <w:t>（一）意向申报；</w:t>
            </w:r>
          </w:p>
          <w:p w14:paraId="438F1AF2">
            <w:pPr>
              <w:ind w:firstLine="420" w:firstLineChars="200"/>
              <w:rPr>
                <w:rFonts w:ascii="仿宋_GB2312" w:eastAsia="仿宋_GB2312"/>
              </w:rPr>
            </w:pPr>
            <w:r>
              <w:rPr>
                <w:rFonts w:hint="eastAsia" w:ascii="仿宋_GB2312" w:eastAsia="仿宋_GB2312"/>
              </w:rPr>
              <w:t>（二）成交申报；</w:t>
            </w:r>
          </w:p>
          <w:p w14:paraId="62B8D6F4">
            <w:pPr>
              <w:ind w:firstLine="420" w:firstLineChars="200"/>
              <w:rPr>
                <w:rFonts w:ascii="仿宋_GB2312" w:eastAsia="仿宋_GB2312"/>
              </w:rPr>
            </w:pPr>
            <w:r>
              <w:rPr>
                <w:rFonts w:hint="eastAsia" w:ascii="仿宋_GB2312" w:eastAsia="仿宋_GB2312"/>
              </w:rPr>
              <w:t>（三）固定价格申报；</w:t>
            </w:r>
          </w:p>
          <w:p w14:paraId="46C6482F">
            <w:pPr>
              <w:ind w:firstLine="420" w:firstLineChars="200"/>
              <w:rPr>
                <w:rFonts w:ascii="仿宋_GB2312" w:eastAsia="仿宋_GB2312"/>
              </w:rPr>
            </w:pPr>
            <w:r>
              <w:rPr>
                <w:rFonts w:hint="eastAsia" w:ascii="仿宋_GB2312" w:eastAsia="仿宋_GB2312"/>
              </w:rPr>
              <w:t>（四）本所认可的其他大宗交易申报。</w:t>
            </w:r>
          </w:p>
        </w:tc>
        <w:tc>
          <w:tcPr>
            <w:tcW w:w="3811" w:type="dxa"/>
            <w:shd w:val="clear" w:color="auto" w:fill="FFFFFF"/>
            <w:tcMar>
              <w:top w:w="90" w:type="dxa"/>
              <w:left w:w="75" w:type="dxa"/>
              <w:bottom w:w="90" w:type="dxa"/>
              <w:right w:w="75" w:type="dxa"/>
            </w:tcMar>
            <w:vAlign w:val="center"/>
          </w:tcPr>
          <w:p w14:paraId="7EA294DD">
            <w:pPr>
              <w:rPr>
                <w:rFonts w:ascii="仿宋_GB2312" w:eastAsia="仿宋_GB2312"/>
              </w:rPr>
            </w:pPr>
            <w:r>
              <w:rPr>
                <w:rFonts w:hint="eastAsia" w:ascii="仿宋_GB2312" w:eastAsia="仿宋_GB2312"/>
              </w:rPr>
              <w:t>第（三）项中“以当日全天成交量加权平均价格进行申报”的实施时间另行通知。</w:t>
            </w:r>
          </w:p>
        </w:tc>
      </w:tr>
      <w:tr w14:paraId="571F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4" w:hRule="atLeast"/>
          <w:jc w:val="center"/>
        </w:trPr>
        <w:tc>
          <w:tcPr>
            <w:tcW w:w="0" w:type="auto"/>
            <w:shd w:val="clear" w:color="auto" w:fill="FFFFFF"/>
            <w:tcMar>
              <w:top w:w="90" w:type="dxa"/>
              <w:left w:w="75" w:type="dxa"/>
              <w:bottom w:w="90" w:type="dxa"/>
              <w:right w:w="75" w:type="dxa"/>
            </w:tcMar>
            <w:vAlign w:val="center"/>
          </w:tcPr>
          <w:p w14:paraId="7288CEE0">
            <w:pPr>
              <w:jc w:val="center"/>
              <w:rPr>
                <w:rFonts w:ascii="仿宋_GB2312" w:eastAsia="仿宋_GB2312"/>
              </w:rPr>
            </w:pPr>
            <w:r>
              <w:rPr>
                <w:rFonts w:hint="eastAsia" w:ascii="仿宋_GB2312" w:eastAsia="仿宋_GB2312"/>
              </w:rPr>
              <w:t>2</w:t>
            </w:r>
          </w:p>
        </w:tc>
        <w:tc>
          <w:tcPr>
            <w:tcW w:w="5412" w:type="dxa"/>
            <w:shd w:val="clear" w:color="auto" w:fill="FFFFFF"/>
            <w:tcMar>
              <w:top w:w="90" w:type="dxa"/>
              <w:left w:w="75" w:type="dxa"/>
              <w:bottom w:w="90" w:type="dxa"/>
              <w:right w:w="75" w:type="dxa"/>
            </w:tcMar>
            <w:vAlign w:val="center"/>
          </w:tcPr>
          <w:p w14:paraId="4F04016A">
            <w:pPr>
              <w:ind w:firstLine="420" w:firstLineChars="200"/>
              <w:rPr>
                <w:rFonts w:ascii="仿宋_GB2312" w:eastAsia="仿宋_GB2312"/>
              </w:rPr>
            </w:pPr>
            <w:r>
              <w:rPr>
                <w:rFonts w:hint="eastAsia" w:ascii="仿宋_GB2312" w:eastAsia="仿宋_GB2312"/>
              </w:rPr>
              <w:t>3.6.3 本所每个交易日接受大宗交易申报的时间分别为：</w:t>
            </w:r>
          </w:p>
          <w:p w14:paraId="011ABF53">
            <w:pPr>
              <w:ind w:firstLine="420" w:firstLineChars="200"/>
              <w:rPr>
                <w:rFonts w:ascii="仿宋_GB2312" w:eastAsia="仿宋_GB2312"/>
              </w:rPr>
            </w:pPr>
            <w:r>
              <w:rPr>
                <w:rFonts w:hint="eastAsia" w:ascii="仿宋_GB2312" w:eastAsia="仿宋_GB2312"/>
              </w:rPr>
              <w:t>（一）9:30至11:30、13:00至15:30接受意向申报；</w:t>
            </w:r>
          </w:p>
          <w:p w14:paraId="03ABE3BD">
            <w:pPr>
              <w:ind w:firstLine="420" w:firstLineChars="200"/>
              <w:rPr>
                <w:rFonts w:ascii="仿宋_GB2312" w:eastAsia="仿宋_GB2312"/>
              </w:rPr>
            </w:pPr>
            <w:r>
              <w:rPr>
                <w:rFonts w:hint="eastAsia" w:ascii="仿宋_GB2312" w:eastAsia="仿宋_GB2312"/>
              </w:rPr>
              <w:t>（二）9:30至11:30、13:00至15:30、16:00至17:00接受成交申报；</w:t>
            </w:r>
          </w:p>
          <w:p w14:paraId="3CA67232">
            <w:pPr>
              <w:ind w:firstLine="420" w:firstLineChars="200"/>
              <w:rPr>
                <w:rFonts w:ascii="仿宋_GB2312" w:eastAsia="仿宋_GB2312"/>
              </w:rPr>
            </w:pPr>
            <w:r>
              <w:rPr>
                <w:rFonts w:hint="eastAsia" w:ascii="仿宋_GB2312" w:eastAsia="仿宋_GB2312"/>
              </w:rPr>
              <w:t>（三）15:00至15:30接受固定价格申报。</w:t>
            </w:r>
          </w:p>
          <w:p w14:paraId="2E388416">
            <w:pPr>
              <w:ind w:firstLine="420" w:firstLineChars="200"/>
              <w:rPr>
                <w:rFonts w:ascii="仿宋_GB2312" w:eastAsia="仿宋_GB2312"/>
              </w:rPr>
            </w:pPr>
            <w:r>
              <w:rPr>
                <w:rFonts w:hint="eastAsia" w:ascii="仿宋_GB2312" w:eastAsia="仿宋_GB2312"/>
              </w:rPr>
              <w:t>交易日的15:00仍处于停牌状态的证券，本所当日不再接受其大宗交易的申报。</w:t>
            </w:r>
          </w:p>
          <w:p w14:paraId="282D26DD">
            <w:pPr>
              <w:ind w:firstLine="420" w:firstLineChars="200"/>
              <w:rPr>
                <w:rFonts w:ascii="仿宋_GB2312" w:eastAsia="仿宋_GB2312"/>
              </w:rPr>
            </w:pPr>
            <w:r>
              <w:rPr>
                <w:rFonts w:hint="eastAsia" w:ascii="仿宋_GB2312" w:eastAsia="仿宋_GB2312"/>
              </w:rPr>
              <w:t>大宗交易的成交申报确认时间为每个交易日15:00至15:30。</w:t>
            </w:r>
          </w:p>
        </w:tc>
        <w:tc>
          <w:tcPr>
            <w:tcW w:w="3811" w:type="dxa"/>
            <w:shd w:val="clear" w:color="auto" w:fill="FFFFFF"/>
            <w:tcMar>
              <w:top w:w="90" w:type="dxa"/>
              <w:left w:w="75" w:type="dxa"/>
              <w:bottom w:w="90" w:type="dxa"/>
              <w:right w:w="75" w:type="dxa"/>
            </w:tcMar>
            <w:vAlign w:val="center"/>
          </w:tcPr>
          <w:p w14:paraId="0F62EA2B">
            <w:pPr>
              <w:rPr>
                <w:rFonts w:ascii="仿宋_GB2312" w:eastAsia="仿宋_GB2312"/>
              </w:rPr>
            </w:pPr>
            <w:r>
              <w:rPr>
                <w:rFonts w:hint="eastAsia" w:ascii="仿宋_GB2312" w:eastAsia="仿宋_GB2312"/>
              </w:rPr>
              <w:t xml:space="preserve">第（二）项中“16:00至17:00接受成交申报”的实施时间另行通知。 </w:t>
            </w:r>
          </w:p>
          <w:p w14:paraId="7386718C">
            <w:pPr>
              <w:rPr>
                <w:rFonts w:ascii="仿宋_GB2312" w:eastAsia="仿宋_GB2312"/>
              </w:rPr>
            </w:pPr>
            <w:r>
              <w:rPr>
                <w:rFonts w:hint="eastAsia" w:ascii="仿宋_GB2312" w:eastAsia="仿宋_GB2312"/>
              </w:rPr>
              <w:t>第（三）项中“以当日全天成交量加权平均价格进行申报”的实施时间另行通知。</w:t>
            </w:r>
          </w:p>
        </w:tc>
      </w:tr>
      <w:tr w14:paraId="3868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4" w:hRule="atLeast"/>
          <w:jc w:val="center"/>
        </w:trPr>
        <w:tc>
          <w:tcPr>
            <w:tcW w:w="0" w:type="auto"/>
            <w:shd w:val="clear" w:color="auto" w:fill="FFFFFF"/>
            <w:tcMar>
              <w:top w:w="90" w:type="dxa"/>
              <w:left w:w="75" w:type="dxa"/>
              <w:bottom w:w="90" w:type="dxa"/>
              <w:right w:w="75" w:type="dxa"/>
            </w:tcMar>
            <w:vAlign w:val="center"/>
          </w:tcPr>
          <w:p w14:paraId="20B6AED4">
            <w:pPr>
              <w:jc w:val="center"/>
              <w:rPr>
                <w:rFonts w:ascii="仿宋_GB2312" w:eastAsia="仿宋_GB2312"/>
              </w:rPr>
            </w:pPr>
            <w:r>
              <w:rPr>
                <w:rFonts w:hint="eastAsia" w:ascii="仿宋_GB2312" w:eastAsia="仿宋_GB2312"/>
              </w:rPr>
              <w:t>3</w:t>
            </w:r>
          </w:p>
        </w:tc>
        <w:tc>
          <w:tcPr>
            <w:tcW w:w="5412" w:type="dxa"/>
            <w:shd w:val="clear" w:color="auto" w:fill="FFFFFF"/>
            <w:tcMar>
              <w:top w:w="90" w:type="dxa"/>
              <w:left w:w="75" w:type="dxa"/>
              <w:bottom w:w="90" w:type="dxa"/>
              <w:right w:w="75" w:type="dxa"/>
            </w:tcMar>
            <w:vAlign w:val="center"/>
          </w:tcPr>
          <w:p w14:paraId="15C85275">
            <w:pPr>
              <w:ind w:firstLine="420"/>
              <w:rPr>
                <w:rFonts w:ascii="仿宋_GB2312" w:eastAsia="仿宋_GB2312"/>
              </w:rPr>
            </w:pPr>
            <w:r>
              <w:rPr>
                <w:rFonts w:hint="eastAsia" w:ascii="仿宋_GB2312" w:eastAsia="仿宋_GB2312"/>
              </w:rPr>
              <w:t>3.6.4 每个交易日9:30至15:30时段确认的成交，于当日进行清算交收。</w:t>
            </w:r>
          </w:p>
          <w:p w14:paraId="5B224070">
            <w:pPr>
              <w:ind w:firstLine="420"/>
              <w:rPr>
                <w:rFonts w:ascii="仿宋_GB2312" w:eastAsia="仿宋_GB2312"/>
              </w:rPr>
            </w:pPr>
            <w:r>
              <w:rPr>
                <w:rFonts w:hint="eastAsia" w:ascii="仿宋_GB2312" w:eastAsia="仿宋_GB2312"/>
              </w:rPr>
              <w:t>每个交易日16:00至17:00时段确认的成交，于次一交易日进行清算交收。</w:t>
            </w:r>
          </w:p>
        </w:tc>
        <w:tc>
          <w:tcPr>
            <w:tcW w:w="3811" w:type="dxa"/>
            <w:shd w:val="clear" w:color="auto" w:fill="FFFFFF"/>
            <w:tcMar>
              <w:top w:w="90" w:type="dxa"/>
              <w:left w:w="75" w:type="dxa"/>
              <w:bottom w:w="90" w:type="dxa"/>
              <w:right w:w="75" w:type="dxa"/>
            </w:tcMar>
            <w:vAlign w:val="center"/>
          </w:tcPr>
          <w:p w14:paraId="155E6AA9">
            <w:pPr>
              <w:rPr>
                <w:rFonts w:ascii="仿宋_GB2312" w:eastAsia="仿宋_GB2312"/>
              </w:rPr>
            </w:pPr>
            <w:r>
              <w:rPr>
                <w:rFonts w:hint="eastAsia" w:ascii="仿宋_GB2312" w:eastAsia="仿宋_GB2312"/>
              </w:rPr>
              <w:t>第二款的实施时间另行通知。</w:t>
            </w:r>
          </w:p>
        </w:tc>
      </w:tr>
      <w:tr w14:paraId="2A53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4" w:hRule="atLeast"/>
          <w:jc w:val="center"/>
        </w:trPr>
        <w:tc>
          <w:tcPr>
            <w:tcW w:w="0" w:type="auto"/>
            <w:shd w:val="clear" w:color="auto" w:fill="FFFFFF"/>
            <w:tcMar>
              <w:top w:w="90" w:type="dxa"/>
              <w:left w:w="75" w:type="dxa"/>
              <w:bottom w:w="90" w:type="dxa"/>
              <w:right w:w="75" w:type="dxa"/>
            </w:tcMar>
            <w:vAlign w:val="center"/>
          </w:tcPr>
          <w:p w14:paraId="0067B3F9">
            <w:pPr>
              <w:jc w:val="center"/>
              <w:rPr>
                <w:rFonts w:ascii="仿宋_GB2312" w:eastAsia="仿宋_GB2312"/>
              </w:rPr>
            </w:pPr>
            <w:r>
              <w:rPr>
                <w:rFonts w:hint="eastAsia" w:ascii="仿宋_GB2312" w:eastAsia="仿宋_GB2312"/>
              </w:rPr>
              <w:t>4</w:t>
            </w:r>
          </w:p>
        </w:tc>
        <w:tc>
          <w:tcPr>
            <w:tcW w:w="5412" w:type="dxa"/>
            <w:shd w:val="clear" w:color="auto" w:fill="FFFFFF"/>
            <w:tcMar>
              <w:top w:w="90" w:type="dxa"/>
              <w:left w:w="75" w:type="dxa"/>
              <w:bottom w:w="90" w:type="dxa"/>
              <w:right w:w="75" w:type="dxa"/>
            </w:tcMar>
            <w:vAlign w:val="center"/>
          </w:tcPr>
          <w:p w14:paraId="6C5947E1">
            <w:pPr>
              <w:ind w:firstLine="420"/>
              <w:rPr>
                <w:rFonts w:ascii="仿宋_GB2312" w:eastAsia="仿宋_GB2312"/>
              </w:rPr>
            </w:pPr>
            <w:r>
              <w:rPr>
                <w:rFonts w:hint="eastAsia" w:ascii="仿宋_GB2312" w:eastAsia="仿宋_GB2312"/>
              </w:rPr>
              <w:t>3.6.9 提出固定价格申报的，买卖双方可按当日竞价交易市场收盘价格或者当日全天成交量加权平均价格进行申报。</w:t>
            </w:r>
          </w:p>
          <w:p w14:paraId="265D98D9">
            <w:pPr>
              <w:ind w:firstLine="420"/>
              <w:rPr>
                <w:rFonts w:ascii="仿宋_GB2312" w:eastAsia="仿宋_GB2312"/>
              </w:rPr>
            </w:pPr>
            <w:r>
              <w:rPr>
                <w:rFonts w:hint="eastAsia" w:ascii="仿宋_GB2312" w:eastAsia="仿宋_GB2312"/>
              </w:rPr>
              <w:t>固定价格申报指令应当包括证券账号、证券代码、买卖方向、交易类型、交易数量等。</w:t>
            </w:r>
          </w:p>
          <w:p w14:paraId="386556E9">
            <w:pPr>
              <w:ind w:firstLine="420"/>
              <w:rPr>
                <w:rFonts w:ascii="仿宋_GB2312" w:eastAsia="仿宋_GB2312"/>
              </w:rPr>
            </w:pPr>
            <w:r>
              <w:rPr>
                <w:rFonts w:hint="eastAsia" w:ascii="仿宋_GB2312" w:eastAsia="仿宋_GB2312"/>
              </w:rPr>
              <w:t>在接受固定价格申报期间内，固定价格申报可以撤销；申报时间结束后，本所根据时间优先的原则对固定价格申报进行匹配成交。未成交部分自动撤销。</w:t>
            </w:r>
          </w:p>
        </w:tc>
        <w:tc>
          <w:tcPr>
            <w:tcW w:w="3811" w:type="dxa"/>
            <w:shd w:val="clear" w:color="auto" w:fill="FFFFFF"/>
            <w:tcMar>
              <w:top w:w="90" w:type="dxa"/>
              <w:left w:w="75" w:type="dxa"/>
              <w:bottom w:w="90" w:type="dxa"/>
              <w:right w:w="75" w:type="dxa"/>
            </w:tcMar>
            <w:vAlign w:val="center"/>
          </w:tcPr>
          <w:p w14:paraId="19B22875">
            <w:pPr>
              <w:rPr>
                <w:rFonts w:ascii="仿宋_GB2312" w:eastAsia="仿宋_GB2312"/>
              </w:rPr>
            </w:pPr>
            <w:r>
              <w:rPr>
                <w:rFonts w:hint="eastAsia" w:ascii="仿宋_GB2312" w:eastAsia="仿宋_GB2312"/>
              </w:rPr>
              <w:t>第一款中“以当日全天成交量加权平均价格进行申报”的实施时间另行通知。</w:t>
            </w:r>
          </w:p>
        </w:tc>
      </w:tr>
      <w:tr w14:paraId="7173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4" w:hRule="atLeast"/>
          <w:jc w:val="center"/>
        </w:trPr>
        <w:tc>
          <w:tcPr>
            <w:tcW w:w="0" w:type="auto"/>
            <w:shd w:val="clear" w:color="auto" w:fill="FFFFFF"/>
            <w:tcMar>
              <w:top w:w="90" w:type="dxa"/>
              <w:left w:w="75" w:type="dxa"/>
              <w:bottom w:w="90" w:type="dxa"/>
              <w:right w:w="75" w:type="dxa"/>
            </w:tcMar>
            <w:vAlign w:val="center"/>
          </w:tcPr>
          <w:p w14:paraId="12B853DE">
            <w:pPr>
              <w:jc w:val="center"/>
              <w:rPr>
                <w:rFonts w:ascii="仿宋_GB2312" w:eastAsia="仿宋_GB2312"/>
              </w:rPr>
            </w:pPr>
            <w:r>
              <w:rPr>
                <w:rFonts w:hint="eastAsia" w:ascii="仿宋_GB2312" w:eastAsia="仿宋_GB2312"/>
              </w:rPr>
              <w:t>5</w:t>
            </w:r>
          </w:p>
        </w:tc>
        <w:tc>
          <w:tcPr>
            <w:tcW w:w="5412" w:type="dxa"/>
            <w:shd w:val="clear" w:color="auto" w:fill="FFFFFF"/>
            <w:tcMar>
              <w:top w:w="90" w:type="dxa"/>
              <w:left w:w="75" w:type="dxa"/>
              <w:bottom w:w="90" w:type="dxa"/>
              <w:right w:w="75" w:type="dxa"/>
            </w:tcMar>
            <w:vAlign w:val="center"/>
          </w:tcPr>
          <w:p w14:paraId="1DB42EEA">
            <w:pPr>
              <w:ind w:firstLine="420" w:firstLineChars="200"/>
              <w:rPr>
                <w:rFonts w:ascii="仿宋_GB2312" w:eastAsia="仿宋_GB2312"/>
              </w:rPr>
            </w:pPr>
            <w:r>
              <w:rPr>
                <w:rFonts w:hint="eastAsia" w:ascii="仿宋_GB2312" w:eastAsia="仿宋_GB2312"/>
              </w:rPr>
              <w:t>3.6.10有价格涨跌幅限制证券的成交申报价格，由买方和卖方在当日价格涨跌幅限制范围内确定。</w:t>
            </w:r>
          </w:p>
          <w:p w14:paraId="5F89438D">
            <w:pPr>
              <w:ind w:firstLine="420" w:firstLineChars="200"/>
              <w:rPr>
                <w:rFonts w:ascii="仿宋_GB2312" w:eastAsia="仿宋_GB2312"/>
              </w:rPr>
            </w:pPr>
            <w:r>
              <w:rPr>
                <w:rFonts w:hint="eastAsia" w:ascii="仿宋_GB2312" w:eastAsia="仿宋_GB2312"/>
              </w:rPr>
              <w:t>无价格涨跌幅限制证券的成交申报价格，不得高于该证券当日竞价交易实时成交均价的120%和已成交最高价的孰低值，且不得低于该证券当日竞价交易实时成交均价的80%和已成交最低价的孰高值。</w:t>
            </w:r>
          </w:p>
          <w:p w14:paraId="2533F826">
            <w:pPr>
              <w:ind w:firstLine="420" w:firstLineChars="200"/>
              <w:rPr>
                <w:rFonts w:ascii="仿宋_GB2312" w:eastAsia="仿宋_GB2312"/>
              </w:rPr>
            </w:pPr>
            <w:r>
              <w:rPr>
                <w:rFonts w:hint="eastAsia" w:ascii="仿宋_GB2312" w:eastAsia="仿宋_GB2312"/>
              </w:rPr>
              <w:t>均价的计算公式为：均价=已成交金额/已成交股数。</w:t>
            </w:r>
          </w:p>
          <w:p w14:paraId="2DC82CAF">
            <w:pPr>
              <w:ind w:firstLine="420" w:firstLineChars="200"/>
              <w:rPr>
                <w:rFonts w:ascii="仿宋_GB2312" w:eastAsia="仿宋_GB2312"/>
              </w:rPr>
            </w:pPr>
            <w:r>
              <w:rPr>
                <w:rFonts w:hint="eastAsia" w:ascii="仿宋_GB2312" w:eastAsia="仿宋_GB2312"/>
              </w:rPr>
              <w:t>计算结果按照四舍五入的原则取至申报价格最小变动单位。</w:t>
            </w:r>
          </w:p>
          <w:p w14:paraId="01463D6B">
            <w:pPr>
              <w:ind w:firstLine="420" w:firstLineChars="200"/>
              <w:rPr>
                <w:rFonts w:ascii="仿宋_GB2312" w:eastAsia="仿宋_GB2312"/>
              </w:rPr>
            </w:pPr>
            <w:r>
              <w:rPr>
                <w:rFonts w:hint="eastAsia" w:ascii="仿宋_GB2312" w:eastAsia="仿宋_GB2312"/>
              </w:rPr>
              <w:t>每个交易日16:00至17:00接受的申报，适用于当日其他交易时段接受的涨跌幅限制价格。</w:t>
            </w:r>
          </w:p>
        </w:tc>
        <w:tc>
          <w:tcPr>
            <w:tcW w:w="3811" w:type="dxa"/>
            <w:shd w:val="clear" w:color="auto" w:fill="FFFFFF"/>
            <w:tcMar>
              <w:top w:w="90" w:type="dxa"/>
              <w:left w:w="75" w:type="dxa"/>
              <w:bottom w:w="90" w:type="dxa"/>
              <w:right w:w="75" w:type="dxa"/>
            </w:tcMar>
            <w:vAlign w:val="center"/>
          </w:tcPr>
          <w:p w14:paraId="033C82D5">
            <w:pPr>
              <w:rPr>
                <w:rFonts w:ascii="仿宋_GB2312" w:eastAsia="仿宋_GB2312"/>
              </w:rPr>
            </w:pPr>
            <w:r>
              <w:rPr>
                <w:rFonts w:hint="eastAsia" w:ascii="仿宋_GB2312" w:eastAsia="仿宋_GB2312"/>
              </w:rPr>
              <w:t>第五款的实施时间另行通知。</w:t>
            </w:r>
          </w:p>
        </w:tc>
      </w:tr>
    </w:tbl>
    <w:p w14:paraId="207FED2A">
      <w:pPr>
        <w:ind w:firstLine="420" w:firstLineChars="200"/>
      </w:pPr>
    </w:p>
    <w:p w14:paraId="4EBB3B67">
      <w:pPr>
        <w:spacing w:line="560" w:lineRule="exact"/>
        <w:rPr>
          <w:rFonts w:ascii="仿宋_GB2312" w:eastAsia="仿宋_GB2312"/>
          <w:bCs/>
          <w:color w:val="000000"/>
          <w:sz w:val="28"/>
          <w:szCs w:val="28"/>
        </w:rPr>
      </w:pPr>
    </w:p>
    <w:p w14:paraId="10152A5F"/>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 w:name="仿宋_GB2312">
    <w:panose1 w:val="02000500000000000000"/>
    <w:charset w:val="86"/>
    <w:family w:val="modern"/>
    <w:pitch w:val="default"/>
    <w:sig w:usb0="A00002BF" w:usb1="5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55867719"/>
      <w:docPartObj>
        <w:docPartGallery w:val="autotext"/>
      </w:docPartObj>
    </w:sdtPr>
    <w:sdtEndPr>
      <w:rPr>
        <w:rFonts w:ascii="Times New Roman" w:hAnsi="Times New Roman" w:cs="Times New Roman"/>
        <w:sz w:val="24"/>
        <w:szCs w:val="24"/>
      </w:rPr>
    </w:sdtEndPr>
    <w:sdtContent>
      <w:p w14:paraId="07A15C45">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8382B">
    <w:pPr>
      <w:pStyle w:val="4"/>
      <w:framePr w:wrap="around" w:vAnchor="text" w:hAnchor="margin" w:xAlign="center" w:y="1"/>
      <w:rPr>
        <w:rStyle w:val="10"/>
      </w:rPr>
    </w:pPr>
  </w:p>
  <w:p w14:paraId="35A9C5DF">
    <w:pPr>
      <w:pStyle w:val="4"/>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32</w:t>
    </w:r>
    <w:r>
      <w:rPr>
        <w:sz w:val="28"/>
      </w:rPr>
      <w:fldChar w:fldCharType="end"/>
    </w:r>
    <w:r>
      <w:rPr>
        <w:rFonts w:hint="eastAsia" w:ascii="仿宋_GB2312" w:eastAsia="仿宋_GB2312"/>
        <w:bCs/>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58511">
    <w:pPr>
      <w:pStyle w:val="5"/>
      <w:pBdr>
        <w:bottom w:val="none" w:color="000000"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678E9"/>
    <w:rsid w:val="000530E0"/>
    <w:rsid w:val="00182979"/>
    <w:rsid w:val="00186494"/>
    <w:rsid w:val="00217A03"/>
    <w:rsid w:val="00235D1C"/>
    <w:rsid w:val="00247ED6"/>
    <w:rsid w:val="002521F0"/>
    <w:rsid w:val="002F6D94"/>
    <w:rsid w:val="00315AD2"/>
    <w:rsid w:val="00370E22"/>
    <w:rsid w:val="003730D0"/>
    <w:rsid w:val="0038264E"/>
    <w:rsid w:val="00386786"/>
    <w:rsid w:val="003969B6"/>
    <w:rsid w:val="003C7C19"/>
    <w:rsid w:val="003E401B"/>
    <w:rsid w:val="003E7E75"/>
    <w:rsid w:val="00660818"/>
    <w:rsid w:val="006E520D"/>
    <w:rsid w:val="00727C20"/>
    <w:rsid w:val="007B3CE9"/>
    <w:rsid w:val="00820086"/>
    <w:rsid w:val="00856F22"/>
    <w:rsid w:val="0086200B"/>
    <w:rsid w:val="009C3C1A"/>
    <w:rsid w:val="00A25657"/>
    <w:rsid w:val="00AE524D"/>
    <w:rsid w:val="00C2613F"/>
    <w:rsid w:val="00C46962"/>
    <w:rsid w:val="00CE0F6C"/>
    <w:rsid w:val="00D21F65"/>
    <w:rsid w:val="00D678E9"/>
    <w:rsid w:val="00E63260"/>
    <w:rsid w:val="00EA18DD"/>
    <w:rsid w:val="00FF7EF8"/>
    <w:rsid w:val="16CF0B3B"/>
    <w:rsid w:val="36ED3A10"/>
    <w:rsid w:val="42EE321D"/>
    <w:rsid w:val="55765325"/>
    <w:rsid w:val="6F4C6056"/>
    <w:rsid w:val="7FFF7B38"/>
    <w:rsid w:val="9BFF421B"/>
    <w:rsid w:val="A7FBA3AF"/>
    <w:rsid w:val="BBFBF42C"/>
    <w:rsid w:val="BEDE0C35"/>
    <w:rsid w:val="CF7FBCE2"/>
    <w:rsid w:val="FFD9A2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page number"/>
    <w:basedOn w:val="9"/>
    <w:qFormat/>
    <w:uiPriority w:val="0"/>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kern w:val="2"/>
      <w:sz w:val="18"/>
      <w:szCs w:val="18"/>
    </w:rPr>
  </w:style>
  <w:style w:type="character" w:customStyle="1" w:styleId="15">
    <w:name w:val="批注文字 Char"/>
    <w:basedOn w:val="9"/>
    <w:link w:val="2"/>
    <w:semiHidden/>
    <w:qFormat/>
    <w:uiPriority w:val="99"/>
    <w:rPr>
      <w:kern w:val="2"/>
      <w:sz w:val="21"/>
    </w:rPr>
  </w:style>
  <w:style w:type="character" w:customStyle="1" w:styleId="16">
    <w:name w:val="批注主题 Char"/>
    <w:basedOn w:val="15"/>
    <w:link w:val="7"/>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183</Words>
  <Characters>1044</Characters>
  <Lines>8</Lines>
  <Paragraphs>2</Paragraphs>
  <TotalTime>11</TotalTime>
  <ScaleCrop>false</ScaleCrop>
  <LinksUpToDate>false</LinksUpToDate>
  <CharactersWithSpaces>1225</CharactersWithSpaces>
  <Application>WPS Office WWO_wpscloud_20260116152007-ff62b28dcd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2020-03-16T09:26:00Z</dcterms:created>
  <dc:creator>slxie</dc:creator>
  <cp:lastModifiedBy>slxie</cp:lastModifiedBy>
  <dcterms:modified xsi:type="dcterms:W3CDTF">2026-04-24T10:29:24Z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2052-12.9.0.23704</vt:lpwstr>
  </property>
  <property fmtid="{D5CDD505-2E9C-101B-9397-08002B2CF9AE}" pid="3" name="ICV">
    <vt:lpwstr>C05DFC6164C0681784D5EA699B0625BE_43</vt:lpwstr>
  </property>
</Properties>
</file>