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b/>
          <w:bCs/>
          <w:sz w:val="36"/>
          <w:szCs w:val="36"/>
        </w:rPr>
      </w:pPr>
      <w:bookmarkStart w:id="0" w:name="_Toc408933484"/>
      <w:r>
        <w:rPr>
          <w:rFonts w:hint="eastAsia" w:ascii="黑体" w:hAnsi="黑体" w:eastAsia="黑体"/>
          <w:b/>
          <w:bCs/>
          <w:sz w:val="36"/>
          <w:szCs w:val="36"/>
        </w:rPr>
        <w:t>第五十二号</w:t>
      </w:r>
      <w:bookmarkEnd w:id="0"/>
      <w:r>
        <w:rPr>
          <w:rFonts w:ascii="黑体" w:hAnsi="黑体" w:eastAsia="黑体"/>
          <w:b/>
          <w:bCs/>
          <w:sz w:val="36"/>
          <w:szCs w:val="36"/>
        </w:rPr>
        <w:t xml:space="preserve"> </w:t>
      </w:r>
      <w:r>
        <w:rPr>
          <w:rFonts w:hint="eastAsia" w:ascii="黑体" w:hAnsi="黑体" w:eastAsia="黑体"/>
          <w:b/>
          <w:bCs/>
          <w:sz w:val="36"/>
          <w:szCs w:val="36"/>
        </w:rPr>
        <w:t xml:space="preserve"> 上市公司季度报告</w:t>
      </w:r>
    </w:p>
    <w:p>
      <w:pPr>
        <w:spacing w:line="560" w:lineRule="exact"/>
        <w:jc w:val="center"/>
        <w:rPr>
          <w:rFonts w:ascii="楷体" w:hAnsi="楷体" w:eastAsia="楷体"/>
          <w:sz w:val="28"/>
          <w:szCs w:val="28"/>
        </w:rPr>
      </w:pPr>
      <w:r>
        <w:rPr>
          <w:rFonts w:hint="eastAsia" w:ascii="楷体" w:hAnsi="楷体" w:eastAsia="楷体"/>
          <w:sz w:val="28"/>
          <w:szCs w:val="28"/>
        </w:rPr>
        <w:t>（*本公告应当使用本所公告编制软件编制）</w:t>
      </w:r>
    </w:p>
    <w:p>
      <w:pPr>
        <w:widowControl/>
        <w:spacing w:line="560" w:lineRule="exact"/>
        <w:jc w:val="left"/>
        <w:rPr>
          <w:rFonts w:ascii="宋体" w:hAnsi="宋体" w:cs="宋体"/>
          <w:color w:val="000000"/>
          <w:kern w:val="0"/>
          <w:sz w:val="24"/>
          <w:szCs w:val="24"/>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widowControl/>
        <w:spacing w:line="560" w:lineRule="exact"/>
        <w:jc w:val="left"/>
        <w:rPr>
          <w:rFonts w:ascii="仿宋_GB2312" w:hAnsi="宋体" w:eastAsia="仿宋_GB2312"/>
          <w:sz w:val="30"/>
          <w:szCs w:val="30"/>
        </w:rPr>
      </w:pPr>
    </w:p>
    <w:p>
      <w:pPr>
        <w:widowControl/>
        <w:spacing w:line="560" w:lineRule="exact"/>
        <w:jc w:val="center"/>
        <w:rPr>
          <w:rFonts w:ascii="仿宋_GB2312" w:hAnsi="宋体" w:eastAsia="仿宋_GB2312"/>
          <w:sz w:val="30"/>
          <w:szCs w:val="30"/>
        </w:rPr>
      </w:pPr>
      <w:r>
        <w:rPr>
          <w:rFonts w:ascii="仿宋_GB2312" w:hAnsi="宋体" w:eastAsia="仿宋_GB2312"/>
          <w:sz w:val="30"/>
          <w:szCs w:val="30"/>
        </w:rPr>
        <w:t>XXXX</w:t>
      </w:r>
      <w:r>
        <w:rPr>
          <w:rFonts w:hint="eastAsia" w:ascii="仿宋_GB2312" w:hAnsi="宋体" w:eastAsia="仿宋_GB2312"/>
          <w:sz w:val="30"/>
          <w:szCs w:val="30"/>
        </w:rPr>
        <w:t>股份有限公司</w:t>
      </w:r>
      <w:r>
        <w:rPr>
          <w:rFonts w:ascii="仿宋_GB2312" w:hAnsi="宋体" w:eastAsia="仿宋_GB2312"/>
          <w:sz w:val="30"/>
          <w:szCs w:val="30"/>
        </w:rPr>
        <w:t>XXXX</w:t>
      </w:r>
      <w:r>
        <w:rPr>
          <w:rFonts w:hint="eastAsia" w:ascii="仿宋_GB2312" w:hAnsi="宋体" w:eastAsia="仿宋_GB2312"/>
          <w:sz w:val="30"/>
          <w:szCs w:val="30"/>
        </w:rPr>
        <w:t>年第</w:t>
      </w:r>
      <w:r>
        <w:rPr>
          <w:rFonts w:ascii="仿宋_GB2312" w:hAnsi="宋体" w:eastAsia="仿宋_GB2312"/>
          <w:sz w:val="30"/>
          <w:szCs w:val="30"/>
        </w:rPr>
        <w:t>X</w:t>
      </w:r>
      <w:r>
        <w:rPr>
          <w:rFonts w:hint="eastAsia" w:ascii="仿宋_GB2312" w:hAnsi="宋体" w:eastAsia="仿宋_GB2312"/>
          <w:sz w:val="30"/>
          <w:szCs w:val="30"/>
        </w:rPr>
        <w:t>季度报告</w:t>
      </w:r>
    </w:p>
    <w:p>
      <w:pPr>
        <w:adjustRightInd w:val="0"/>
        <w:snapToGrid w:val="0"/>
        <w:spacing w:line="560" w:lineRule="exact"/>
        <w:jc w:val="center"/>
        <w:rPr>
          <w:rFonts w:ascii="仿宋_GB2312" w:hAnsi="宋体" w:eastAsia="仿宋_GB2312"/>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如有董事对公告内容的真实性、准确性和完整性无法保证或存在异议的，公司应当在公告中作特别提示。</w:t>
      </w:r>
    </w:p>
    <w:p>
      <w:pPr>
        <w:adjustRightInd w:val="0"/>
        <w:snapToGrid w:val="0"/>
        <w:spacing w:line="560" w:lineRule="exact"/>
        <w:ind w:firstLine="600" w:firstLineChars="200"/>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ascii="仿宋_GB2312" w:hAnsi="宋体" w:eastAsia="仿宋_GB2312"/>
          <w:sz w:val="30"/>
          <w:szCs w:val="30"/>
        </w:rPr>
        <w:t>公司</w:t>
      </w:r>
      <w:r>
        <w:rPr>
          <w:rFonts w:hint="eastAsia" w:ascii="仿宋_GB2312" w:hAnsi="宋体" w:eastAsia="仿宋_GB2312"/>
          <w:sz w:val="30"/>
          <w:szCs w:val="30"/>
        </w:rPr>
        <w:t>董事会及</w:t>
      </w:r>
      <w:r>
        <w:rPr>
          <w:rFonts w:ascii="仿宋_GB2312" w:hAnsi="宋体" w:eastAsia="仿宋_GB2312"/>
          <w:sz w:val="30"/>
          <w:szCs w:val="30"/>
        </w:rPr>
        <w:t>董事、高级管理人员</w:t>
      </w:r>
      <w:r>
        <w:rPr>
          <w:rFonts w:hint="eastAsia" w:ascii="仿宋_GB2312" w:hAnsi="宋体" w:eastAsia="仿宋_GB2312"/>
          <w:sz w:val="30"/>
          <w:szCs w:val="30"/>
        </w:rPr>
        <w:t>(或除</w:t>
      </w:r>
      <w:r>
        <w:rPr>
          <w:rFonts w:ascii="仿宋_GB2312" w:hAnsi="宋体" w:eastAsia="仿宋_GB2312"/>
          <w:sz w:val="30"/>
          <w:szCs w:val="30"/>
        </w:rPr>
        <w:t>XX</w:t>
      </w:r>
      <w:r>
        <w:rPr>
          <w:rFonts w:hint="eastAsia" w:ascii="仿宋_GB2312" w:hAnsi="宋体" w:eastAsia="仿宋_GB2312"/>
          <w:sz w:val="30"/>
          <w:szCs w:val="30"/>
        </w:rPr>
        <w:t>外的董事、高级管理人员)</w:t>
      </w:r>
      <w:r>
        <w:rPr>
          <w:rFonts w:ascii="仿宋_GB2312" w:hAnsi="宋体" w:eastAsia="仿宋_GB2312"/>
          <w:sz w:val="30"/>
          <w:szCs w:val="30"/>
        </w:rPr>
        <w:t>保证</w:t>
      </w:r>
      <w:r>
        <w:rPr>
          <w:rFonts w:hint="eastAsia" w:ascii="仿宋_GB2312" w:hAnsi="宋体" w:eastAsia="仿宋_GB2312"/>
          <w:sz w:val="30"/>
          <w:szCs w:val="30"/>
        </w:rPr>
        <w:t>季度</w:t>
      </w:r>
      <w:r>
        <w:rPr>
          <w:rFonts w:ascii="仿宋_GB2312" w:hAnsi="宋体" w:eastAsia="仿宋_GB2312"/>
          <w:sz w:val="30"/>
          <w:szCs w:val="30"/>
        </w:rPr>
        <w:t>报告内容的真实、准确、完整，不存在虚假记载、误导性陈述或重大遗漏，并承担个别和连带的法律责任。</w:t>
      </w:r>
      <w:r>
        <w:rPr>
          <w:rFonts w:hint="eastAsia" w:ascii="仿宋_GB2312" w:hAnsi="宋体" w:eastAsia="仿宋_GB2312"/>
          <w:sz w:val="30"/>
          <w:szCs w:val="30"/>
        </w:rPr>
        <w:t>董事</w:t>
      </w:r>
      <w:r>
        <w:rPr>
          <w:rFonts w:ascii="仿宋_GB2312" w:hAnsi="宋体" w:eastAsia="仿宋_GB2312"/>
          <w:sz w:val="30"/>
          <w:szCs w:val="30"/>
        </w:rPr>
        <w:t>/高级管理人员XX</w:t>
      </w:r>
      <w:r>
        <w:rPr>
          <w:rFonts w:hint="eastAsia" w:ascii="仿宋_GB2312" w:hAnsi="宋体" w:eastAsia="仿宋_GB2312"/>
          <w:sz w:val="30"/>
          <w:szCs w:val="30"/>
        </w:rPr>
        <w:t>因</w:t>
      </w:r>
      <w:r>
        <w:rPr>
          <w:rFonts w:ascii="仿宋_GB2312" w:hAnsi="宋体" w:eastAsia="仿宋_GB2312"/>
          <w:sz w:val="30"/>
          <w:szCs w:val="30"/>
        </w:rPr>
        <w:t>___</w:t>
      </w:r>
      <w:bookmarkStart w:id="1" w:name="_GoBack"/>
      <w:bookmarkEnd w:id="1"/>
      <w:r>
        <w:rPr>
          <w:rFonts w:ascii="仿宋_GB2312" w:hAnsi="宋体" w:eastAsia="仿宋_GB2312"/>
          <w:sz w:val="30"/>
          <w:szCs w:val="30"/>
        </w:rPr>
        <w:t>_</w:t>
      </w:r>
      <w:r>
        <w:rPr>
          <w:rFonts w:hint="eastAsia" w:ascii="仿宋_GB2312" w:hAnsi="宋体" w:eastAsia="仿宋_GB2312"/>
          <w:sz w:val="30"/>
          <w:szCs w:val="30"/>
        </w:rPr>
        <w:t>无法保证季度报告内容的真实、准确、完整，请投资者特别关注（如适用）。</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公</w:t>
      </w:r>
      <w:r>
        <w:rPr>
          <w:rFonts w:ascii="仿宋_GB2312" w:hAnsi="宋体" w:eastAsia="仿宋_GB2312"/>
          <w:sz w:val="30"/>
          <w:szCs w:val="30"/>
        </w:rPr>
        <w:t>司负责人、主管会计工作负责人及会计机构负责人（会计主管人员）保证季度报告中</w:t>
      </w:r>
      <w:r>
        <w:rPr>
          <w:rFonts w:hint="eastAsia" w:ascii="仿宋_GB2312" w:hAnsi="宋体" w:eastAsia="仿宋_GB2312"/>
          <w:sz w:val="30"/>
          <w:szCs w:val="30"/>
        </w:rPr>
        <w:t>财务信息</w:t>
      </w:r>
      <w:r>
        <w:rPr>
          <w:rFonts w:ascii="仿宋_GB2312" w:hAnsi="宋体" w:eastAsia="仿宋_GB2312"/>
          <w:sz w:val="30"/>
          <w:szCs w:val="30"/>
        </w:rPr>
        <w:t>的真实、准确、完整。</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（第一季度、第三季度）财务报表是否经审计：○是○否</w:t>
      </w:r>
    </w:p>
    <w:p>
      <w:pPr>
        <w:numPr>
          <w:ilvl w:val="0"/>
          <w:numId w:val="1"/>
        </w:numPr>
        <w:tabs>
          <w:tab w:val="left" w:pos="420"/>
        </w:tabs>
        <w:adjustRightInd w:val="0"/>
        <w:snapToGrid w:val="0"/>
        <w:spacing w:line="56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审计师发表非标意见的事项（如适用）。</w:t>
      </w:r>
    </w:p>
    <w:p>
      <w:pPr>
        <w:adjustRightInd w:val="0"/>
        <w:snapToGrid w:val="0"/>
        <w:spacing w:line="560" w:lineRule="exact"/>
        <w:ind w:left="600"/>
        <w:rPr>
          <w:rFonts w:ascii="仿宋_GB2312" w:hAnsi="宋体" w:eastAsia="仿宋_GB2312"/>
          <w:sz w:val="30"/>
          <w:szCs w:val="30"/>
        </w:rPr>
      </w:pPr>
    </w:p>
    <w:p>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一、主要财务数据</w:t>
      </w:r>
    </w:p>
    <w:p>
      <w:pPr>
        <w:autoSpaceDE w:val="0"/>
        <w:autoSpaceDN w:val="0"/>
        <w:adjustRightInd w:val="0"/>
        <w:snapToGrid w:val="0"/>
        <w:spacing w:line="560" w:lineRule="exact"/>
        <w:ind w:firstLine="600" w:firstLineChars="200"/>
        <w:outlineLvl w:val="0"/>
        <w:rPr>
          <w:rFonts w:ascii="仿宋_GB2312" w:hAnsi="宋体" w:eastAsia="仿宋_GB2312" w:cs="宋体"/>
          <w:kern w:val="0"/>
          <w:sz w:val="30"/>
          <w:szCs w:val="30"/>
        </w:rPr>
      </w:pPr>
      <w:r>
        <w:rPr>
          <w:rFonts w:hint="eastAsia" w:ascii="仿宋_GB2312" w:hAnsi="宋体" w:eastAsia="仿宋_GB2312" w:cs="宋体"/>
          <w:color w:val="000000"/>
          <w:kern w:val="0"/>
          <w:sz w:val="30"/>
          <w:szCs w:val="30"/>
        </w:rPr>
        <w:t>（一）</w:t>
      </w:r>
      <w:r>
        <w:rPr>
          <w:rFonts w:hint="eastAsia" w:ascii="仿宋_GB2312" w:hAnsi="宋体" w:eastAsia="仿宋_GB2312" w:cs="宋体"/>
          <w:kern w:val="0"/>
          <w:sz w:val="30"/>
          <w:szCs w:val="30"/>
        </w:rPr>
        <w:t>主要会计数据和财务指标</w:t>
      </w:r>
    </w:p>
    <w:p>
      <w:pPr>
        <w:adjustRightInd w:val="0"/>
        <w:snapToGrid w:val="0"/>
        <w:spacing w:line="560" w:lineRule="exact"/>
        <w:ind w:firstLine="480" w:firstLineChars="200"/>
        <w:rPr>
          <w:rFonts w:ascii="仿宋_GB2312" w:hAnsi="宋体" w:eastAsia="仿宋_GB2312" w:cs="宋体"/>
          <w:kern w:val="0"/>
          <w:sz w:val="24"/>
        </w:rPr>
      </w:pPr>
      <w:r>
        <w:rPr>
          <w:rFonts w:hint="eastAsia" w:ascii="宋体" w:hAnsi="宋体"/>
          <w:sz w:val="24"/>
        </w:rPr>
        <w:t xml:space="preserve">                                                      </w:t>
      </w:r>
      <w:r>
        <w:rPr>
          <w:rFonts w:hint="eastAsia" w:ascii="仿宋_GB2312" w:hAnsi="宋体" w:eastAsia="仿宋_GB2312" w:cs="宋体"/>
          <w:kern w:val="0"/>
          <w:sz w:val="24"/>
        </w:rPr>
        <w:t xml:space="preserve">单位：    </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559"/>
        <w:gridCol w:w="1701"/>
        <w:gridCol w:w="1560"/>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项目</w:t>
            </w:r>
          </w:p>
        </w:tc>
        <w:tc>
          <w:tcPr>
            <w:tcW w:w="155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本报告期</w:t>
            </w:r>
          </w:p>
        </w:tc>
        <w:tc>
          <w:tcPr>
            <w:tcW w:w="170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本报告期比上年同期增减变动幅度(%)</w:t>
            </w:r>
          </w:p>
        </w:tc>
        <w:tc>
          <w:tcPr>
            <w:tcW w:w="1560"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年初至报告期末</w:t>
            </w:r>
          </w:p>
        </w:tc>
        <w:tc>
          <w:tcPr>
            <w:tcW w:w="17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年初至报告期末比上年同期增减变动幅度（％）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营业收入</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归属于上市公司股东的净利润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归属于上市公司股东的扣除非经常性损益的净利润</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经营活动产生的现金流量净额</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highlight w:val="yellow"/>
              </w:rPr>
            </w:pPr>
            <w:r>
              <w:rPr>
                <w:rFonts w:hint="eastAsia" w:ascii="仿宋_GB2312" w:hAnsi="宋体" w:eastAsia="仿宋_GB2312"/>
                <w:sz w:val="24"/>
                <w:szCs w:val="24"/>
              </w:rPr>
              <w:t>不适用</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不适用</w:t>
            </w:r>
          </w:p>
        </w:tc>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基本每股收益（元/股）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稀释每股收益（元/股）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加权平均净资产收益率</w:t>
            </w:r>
          </w:p>
        </w:tc>
        <w:tc>
          <w:tcPr>
            <w:tcW w:w="15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本报告期末</w:t>
            </w:r>
          </w:p>
        </w:tc>
        <w:tc>
          <w:tcPr>
            <w:tcW w:w="3261"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上年度末</w:t>
            </w:r>
          </w:p>
        </w:tc>
        <w:tc>
          <w:tcPr>
            <w:tcW w:w="17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本报告期末比上年度末增减变动幅度（％）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总资产</w:t>
            </w:r>
          </w:p>
        </w:tc>
        <w:tc>
          <w:tcPr>
            <w:tcW w:w="1559"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3261"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归属于上市公司股东的所有者权益</w:t>
            </w:r>
          </w:p>
        </w:tc>
        <w:tc>
          <w:tcPr>
            <w:tcW w:w="1559"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3261" w:type="dxa"/>
            <w:gridSpan w:val="2"/>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bl>
    <w:p>
      <w:pPr>
        <w:spacing w:line="560" w:lineRule="exact"/>
        <w:ind w:firstLine="480"/>
        <w:rPr>
          <w:rFonts w:ascii="仿宋_GB2312" w:hAnsi="宋体" w:eastAsia="仿宋_GB2312" w:cs="宋体"/>
          <w:kern w:val="0"/>
          <w:sz w:val="24"/>
          <w:szCs w:val="24"/>
        </w:rPr>
      </w:pPr>
      <w:r>
        <w:rPr>
          <w:rFonts w:hint="eastAsia" w:ascii="仿宋_GB2312" w:hAnsi="宋体" w:eastAsia="仿宋_GB2312" w:cs="宋体"/>
          <w:kern w:val="0"/>
          <w:sz w:val="24"/>
          <w:szCs w:val="24"/>
        </w:rPr>
        <w:t>注：1.“本报告期”指本季度初至本季度末3个月期间，下同。</w:t>
      </w:r>
    </w:p>
    <w:p>
      <w:pPr>
        <w:spacing w:line="560" w:lineRule="exact"/>
        <w:ind w:firstLine="480"/>
        <w:rPr>
          <w:rFonts w:ascii="仿宋_GB2312" w:hAnsi="宋体" w:eastAsia="仿宋_GB2312" w:cs="宋体"/>
          <w:kern w:val="0"/>
          <w:sz w:val="24"/>
          <w:szCs w:val="24"/>
        </w:rPr>
      </w:pPr>
      <w:r>
        <w:rPr>
          <w:rFonts w:hint="eastAsia" w:ascii="仿宋_GB2312" w:hAnsi="宋体" w:eastAsia="仿宋_GB2312" w:cs="宋体"/>
          <w:kern w:val="0"/>
          <w:sz w:val="24"/>
          <w:szCs w:val="24"/>
        </w:rPr>
        <w:t>2.公司对以前期间财务数据进行追溯调整或重述的，应当说明具体原因，并同时列示追溯调整或重述前后的数据。</w:t>
      </w:r>
    </w:p>
    <w:p>
      <w:pPr>
        <w:autoSpaceDE w:val="0"/>
        <w:autoSpaceDN w:val="0"/>
        <w:adjustRightInd w:val="0"/>
        <w:snapToGrid w:val="0"/>
        <w:spacing w:line="560" w:lineRule="exact"/>
        <w:ind w:firstLine="600" w:firstLineChars="200"/>
        <w:outlineLvl w:val="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（二）非经常性损益项目和金额</w:t>
      </w:r>
    </w:p>
    <w:p>
      <w:pPr>
        <w:adjustRightInd w:val="0"/>
        <w:snapToGrid w:val="0"/>
        <w:spacing w:line="560" w:lineRule="exact"/>
        <w:ind w:firstLine="480" w:firstLineChars="200"/>
        <w:rPr>
          <w:rFonts w:ascii="仿宋_GB2312" w:hAnsi="宋体" w:eastAsia="仿宋_GB2312"/>
          <w:sz w:val="24"/>
        </w:rPr>
      </w:pPr>
      <w:r>
        <w:rPr>
          <w:rFonts w:hint="eastAsia" w:ascii="宋体" w:hAnsi="宋体" w:cs="宋体"/>
          <w:kern w:val="0"/>
          <w:sz w:val="24"/>
        </w:rPr>
        <w:t xml:space="preserve">                                                      </w:t>
      </w:r>
      <w:r>
        <w:rPr>
          <w:rFonts w:hint="eastAsia" w:ascii="仿宋_GB2312" w:hAnsi="宋体" w:eastAsia="仿宋_GB2312"/>
          <w:sz w:val="24"/>
        </w:rPr>
        <w:t>单位：</w:t>
      </w:r>
    </w:p>
    <w:tbl>
      <w:tblPr>
        <w:tblStyle w:val="6"/>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2"/>
        <w:gridCol w:w="1845"/>
        <w:gridCol w:w="184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hAnsi="宋体" w:eastAsia="仿宋_GB2312"/>
                <w:sz w:val="24"/>
                <w:szCs w:val="24"/>
              </w:rPr>
              <w:t>项目</w:t>
            </w:r>
          </w:p>
        </w:tc>
        <w:tc>
          <w:tcPr>
            <w:tcW w:w="1085"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本报告期金额</w:t>
            </w:r>
          </w:p>
        </w:tc>
        <w:tc>
          <w:tcPr>
            <w:tcW w:w="1084"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年初至报告期末金额</w:t>
            </w:r>
          </w:p>
        </w:tc>
        <w:tc>
          <w:tcPr>
            <w:tcW w:w="620"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非流动性资产处置损益（包括已计提资产减值准备的冲销部分）</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越权审批，或无正式批准文件，或偶发性的税收返还、减免</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计入当期损益的政府补助（与公司正常经营业务密切相关，符合国家政策规定、按照一定标准定额或定量持续享受的政府补助除外）</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计入当期损益的对非金融企业收取的资金占用费</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企业取得子公司、联营企业及合营企业的投资成本小于取得投资时应享有被投资单位可辨认净资产公允价值产生的收益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非货币性资产交换损益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委托他人投资或管理资产的损益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因不可抗力因素，如遭受自然灾害而计提的各项资产减值准备</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债务重组损益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企业重组费用，如安置职工的支出、整合费用等</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交易价格显失公允的交易产生的超过公允价值部分的损益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同一控制下企业合并产生的子公司期初至合并日的当期净损益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与公司正常经营业务无关的或有事项产生的损益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单独进行减值测试的应收款项减值准备转回</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对外委托贷款取得的损益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采用公允价值模式进行后续计量的投资性房地产公允价值变动产生的损益</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根据税收、会计等法律、法规的要求对当期损益进行一次性调整对当期损益的影响</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受托经营取得的托管费收入</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除上述各项之外的其他营业外收入和支出</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hAnsi="宋体" w:eastAsia="仿宋_GB2312"/>
                <w:sz w:val="24"/>
                <w:szCs w:val="24"/>
              </w:rPr>
            </w:pPr>
            <w:r>
              <w:rPr>
                <w:rFonts w:hint="eastAsia" w:ascii="仿宋_GB2312" w:eastAsia="仿宋_GB2312"/>
                <w:sz w:val="24"/>
                <w:szCs w:val="24"/>
              </w:rPr>
              <w:t>其他符合非经常性损益定义的损益项目</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eastAsia="仿宋_GB2312"/>
                <w:sz w:val="24"/>
                <w:szCs w:val="24"/>
              </w:rPr>
            </w:pPr>
            <w:r>
              <w:rPr>
                <w:rFonts w:hint="eastAsia" w:ascii="仿宋_GB2312" w:eastAsia="仿宋_GB2312"/>
                <w:sz w:val="24"/>
                <w:szCs w:val="24"/>
              </w:rPr>
              <w:t>减：所得税影响额</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ind w:firstLine="480" w:firstLineChars="200"/>
              <w:rPr>
                <w:rFonts w:ascii="仿宋_GB2312" w:eastAsia="仿宋_GB2312"/>
                <w:sz w:val="24"/>
                <w:szCs w:val="24"/>
              </w:rPr>
            </w:pPr>
            <w:r>
              <w:rPr>
                <w:rFonts w:hint="eastAsia" w:ascii="仿宋_GB2312" w:eastAsia="仿宋_GB2312"/>
                <w:sz w:val="24"/>
                <w:szCs w:val="24"/>
              </w:rPr>
              <w:t>少数股东权益影响额（税后）</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2" w:type="pct"/>
            <w:tcBorders>
              <w:top w:val="single" w:color="auto" w:sz="4" w:space="0"/>
              <w:left w:val="single" w:color="auto" w:sz="4" w:space="0"/>
              <w:bottom w:val="single" w:color="auto" w:sz="4" w:space="0"/>
              <w:right w:val="single" w:color="auto" w:sz="4" w:space="0"/>
            </w:tcBorders>
            <w:shd w:val="clear" w:color="auto" w:fill="E6E6E6"/>
            <w:vAlign w:val="center"/>
          </w:tcPr>
          <w:p>
            <w:pPr>
              <w:spacing w:line="560" w:lineRule="exact"/>
              <w:rPr>
                <w:rFonts w:ascii="仿宋_GB2312" w:eastAsia="仿宋_GB2312"/>
                <w:sz w:val="24"/>
                <w:szCs w:val="24"/>
              </w:rPr>
            </w:pPr>
            <w:r>
              <w:rPr>
                <w:rFonts w:hint="eastAsia" w:ascii="仿宋_GB2312" w:eastAsia="仿宋_GB2312"/>
                <w:sz w:val="24"/>
                <w:szCs w:val="24"/>
              </w:rPr>
              <w:t>合计</w:t>
            </w:r>
          </w:p>
        </w:tc>
        <w:tc>
          <w:tcPr>
            <w:tcW w:w="1085" w:type="pct"/>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sz w:val="24"/>
                <w:szCs w:val="24"/>
              </w:rPr>
            </w:pPr>
          </w:p>
        </w:tc>
        <w:tc>
          <w:tcPr>
            <w:tcW w:w="1084"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c>
          <w:tcPr>
            <w:tcW w:w="620"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sz w:val="24"/>
                <w:szCs w:val="24"/>
              </w:rPr>
            </w:pPr>
          </w:p>
        </w:tc>
      </w:tr>
    </w:tbl>
    <w:p>
      <w:pPr>
        <w:spacing w:line="560" w:lineRule="exact"/>
        <w:ind w:firstLine="482"/>
        <w:rPr>
          <w:rFonts w:ascii="楷体" w:hAnsi="楷体" w:eastAsia="楷体" w:cs="宋体"/>
          <w:kern w:val="0"/>
          <w:sz w:val="24"/>
          <w:szCs w:val="24"/>
        </w:rPr>
      </w:pPr>
      <w:r>
        <w:rPr>
          <w:rFonts w:hint="eastAsia" w:ascii="楷体" w:hAnsi="楷体" w:eastAsia="楷体" w:cs="宋体"/>
          <w:kern w:val="0"/>
          <w:sz w:val="24"/>
          <w:szCs w:val="24"/>
        </w:rPr>
        <w:t>注:公司应当说明“其他符合非经常性损益定义的损益项目”的具体情况；如将《公开发行证券的公司信息披露解释性公告第</w:t>
      </w:r>
      <w:r>
        <w:rPr>
          <w:rFonts w:ascii="楷体" w:hAnsi="楷体" w:eastAsia="楷体" w:cs="宋体"/>
          <w:kern w:val="0"/>
          <w:sz w:val="24"/>
          <w:szCs w:val="24"/>
        </w:rPr>
        <w:t>1号——非经常性损益》中列举的非经常性损益项目界定为经常性损益项目的，应当说明原因。</w:t>
      </w:r>
    </w:p>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（三）主要会计数据、财务指标发生变动的情况、原因</w:t>
      </w:r>
    </w:p>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上市公司上述主要会计数据、财务指标与上年度期末或上年同期相比增减变动幅度超过30%的，应当说明变动情况及主要原因。</w:t>
      </w:r>
    </w:p>
    <w:p>
      <w:pPr>
        <w:spacing w:line="560" w:lineRule="exact"/>
        <w:ind w:firstLine="600" w:firstLineChars="200"/>
        <w:rPr>
          <w:rFonts w:ascii="仿宋_GB2312" w:hAnsi="宋体" w:eastAsia="仿宋_GB2312" w:cs="宋体"/>
          <w:kern w:val="0"/>
          <w:sz w:val="30"/>
          <w:szCs w:val="30"/>
        </w:rPr>
      </w:pPr>
    </w:p>
    <w:p>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二、股东信息</w:t>
      </w:r>
    </w:p>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（一）普通股股东总数和表决权恢复的优先股股东数量及前十名股东持股情况表</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217"/>
        <w:gridCol w:w="509"/>
        <w:gridCol w:w="708"/>
        <w:gridCol w:w="1217"/>
        <w:gridCol w:w="1218"/>
        <w:gridCol w:w="1218"/>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2326" w:type="dxa"/>
            <w:gridSpan w:val="2"/>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报告期末普通股股东总数</w:t>
            </w:r>
          </w:p>
        </w:tc>
        <w:tc>
          <w:tcPr>
            <w:tcW w:w="1217" w:type="dxa"/>
            <w:gridSpan w:val="2"/>
            <w:vAlign w:val="center"/>
          </w:tcPr>
          <w:p>
            <w:pPr>
              <w:spacing w:line="560" w:lineRule="exact"/>
              <w:rPr>
                <w:rFonts w:ascii="仿宋_GB2312" w:hAnsi="宋体" w:eastAsia="仿宋_GB2312" w:cs="宋体"/>
                <w:kern w:val="0"/>
                <w:sz w:val="24"/>
                <w:szCs w:val="24"/>
              </w:rPr>
            </w:pPr>
          </w:p>
        </w:tc>
        <w:tc>
          <w:tcPr>
            <w:tcW w:w="2435" w:type="dxa"/>
            <w:gridSpan w:val="2"/>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报告期末表决权恢复的优先股股东总数（如有）</w:t>
            </w:r>
          </w:p>
        </w:tc>
        <w:tc>
          <w:tcPr>
            <w:tcW w:w="2386" w:type="dxa"/>
            <w:gridSpan w:val="2"/>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8"/>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09"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1217"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股东性质</w:t>
            </w:r>
          </w:p>
        </w:tc>
        <w:tc>
          <w:tcPr>
            <w:tcW w:w="1217" w:type="dxa"/>
            <w:gridSpan w:val="2"/>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持股数量（股）</w:t>
            </w:r>
          </w:p>
        </w:tc>
        <w:tc>
          <w:tcPr>
            <w:tcW w:w="1217"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持股比例（%）</w:t>
            </w:r>
          </w:p>
        </w:tc>
        <w:tc>
          <w:tcPr>
            <w:tcW w:w="1218"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持有有限售条件股份数量（股）（如为纯B股或未股改公司，列示“持有非流通的股份数量”）</w:t>
            </w:r>
          </w:p>
        </w:tc>
        <w:tc>
          <w:tcPr>
            <w:tcW w:w="2386" w:type="dxa"/>
            <w:gridSpan w:val="2"/>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质押/标记/冻结情况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09" w:type="dxa"/>
            <w:vMerge w:val="continue"/>
          </w:tcPr>
          <w:p>
            <w:pPr>
              <w:spacing w:line="560" w:lineRule="exact"/>
              <w:rPr>
                <w:rFonts w:ascii="仿宋_GB2312" w:hAnsi="宋体" w:eastAsia="仿宋_GB2312" w:cs="宋体"/>
                <w:kern w:val="0"/>
                <w:sz w:val="24"/>
                <w:szCs w:val="24"/>
              </w:rPr>
            </w:pPr>
          </w:p>
        </w:tc>
        <w:tc>
          <w:tcPr>
            <w:tcW w:w="1217" w:type="dxa"/>
            <w:vMerge w:val="continue"/>
          </w:tcPr>
          <w:p>
            <w:pPr>
              <w:spacing w:line="560" w:lineRule="exact"/>
              <w:rPr>
                <w:rFonts w:ascii="仿宋_GB2312" w:hAnsi="宋体" w:eastAsia="仿宋_GB2312" w:cs="宋体"/>
                <w:kern w:val="0"/>
                <w:sz w:val="24"/>
                <w:szCs w:val="24"/>
              </w:rPr>
            </w:pPr>
          </w:p>
        </w:tc>
        <w:tc>
          <w:tcPr>
            <w:tcW w:w="1217" w:type="dxa"/>
            <w:gridSpan w:val="2"/>
            <w:vMerge w:val="continue"/>
          </w:tcPr>
          <w:p>
            <w:pPr>
              <w:spacing w:line="560" w:lineRule="exact"/>
              <w:rPr>
                <w:rFonts w:ascii="仿宋_GB2312" w:hAnsi="宋体" w:eastAsia="仿宋_GB2312" w:cs="宋体"/>
                <w:kern w:val="0"/>
                <w:sz w:val="24"/>
                <w:szCs w:val="24"/>
              </w:rPr>
            </w:pPr>
          </w:p>
        </w:tc>
        <w:tc>
          <w:tcPr>
            <w:tcW w:w="1217" w:type="dxa"/>
            <w:vMerge w:val="continue"/>
          </w:tcPr>
          <w:p>
            <w:pPr>
              <w:spacing w:line="560" w:lineRule="exact"/>
              <w:rPr>
                <w:rFonts w:ascii="仿宋_GB2312" w:hAnsi="宋体" w:eastAsia="仿宋_GB2312" w:cs="宋体"/>
                <w:kern w:val="0"/>
                <w:sz w:val="24"/>
                <w:szCs w:val="24"/>
              </w:rPr>
            </w:pPr>
          </w:p>
        </w:tc>
        <w:tc>
          <w:tcPr>
            <w:tcW w:w="1218" w:type="dxa"/>
            <w:vMerge w:val="continue"/>
          </w:tcPr>
          <w:p>
            <w:pPr>
              <w:spacing w:line="560" w:lineRule="exact"/>
              <w:rPr>
                <w:rFonts w:ascii="仿宋_GB2312" w:hAnsi="宋体" w:eastAsia="仿宋_GB2312" w:cs="宋体"/>
                <w:kern w:val="0"/>
                <w:sz w:val="24"/>
                <w:szCs w:val="24"/>
              </w:rPr>
            </w:pPr>
          </w:p>
        </w:tc>
        <w:tc>
          <w:tcPr>
            <w:tcW w:w="1218" w:type="dxa"/>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股份状态</w:t>
            </w:r>
          </w:p>
        </w:tc>
        <w:tc>
          <w:tcPr>
            <w:tcW w:w="1168" w:type="dxa"/>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spacing w:line="560" w:lineRule="exact"/>
              <w:rPr>
                <w:rFonts w:ascii="仿宋_GB2312" w:hAnsi="宋体" w:eastAsia="仿宋_GB2312" w:cs="宋体"/>
                <w:kern w:val="0"/>
                <w:sz w:val="24"/>
                <w:szCs w:val="24"/>
              </w:rPr>
            </w:pPr>
          </w:p>
        </w:tc>
        <w:tc>
          <w:tcPr>
            <w:tcW w:w="1217" w:type="dxa"/>
          </w:tcPr>
          <w:p>
            <w:pPr>
              <w:spacing w:line="560" w:lineRule="exact"/>
              <w:rPr>
                <w:rFonts w:ascii="仿宋_GB2312" w:hAnsi="宋体" w:eastAsia="仿宋_GB2312" w:cs="宋体"/>
                <w:kern w:val="0"/>
                <w:sz w:val="24"/>
                <w:szCs w:val="24"/>
              </w:rPr>
            </w:pPr>
          </w:p>
        </w:tc>
        <w:tc>
          <w:tcPr>
            <w:tcW w:w="1217" w:type="dxa"/>
            <w:gridSpan w:val="2"/>
          </w:tcPr>
          <w:p>
            <w:pPr>
              <w:spacing w:line="560" w:lineRule="exact"/>
              <w:rPr>
                <w:rFonts w:ascii="仿宋_GB2312" w:hAnsi="宋体" w:eastAsia="仿宋_GB2312" w:cs="宋体"/>
                <w:kern w:val="0"/>
                <w:sz w:val="24"/>
                <w:szCs w:val="24"/>
              </w:rPr>
            </w:pPr>
          </w:p>
        </w:tc>
        <w:tc>
          <w:tcPr>
            <w:tcW w:w="1217" w:type="dxa"/>
          </w:tcPr>
          <w:p>
            <w:pPr>
              <w:spacing w:line="560" w:lineRule="exact"/>
              <w:rPr>
                <w:rFonts w:ascii="仿宋_GB2312" w:hAnsi="宋体" w:eastAsia="仿宋_GB2312" w:cs="宋体"/>
                <w:kern w:val="0"/>
                <w:sz w:val="24"/>
                <w:szCs w:val="24"/>
              </w:rPr>
            </w:pPr>
          </w:p>
        </w:tc>
        <w:tc>
          <w:tcPr>
            <w:tcW w:w="1218" w:type="dxa"/>
          </w:tcPr>
          <w:p>
            <w:pPr>
              <w:spacing w:line="560" w:lineRule="exact"/>
              <w:rPr>
                <w:rFonts w:ascii="仿宋_GB2312" w:hAnsi="宋体" w:eastAsia="仿宋_GB2312" w:cs="宋体"/>
                <w:kern w:val="0"/>
                <w:sz w:val="24"/>
                <w:szCs w:val="24"/>
              </w:rPr>
            </w:pPr>
          </w:p>
        </w:tc>
        <w:tc>
          <w:tcPr>
            <w:tcW w:w="1218" w:type="dxa"/>
          </w:tcPr>
          <w:p>
            <w:pPr>
              <w:spacing w:line="560" w:lineRule="exact"/>
              <w:rPr>
                <w:rFonts w:ascii="仿宋_GB2312" w:hAnsi="宋体" w:eastAsia="仿宋_GB2312" w:cs="宋体"/>
                <w:kern w:val="0"/>
                <w:sz w:val="24"/>
                <w:szCs w:val="24"/>
              </w:rPr>
            </w:pPr>
          </w:p>
        </w:tc>
        <w:tc>
          <w:tcPr>
            <w:tcW w:w="1168" w:type="dxa"/>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gridSpan w:val="8"/>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前10名无限售条件股东持股情况（如为纯B股或未股改公司，列示“前1</w:t>
            </w:r>
            <w:r>
              <w:rPr>
                <w:rFonts w:ascii="仿宋_GB2312" w:hAnsi="宋体" w:eastAsia="仿宋_GB2312" w:cs="宋体"/>
                <w:kern w:val="0"/>
                <w:sz w:val="24"/>
                <w:szCs w:val="24"/>
              </w:rPr>
              <w:t>0</w:t>
            </w:r>
            <w:r>
              <w:rPr>
                <w:rFonts w:hint="eastAsia" w:ascii="仿宋_GB2312" w:hAnsi="宋体" w:eastAsia="仿宋_GB2312" w:cs="宋体"/>
                <w:kern w:val="0"/>
                <w:sz w:val="24"/>
                <w:szCs w:val="24"/>
              </w:rPr>
              <w:t>名流通股股东持股情况”）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35" w:type="dxa"/>
            <w:gridSpan w:val="3"/>
            <w:vMerge w:val="restart"/>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3143" w:type="dxa"/>
            <w:gridSpan w:val="3"/>
            <w:vMerge w:val="restart"/>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持有无限售条件股份数量（股）</w:t>
            </w:r>
          </w:p>
        </w:tc>
        <w:tc>
          <w:tcPr>
            <w:tcW w:w="2386" w:type="dxa"/>
            <w:gridSpan w:val="2"/>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股份种类及数量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835" w:type="dxa"/>
            <w:gridSpan w:val="3"/>
            <w:vMerge w:val="continue"/>
            <w:vAlign w:val="center"/>
          </w:tcPr>
          <w:p>
            <w:pPr>
              <w:spacing w:line="560" w:lineRule="exact"/>
              <w:rPr>
                <w:rFonts w:ascii="仿宋_GB2312" w:hAnsi="宋体" w:eastAsia="仿宋_GB2312" w:cs="宋体"/>
                <w:kern w:val="0"/>
                <w:sz w:val="24"/>
                <w:szCs w:val="24"/>
              </w:rPr>
            </w:pPr>
          </w:p>
        </w:tc>
        <w:tc>
          <w:tcPr>
            <w:tcW w:w="3143" w:type="dxa"/>
            <w:gridSpan w:val="3"/>
            <w:vMerge w:val="continue"/>
            <w:vAlign w:val="center"/>
          </w:tcPr>
          <w:p>
            <w:pPr>
              <w:spacing w:line="560" w:lineRule="exact"/>
              <w:rPr>
                <w:rFonts w:ascii="仿宋_GB2312" w:hAnsi="宋体" w:eastAsia="仿宋_GB2312" w:cs="宋体"/>
                <w:kern w:val="0"/>
                <w:sz w:val="24"/>
                <w:szCs w:val="24"/>
              </w:rPr>
            </w:pPr>
          </w:p>
        </w:tc>
        <w:tc>
          <w:tcPr>
            <w:tcW w:w="1218" w:type="dxa"/>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股份种类</w:t>
            </w:r>
          </w:p>
        </w:tc>
        <w:tc>
          <w:tcPr>
            <w:tcW w:w="1168" w:type="dxa"/>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3"/>
          </w:tcPr>
          <w:p>
            <w:pPr>
              <w:spacing w:line="560" w:lineRule="exact"/>
              <w:rPr>
                <w:rFonts w:ascii="仿宋_GB2312" w:hAnsi="宋体" w:eastAsia="仿宋_GB2312" w:cs="宋体"/>
                <w:kern w:val="0"/>
                <w:sz w:val="24"/>
                <w:szCs w:val="24"/>
              </w:rPr>
            </w:pPr>
          </w:p>
        </w:tc>
        <w:tc>
          <w:tcPr>
            <w:tcW w:w="3143" w:type="dxa"/>
            <w:gridSpan w:val="3"/>
          </w:tcPr>
          <w:p>
            <w:pPr>
              <w:spacing w:line="560" w:lineRule="exact"/>
              <w:rPr>
                <w:rFonts w:ascii="仿宋_GB2312" w:hAnsi="宋体" w:eastAsia="仿宋_GB2312" w:cs="宋体"/>
                <w:kern w:val="0"/>
                <w:sz w:val="24"/>
                <w:szCs w:val="24"/>
              </w:rPr>
            </w:pPr>
          </w:p>
        </w:tc>
        <w:tc>
          <w:tcPr>
            <w:tcW w:w="1218" w:type="dxa"/>
          </w:tcPr>
          <w:p>
            <w:pPr>
              <w:spacing w:line="560" w:lineRule="exact"/>
              <w:rPr>
                <w:rFonts w:ascii="仿宋_GB2312" w:hAnsi="宋体" w:eastAsia="仿宋_GB2312" w:cs="宋体"/>
                <w:kern w:val="0"/>
                <w:sz w:val="24"/>
                <w:szCs w:val="24"/>
              </w:rPr>
            </w:pPr>
          </w:p>
        </w:tc>
        <w:tc>
          <w:tcPr>
            <w:tcW w:w="1168" w:type="dxa"/>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3"/>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上述股东关联关系或一致行动的说明</w:t>
            </w:r>
          </w:p>
        </w:tc>
        <w:tc>
          <w:tcPr>
            <w:tcW w:w="5529" w:type="dxa"/>
            <w:gridSpan w:val="5"/>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3"/>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前10名股东及前</w:t>
            </w:r>
            <w:r>
              <w:rPr>
                <w:rFonts w:ascii="仿宋_GB2312" w:hAnsi="宋体" w:eastAsia="仿宋_GB2312" w:cs="宋体"/>
                <w:kern w:val="0"/>
                <w:sz w:val="24"/>
                <w:szCs w:val="24"/>
              </w:rPr>
              <w:t>10名无限售股东</w:t>
            </w:r>
            <w:r>
              <w:rPr>
                <w:rFonts w:hint="eastAsia" w:ascii="仿宋_GB2312" w:hAnsi="宋体" w:eastAsia="仿宋_GB2312" w:cs="宋体"/>
                <w:kern w:val="0"/>
                <w:sz w:val="24"/>
                <w:szCs w:val="24"/>
              </w:rPr>
              <w:t>参与融资融券及转融通业务情况说明（如有）</w:t>
            </w:r>
          </w:p>
        </w:tc>
        <w:tc>
          <w:tcPr>
            <w:tcW w:w="5529" w:type="dxa"/>
            <w:gridSpan w:val="5"/>
          </w:tcPr>
          <w:p>
            <w:pPr>
              <w:spacing w:line="560" w:lineRule="exact"/>
              <w:rPr>
                <w:rFonts w:ascii="仿宋_GB2312" w:hAnsi="宋体" w:eastAsia="仿宋_GB2312" w:cs="宋体"/>
                <w:kern w:val="0"/>
                <w:sz w:val="24"/>
                <w:szCs w:val="24"/>
              </w:rPr>
            </w:pPr>
          </w:p>
        </w:tc>
      </w:tr>
    </w:tbl>
    <w:p>
      <w:pPr>
        <w:spacing w:line="5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（二）公司优先股股东总数及前10名优先股股东持股情况表（如有）</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217"/>
        <w:gridCol w:w="509"/>
        <w:gridCol w:w="708"/>
        <w:gridCol w:w="1217"/>
        <w:gridCol w:w="1218"/>
        <w:gridCol w:w="1218"/>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6" w:type="dxa"/>
            <w:gridSpan w:val="2"/>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报告期末优先股股东总数</w:t>
            </w:r>
          </w:p>
        </w:tc>
        <w:tc>
          <w:tcPr>
            <w:tcW w:w="5896" w:type="dxa"/>
            <w:gridSpan w:val="6"/>
            <w:vAlign w:val="center"/>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8"/>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09"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1217"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股东性质</w:t>
            </w:r>
          </w:p>
        </w:tc>
        <w:tc>
          <w:tcPr>
            <w:tcW w:w="1217" w:type="dxa"/>
            <w:gridSpan w:val="2"/>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持股数量（股）</w:t>
            </w:r>
          </w:p>
        </w:tc>
        <w:tc>
          <w:tcPr>
            <w:tcW w:w="1217"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持股比例（%）</w:t>
            </w:r>
          </w:p>
        </w:tc>
        <w:tc>
          <w:tcPr>
            <w:tcW w:w="1218" w:type="dxa"/>
            <w:vMerge w:val="restart"/>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持有有限售条件股份数量（股）</w:t>
            </w:r>
          </w:p>
        </w:tc>
        <w:tc>
          <w:tcPr>
            <w:tcW w:w="2244" w:type="dxa"/>
            <w:gridSpan w:val="2"/>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质押/冻结/标记情况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109" w:type="dxa"/>
            <w:vMerge w:val="continue"/>
          </w:tcPr>
          <w:p>
            <w:pPr>
              <w:spacing w:line="560" w:lineRule="exact"/>
              <w:rPr>
                <w:rFonts w:ascii="仿宋_GB2312" w:hAnsi="宋体" w:eastAsia="仿宋_GB2312" w:cs="宋体"/>
                <w:kern w:val="0"/>
                <w:sz w:val="24"/>
                <w:szCs w:val="24"/>
              </w:rPr>
            </w:pPr>
          </w:p>
        </w:tc>
        <w:tc>
          <w:tcPr>
            <w:tcW w:w="1217" w:type="dxa"/>
            <w:vMerge w:val="continue"/>
          </w:tcPr>
          <w:p>
            <w:pPr>
              <w:spacing w:line="560" w:lineRule="exact"/>
              <w:rPr>
                <w:rFonts w:ascii="仿宋_GB2312" w:hAnsi="宋体" w:eastAsia="仿宋_GB2312" w:cs="宋体"/>
                <w:kern w:val="0"/>
                <w:sz w:val="24"/>
                <w:szCs w:val="24"/>
              </w:rPr>
            </w:pPr>
          </w:p>
        </w:tc>
        <w:tc>
          <w:tcPr>
            <w:tcW w:w="1217" w:type="dxa"/>
            <w:gridSpan w:val="2"/>
            <w:vMerge w:val="continue"/>
          </w:tcPr>
          <w:p>
            <w:pPr>
              <w:spacing w:line="560" w:lineRule="exact"/>
              <w:rPr>
                <w:rFonts w:ascii="仿宋_GB2312" w:hAnsi="宋体" w:eastAsia="仿宋_GB2312" w:cs="宋体"/>
                <w:kern w:val="0"/>
                <w:sz w:val="24"/>
                <w:szCs w:val="24"/>
              </w:rPr>
            </w:pPr>
          </w:p>
        </w:tc>
        <w:tc>
          <w:tcPr>
            <w:tcW w:w="1217" w:type="dxa"/>
            <w:vMerge w:val="continue"/>
          </w:tcPr>
          <w:p>
            <w:pPr>
              <w:spacing w:line="560" w:lineRule="exact"/>
              <w:rPr>
                <w:rFonts w:ascii="仿宋_GB2312" w:hAnsi="宋体" w:eastAsia="仿宋_GB2312" w:cs="宋体"/>
                <w:kern w:val="0"/>
                <w:sz w:val="24"/>
                <w:szCs w:val="24"/>
              </w:rPr>
            </w:pPr>
          </w:p>
        </w:tc>
        <w:tc>
          <w:tcPr>
            <w:tcW w:w="1218" w:type="dxa"/>
            <w:vMerge w:val="continue"/>
          </w:tcPr>
          <w:p>
            <w:pPr>
              <w:spacing w:line="560" w:lineRule="exact"/>
              <w:rPr>
                <w:rFonts w:ascii="仿宋_GB2312" w:hAnsi="宋体" w:eastAsia="仿宋_GB2312" w:cs="宋体"/>
                <w:kern w:val="0"/>
                <w:sz w:val="24"/>
                <w:szCs w:val="24"/>
              </w:rPr>
            </w:pPr>
          </w:p>
        </w:tc>
        <w:tc>
          <w:tcPr>
            <w:tcW w:w="1218" w:type="dxa"/>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股份状态</w:t>
            </w:r>
          </w:p>
        </w:tc>
        <w:tc>
          <w:tcPr>
            <w:tcW w:w="1026" w:type="dxa"/>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spacing w:line="560" w:lineRule="exact"/>
              <w:rPr>
                <w:rFonts w:ascii="仿宋_GB2312" w:hAnsi="宋体" w:eastAsia="仿宋_GB2312" w:cs="宋体"/>
                <w:kern w:val="0"/>
                <w:sz w:val="24"/>
                <w:szCs w:val="24"/>
              </w:rPr>
            </w:pPr>
          </w:p>
        </w:tc>
        <w:tc>
          <w:tcPr>
            <w:tcW w:w="1217" w:type="dxa"/>
          </w:tcPr>
          <w:p>
            <w:pPr>
              <w:spacing w:line="560" w:lineRule="exact"/>
              <w:rPr>
                <w:rFonts w:ascii="仿宋_GB2312" w:hAnsi="宋体" w:eastAsia="仿宋_GB2312" w:cs="宋体"/>
                <w:kern w:val="0"/>
                <w:sz w:val="24"/>
                <w:szCs w:val="24"/>
              </w:rPr>
            </w:pPr>
          </w:p>
        </w:tc>
        <w:tc>
          <w:tcPr>
            <w:tcW w:w="1217" w:type="dxa"/>
            <w:gridSpan w:val="2"/>
          </w:tcPr>
          <w:p>
            <w:pPr>
              <w:spacing w:line="560" w:lineRule="exact"/>
              <w:rPr>
                <w:rFonts w:ascii="仿宋_GB2312" w:hAnsi="宋体" w:eastAsia="仿宋_GB2312" w:cs="宋体"/>
                <w:kern w:val="0"/>
                <w:sz w:val="24"/>
                <w:szCs w:val="24"/>
              </w:rPr>
            </w:pPr>
          </w:p>
        </w:tc>
        <w:tc>
          <w:tcPr>
            <w:tcW w:w="1217" w:type="dxa"/>
          </w:tcPr>
          <w:p>
            <w:pPr>
              <w:spacing w:line="560" w:lineRule="exact"/>
              <w:rPr>
                <w:rFonts w:ascii="仿宋_GB2312" w:hAnsi="宋体" w:eastAsia="仿宋_GB2312" w:cs="宋体"/>
                <w:kern w:val="0"/>
                <w:sz w:val="24"/>
                <w:szCs w:val="24"/>
              </w:rPr>
            </w:pPr>
          </w:p>
        </w:tc>
        <w:tc>
          <w:tcPr>
            <w:tcW w:w="1218" w:type="dxa"/>
          </w:tcPr>
          <w:p>
            <w:pPr>
              <w:spacing w:line="560" w:lineRule="exact"/>
              <w:rPr>
                <w:rFonts w:ascii="仿宋_GB2312" w:hAnsi="宋体" w:eastAsia="仿宋_GB2312" w:cs="宋体"/>
                <w:kern w:val="0"/>
                <w:sz w:val="24"/>
                <w:szCs w:val="24"/>
              </w:rPr>
            </w:pPr>
          </w:p>
        </w:tc>
        <w:tc>
          <w:tcPr>
            <w:tcW w:w="1218" w:type="dxa"/>
          </w:tcPr>
          <w:p>
            <w:pPr>
              <w:spacing w:line="560" w:lineRule="exact"/>
              <w:rPr>
                <w:rFonts w:ascii="仿宋_GB2312" w:hAnsi="宋体" w:eastAsia="仿宋_GB2312" w:cs="宋体"/>
                <w:kern w:val="0"/>
                <w:sz w:val="24"/>
                <w:szCs w:val="24"/>
              </w:rPr>
            </w:pPr>
          </w:p>
        </w:tc>
        <w:tc>
          <w:tcPr>
            <w:tcW w:w="1026" w:type="dxa"/>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2" w:type="dxa"/>
            <w:gridSpan w:val="8"/>
            <w:vAlign w:val="center"/>
          </w:tcPr>
          <w:p>
            <w:pPr>
              <w:spacing w:line="5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前10名表决权恢复的优先股股东持股情况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835" w:type="dxa"/>
            <w:gridSpan w:val="3"/>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股东名称</w:t>
            </w:r>
          </w:p>
        </w:tc>
        <w:tc>
          <w:tcPr>
            <w:tcW w:w="5387" w:type="dxa"/>
            <w:gridSpan w:val="5"/>
            <w:vAlign w:val="center"/>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持有表决权恢复的优先股股份数量（股）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3"/>
          </w:tcPr>
          <w:p>
            <w:pPr>
              <w:spacing w:line="560" w:lineRule="exact"/>
              <w:rPr>
                <w:rFonts w:ascii="仿宋_GB2312" w:hAnsi="宋体" w:eastAsia="仿宋_GB2312" w:cs="宋体"/>
                <w:kern w:val="0"/>
                <w:sz w:val="24"/>
                <w:szCs w:val="24"/>
              </w:rPr>
            </w:pPr>
          </w:p>
        </w:tc>
        <w:tc>
          <w:tcPr>
            <w:tcW w:w="5387" w:type="dxa"/>
            <w:gridSpan w:val="5"/>
          </w:tcPr>
          <w:p>
            <w:pPr>
              <w:spacing w:line="560" w:lineRule="exact"/>
              <w:rPr>
                <w:rFonts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5" w:type="dxa"/>
            <w:gridSpan w:val="3"/>
          </w:tcPr>
          <w:p>
            <w:pPr>
              <w:spacing w:line="56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上述股东关联关系或一致行动的说明</w:t>
            </w:r>
          </w:p>
        </w:tc>
        <w:tc>
          <w:tcPr>
            <w:tcW w:w="5387" w:type="dxa"/>
            <w:gridSpan w:val="5"/>
          </w:tcPr>
          <w:p>
            <w:pPr>
              <w:spacing w:line="560" w:lineRule="exact"/>
              <w:rPr>
                <w:rFonts w:ascii="仿宋_GB2312" w:hAnsi="宋体" w:eastAsia="仿宋_GB2312" w:cs="宋体"/>
                <w:kern w:val="0"/>
                <w:sz w:val="24"/>
                <w:szCs w:val="24"/>
              </w:rPr>
            </w:pPr>
          </w:p>
        </w:tc>
      </w:tr>
    </w:tbl>
    <w:p>
      <w:pPr>
        <w:widowControl/>
        <w:adjustRightInd w:val="0"/>
        <w:snapToGrid w:val="0"/>
        <w:spacing w:line="560" w:lineRule="exact"/>
        <w:ind w:firstLine="602" w:firstLineChars="200"/>
        <w:rPr>
          <w:rFonts w:ascii="黑体" w:hAnsi="黑体" w:eastAsia="黑体" w:cs="宋体"/>
          <w:b/>
          <w:color w:val="000000"/>
          <w:kern w:val="0"/>
          <w:sz w:val="30"/>
          <w:szCs w:val="30"/>
        </w:rPr>
      </w:pPr>
    </w:p>
    <w:p>
      <w:pPr>
        <w:widowControl/>
        <w:adjustRightInd w:val="0"/>
        <w:snapToGrid w:val="0"/>
        <w:spacing w:line="560" w:lineRule="exact"/>
        <w:ind w:firstLine="602" w:firstLineChars="20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三、其他提醒事项</w:t>
      </w:r>
    </w:p>
    <w:p>
      <w:pPr>
        <w:adjustRightInd w:val="0"/>
        <w:snapToGrid w:val="0"/>
        <w:spacing w:line="56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上市公司应当审慎评估有助于投资者了解报告期经营情况的其他重要信息，如存在前述信息，应当予以披露，并提醒投资者关注。</w:t>
      </w:r>
    </w:p>
    <w:p>
      <w:pPr>
        <w:adjustRightInd w:val="0"/>
        <w:snapToGrid w:val="0"/>
        <w:spacing w:line="560" w:lineRule="exact"/>
        <w:ind w:firstLine="600" w:firstLineChars="200"/>
        <w:rPr>
          <w:rFonts w:ascii="仿宋_GB2312" w:hAnsi="宋体" w:eastAsia="仿宋_GB2312" w:cs="宋体"/>
          <w:color w:val="000000"/>
          <w:kern w:val="0"/>
          <w:sz w:val="30"/>
          <w:szCs w:val="30"/>
        </w:rPr>
      </w:pPr>
    </w:p>
    <w:p>
      <w:pPr>
        <w:widowControl/>
        <w:spacing w:line="560" w:lineRule="exact"/>
        <w:ind w:firstLine="480"/>
        <w:rPr>
          <w:rFonts w:ascii="黑体" w:hAnsi="黑体" w:eastAsia="黑体" w:cs="宋体"/>
          <w:b/>
          <w:color w:val="000000"/>
          <w:kern w:val="0"/>
          <w:sz w:val="30"/>
          <w:szCs w:val="30"/>
        </w:rPr>
      </w:pPr>
      <w:r>
        <w:rPr>
          <w:rFonts w:hint="eastAsia" w:ascii="黑体" w:hAnsi="黑体" w:eastAsia="黑体" w:cs="宋体"/>
          <w:b/>
          <w:color w:val="000000"/>
          <w:kern w:val="0"/>
          <w:sz w:val="30"/>
          <w:szCs w:val="30"/>
        </w:rPr>
        <w:t>四、季度财务报表</w:t>
      </w:r>
    </w:p>
    <w:p>
      <w:pPr>
        <w:widowControl/>
        <w:spacing w:line="560" w:lineRule="exact"/>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上市公司应当披露截至报告期末的比较式合并资产负债表、年初至报告期末的比较式合并利润表和比较式合并现金流量表。</w:t>
      </w:r>
    </w:p>
    <w:p>
      <w:pPr>
        <w:widowControl/>
        <w:spacing w:line="560" w:lineRule="exact"/>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季度财务报表已经审计的，公司应当披露审计意见类型；若被注册会计师出具非标准审计意见，公司还应当披露审计报告。</w:t>
      </w:r>
    </w:p>
    <w:p>
      <w:pPr>
        <w:widowControl/>
        <w:spacing w:line="560" w:lineRule="exact"/>
        <w:ind w:firstLine="480"/>
        <w:rPr>
          <w:rFonts w:ascii="仿宋_GB2312" w:hAnsi="宋体" w:eastAsia="仿宋_GB2312" w:cs="宋体"/>
          <w:color w:val="000000"/>
          <w:kern w:val="0"/>
          <w:sz w:val="30"/>
          <w:szCs w:val="30"/>
        </w:rPr>
      </w:pPr>
    </w:p>
    <w:p>
      <w:pPr>
        <w:widowControl/>
        <w:spacing w:line="560" w:lineRule="exact"/>
        <w:ind w:firstLine="48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widowControl/>
        <w:spacing w:line="560" w:lineRule="exact"/>
        <w:rPr>
          <w:rFonts w:ascii="仿宋_GB2312" w:hAnsi="宋体" w:eastAsia="仿宋_GB2312" w:cs="宋体"/>
          <w:color w:val="000000"/>
          <w:kern w:val="0"/>
          <w:sz w:val="30"/>
          <w:szCs w:val="30"/>
        </w:rPr>
      </w:pPr>
    </w:p>
    <w:p>
      <w:pPr>
        <w:widowControl/>
        <w:spacing w:line="560" w:lineRule="exact"/>
        <w:ind w:firstLine="480"/>
        <w:jc w:val="right"/>
        <w:outlineLvl w:val="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pPr>
        <w:widowControl/>
        <w:spacing w:line="560" w:lineRule="exact"/>
        <w:ind w:firstLine="48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widowControl/>
        <w:spacing w:line="360" w:lineRule="auto"/>
        <w:ind w:firstLine="480"/>
        <w:jc w:val="right"/>
        <w:rPr>
          <w:rFonts w:ascii="宋体" w:hAnsi="宋体" w:cs="宋体"/>
          <w:color w:val="000000"/>
          <w:kern w:val="0"/>
          <w:sz w:val="24"/>
          <w:szCs w:val="24"/>
        </w:rPr>
      </w:pPr>
    </w:p>
    <w:p>
      <w:pPr>
        <w:spacing w:line="560" w:lineRule="exact"/>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D2193"/>
    <w:multiLevelType w:val="multilevel"/>
    <w:tmpl w:val="13ED2193"/>
    <w:lvl w:ilvl="0" w:tentative="0">
      <w:start w:val="1"/>
      <w:numFmt w:val="bullet"/>
      <w:lvlText w:val=""/>
      <w:lvlJc w:val="left"/>
      <w:pPr>
        <w:ind w:left="2793" w:hanging="1800"/>
      </w:pPr>
      <w:rPr>
        <w:rFonts w:hint="default" w:ascii="Wingdings" w:hAnsi="Wingdings"/>
        <w:b w:val="0"/>
        <w:lang w:val="en-US"/>
      </w:rPr>
    </w:lvl>
    <w:lvl w:ilvl="1" w:tentative="0">
      <w:start w:val="1"/>
      <w:numFmt w:val="lowerLetter"/>
      <w:lvlText w:val="%2)"/>
      <w:lvlJc w:val="left"/>
      <w:pPr>
        <w:ind w:left="3108" w:hanging="420"/>
      </w:pPr>
    </w:lvl>
    <w:lvl w:ilvl="2" w:tentative="0">
      <w:start w:val="1"/>
      <w:numFmt w:val="lowerRoman"/>
      <w:lvlText w:val="%3."/>
      <w:lvlJc w:val="right"/>
      <w:pPr>
        <w:ind w:left="3528" w:hanging="420"/>
      </w:pPr>
    </w:lvl>
    <w:lvl w:ilvl="3" w:tentative="0">
      <w:start w:val="1"/>
      <w:numFmt w:val="decimal"/>
      <w:lvlText w:val="%4."/>
      <w:lvlJc w:val="left"/>
      <w:pPr>
        <w:ind w:left="3948" w:hanging="420"/>
      </w:pPr>
    </w:lvl>
    <w:lvl w:ilvl="4" w:tentative="0">
      <w:start w:val="1"/>
      <w:numFmt w:val="lowerLetter"/>
      <w:lvlText w:val="%5)"/>
      <w:lvlJc w:val="left"/>
      <w:pPr>
        <w:ind w:left="4368" w:hanging="420"/>
      </w:pPr>
    </w:lvl>
    <w:lvl w:ilvl="5" w:tentative="0">
      <w:start w:val="1"/>
      <w:numFmt w:val="lowerRoman"/>
      <w:lvlText w:val="%6."/>
      <w:lvlJc w:val="right"/>
      <w:pPr>
        <w:ind w:left="4788" w:hanging="420"/>
      </w:pPr>
    </w:lvl>
    <w:lvl w:ilvl="6" w:tentative="0">
      <w:start w:val="1"/>
      <w:numFmt w:val="decimal"/>
      <w:lvlText w:val="%7."/>
      <w:lvlJc w:val="left"/>
      <w:pPr>
        <w:ind w:left="5208" w:hanging="420"/>
      </w:pPr>
    </w:lvl>
    <w:lvl w:ilvl="7" w:tentative="0">
      <w:start w:val="1"/>
      <w:numFmt w:val="lowerLetter"/>
      <w:lvlText w:val="%8)"/>
      <w:lvlJc w:val="left"/>
      <w:pPr>
        <w:ind w:left="5628" w:hanging="420"/>
      </w:pPr>
    </w:lvl>
    <w:lvl w:ilvl="8" w:tentative="0">
      <w:start w:val="1"/>
      <w:numFmt w:val="lowerRoman"/>
      <w:lvlText w:val="%9."/>
      <w:lvlJc w:val="right"/>
      <w:pPr>
        <w:ind w:left="60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E0"/>
    <w:rsid w:val="0001294D"/>
    <w:rsid w:val="000325AC"/>
    <w:rsid w:val="000637B2"/>
    <w:rsid w:val="000666B3"/>
    <w:rsid w:val="00071F8E"/>
    <w:rsid w:val="0008296B"/>
    <w:rsid w:val="00095878"/>
    <w:rsid w:val="000963DA"/>
    <w:rsid w:val="000A6EE0"/>
    <w:rsid w:val="000F4423"/>
    <w:rsid w:val="00152BEF"/>
    <w:rsid w:val="001530B9"/>
    <w:rsid w:val="00157F2B"/>
    <w:rsid w:val="00167AC1"/>
    <w:rsid w:val="001A00B6"/>
    <w:rsid w:val="001D3AFC"/>
    <w:rsid w:val="001D49CC"/>
    <w:rsid w:val="002003FB"/>
    <w:rsid w:val="00254CDF"/>
    <w:rsid w:val="00256E60"/>
    <w:rsid w:val="002775CA"/>
    <w:rsid w:val="002946B1"/>
    <w:rsid w:val="002E4BF5"/>
    <w:rsid w:val="002F18A7"/>
    <w:rsid w:val="00314FDE"/>
    <w:rsid w:val="00326740"/>
    <w:rsid w:val="00327C25"/>
    <w:rsid w:val="003465C9"/>
    <w:rsid w:val="00366330"/>
    <w:rsid w:val="00383E38"/>
    <w:rsid w:val="00391A27"/>
    <w:rsid w:val="003D6144"/>
    <w:rsid w:val="00440F35"/>
    <w:rsid w:val="004676F1"/>
    <w:rsid w:val="004F6F7E"/>
    <w:rsid w:val="00506F4E"/>
    <w:rsid w:val="00520004"/>
    <w:rsid w:val="00526348"/>
    <w:rsid w:val="005453DF"/>
    <w:rsid w:val="00555614"/>
    <w:rsid w:val="005573FA"/>
    <w:rsid w:val="0057271D"/>
    <w:rsid w:val="00584586"/>
    <w:rsid w:val="00586A05"/>
    <w:rsid w:val="00590233"/>
    <w:rsid w:val="005A1675"/>
    <w:rsid w:val="005C2CEB"/>
    <w:rsid w:val="005F03C5"/>
    <w:rsid w:val="005F4172"/>
    <w:rsid w:val="0061746B"/>
    <w:rsid w:val="006533DB"/>
    <w:rsid w:val="006658D3"/>
    <w:rsid w:val="00681F53"/>
    <w:rsid w:val="007214DC"/>
    <w:rsid w:val="00724C6D"/>
    <w:rsid w:val="00753292"/>
    <w:rsid w:val="007729E4"/>
    <w:rsid w:val="00783783"/>
    <w:rsid w:val="007B11FF"/>
    <w:rsid w:val="007B2E29"/>
    <w:rsid w:val="007F7679"/>
    <w:rsid w:val="008067FC"/>
    <w:rsid w:val="008402FF"/>
    <w:rsid w:val="008446C2"/>
    <w:rsid w:val="008467CF"/>
    <w:rsid w:val="008479CF"/>
    <w:rsid w:val="00854032"/>
    <w:rsid w:val="008B693E"/>
    <w:rsid w:val="008B6A50"/>
    <w:rsid w:val="008F0E72"/>
    <w:rsid w:val="008F793F"/>
    <w:rsid w:val="009229D0"/>
    <w:rsid w:val="00924C8A"/>
    <w:rsid w:val="009446FC"/>
    <w:rsid w:val="009561EC"/>
    <w:rsid w:val="0097309E"/>
    <w:rsid w:val="009B39D5"/>
    <w:rsid w:val="009C1D76"/>
    <w:rsid w:val="009C5B7F"/>
    <w:rsid w:val="00A061FD"/>
    <w:rsid w:val="00A10FE6"/>
    <w:rsid w:val="00A12FBC"/>
    <w:rsid w:val="00A26966"/>
    <w:rsid w:val="00A40687"/>
    <w:rsid w:val="00A53748"/>
    <w:rsid w:val="00A63DE2"/>
    <w:rsid w:val="00B00BA6"/>
    <w:rsid w:val="00B42D91"/>
    <w:rsid w:val="00B50375"/>
    <w:rsid w:val="00B535D2"/>
    <w:rsid w:val="00B53AA3"/>
    <w:rsid w:val="00B554DE"/>
    <w:rsid w:val="00B63104"/>
    <w:rsid w:val="00B8032D"/>
    <w:rsid w:val="00B85089"/>
    <w:rsid w:val="00BB3927"/>
    <w:rsid w:val="00BE3459"/>
    <w:rsid w:val="00C0754B"/>
    <w:rsid w:val="00C16324"/>
    <w:rsid w:val="00C855B8"/>
    <w:rsid w:val="00CE7F5A"/>
    <w:rsid w:val="00D05AE3"/>
    <w:rsid w:val="00D07B24"/>
    <w:rsid w:val="00D15035"/>
    <w:rsid w:val="00D17603"/>
    <w:rsid w:val="00D62C77"/>
    <w:rsid w:val="00DB20F7"/>
    <w:rsid w:val="00DB6E91"/>
    <w:rsid w:val="00DF78DE"/>
    <w:rsid w:val="00E2122D"/>
    <w:rsid w:val="00E262FE"/>
    <w:rsid w:val="00E33F5A"/>
    <w:rsid w:val="00E57573"/>
    <w:rsid w:val="00E75924"/>
    <w:rsid w:val="00E76F19"/>
    <w:rsid w:val="00E92F09"/>
    <w:rsid w:val="00ED4276"/>
    <w:rsid w:val="00EE3666"/>
    <w:rsid w:val="00EF2CD8"/>
    <w:rsid w:val="00F1339E"/>
    <w:rsid w:val="00F400F1"/>
    <w:rsid w:val="00F60D85"/>
    <w:rsid w:val="00F67042"/>
    <w:rsid w:val="00F7524C"/>
    <w:rsid w:val="00F9137A"/>
    <w:rsid w:val="00FB5FE1"/>
    <w:rsid w:val="00FD7F4A"/>
    <w:rsid w:val="00FF2111"/>
    <w:rsid w:val="49D15E4F"/>
    <w:rsid w:val="4EC97BC6"/>
    <w:rsid w:val="77C1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Balloon Text"/>
    <w:basedOn w:val="1"/>
    <w:link w:val="9"/>
    <w:semiHidden/>
    <w:unhideWhenUsed/>
    <w:qFormat/>
    <w:uiPriority w:val="99"/>
    <w:rPr>
      <w:kern w:val="0"/>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3"/>
    <w:semiHidden/>
    <w:qFormat/>
    <w:uiPriority w:val="99"/>
    <w:rPr>
      <w:sz w:val="18"/>
      <w:szCs w:val="18"/>
    </w:rPr>
  </w:style>
  <w:style w:type="character" w:customStyle="1" w:styleId="10">
    <w:name w:val="页眉 字符"/>
    <w:link w:val="5"/>
    <w:qFormat/>
    <w:uiPriority w:val="99"/>
    <w:rPr>
      <w:sz w:val="18"/>
      <w:szCs w:val="18"/>
    </w:rPr>
  </w:style>
  <w:style w:type="character" w:customStyle="1" w:styleId="11">
    <w:name w:val="页脚 字符"/>
    <w:link w:val="4"/>
    <w:uiPriority w:val="99"/>
    <w:rPr>
      <w:sz w:val="18"/>
      <w:szCs w:val="18"/>
    </w:rPr>
  </w:style>
  <w:style w:type="paragraph" w:styleId="12">
    <w:name w:val="List Paragraph"/>
    <w:basedOn w:val="1"/>
    <w:link w:val="13"/>
    <w:qFormat/>
    <w:uiPriority w:val="0"/>
    <w:pPr>
      <w:ind w:firstLine="420" w:firstLineChars="200"/>
    </w:pPr>
  </w:style>
  <w:style w:type="character" w:customStyle="1" w:styleId="13">
    <w:name w:val="列出段落 字符"/>
    <w:link w:val="12"/>
    <w:uiPriority w:val="0"/>
    <w:rPr>
      <w:rFonts w:ascii="Calibri" w:hAnsi="Calibri" w:eastAsia="宋体" w:cs="Times New Roman"/>
      <w:kern w:val="2"/>
      <w:sz w:val="21"/>
      <w:szCs w:val="22"/>
    </w:rPr>
  </w:style>
  <w:style w:type="character" w:customStyle="1" w:styleId="14">
    <w:name w:val="文档结构图 字符"/>
    <w:link w:val="2"/>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8</Pages>
  <Words>396</Words>
  <Characters>2262</Characters>
  <Lines>18</Lines>
  <Paragraphs>5</Paragraphs>
  <TotalTime>8</TotalTime>
  <ScaleCrop>false</ScaleCrop>
  <LinksUpToDate>false</LinksUpToDate>
  <CharactersWithSpaces>2653</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2022-04-20T12:28:00Z</dcterms:created>
  <dc:creator>whzhou</dc:creator>
  <cp:lastModifiedBy>whzhou</cp:lastModifiedBy>
  <cp:lastPrinted>2021-09-28T01:14:00Z</cp:lastPrinted>
  <dcterms:modified xsi:type="dcterms:W3CDTF">2025-02-12T06:20:51Z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F563475D16BE4A02A0A791C0F2B8B89E_13</vt:lpwstr>
  </property>
</Properties>
</file>