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84718">
      <w:pPr>
        <w:adjustRightInd w:val="0"/>
        <w:snapToGrid w:val="0"/>
        <w:spacing w:line="560" w:lineRule="exact"/>
        <w:jc w:val="center"/>
        <w:rPr>
          <w:rFonts w:ascii="黑体" w:hAnsi="黑体" w:eastAsia="黑体"/>
          <w:sz w:val="36"/>
          <w:szCs w:val="36"/>
        </w:rPr>
      </w:pPr>
      <w:bookmarkStart w:id="1" w:name="_GoBack"/>
      <w:bookmarkEnd w:id="1"/>
      <w:bookmarkStart w:id="0" w:name="_Toc408933484"/>
      <w:r>
        <w:rPr>
          <w:rFonts w:hint="eastAsia" w:ascii="黑体" w:hAnsi="黑体" w:eastAsia="黑体"/>
          <w:b/>
          <w:bCs/>
          <w:sz w:val="36"/>
          <w:szCs w:val="36"/>
        </w:rPr>
        <w:t>第二十八号</w:t>
      </w:r>
      <w:r>
        <w:rPr>
          <w:rFonts w:ascii="黑体" w:hAnsi="黑体" w:eastAsia="黑体"/>
          <w:b/>
          <w:bCs/>
          <w:sz w:val="36"/>
          <w:szCs w:val="36"/>
        </w:rPr>
        <w:t xml:space="preserve"> </w:t>
      </w:r>
      <w:bookmarkEnd w:id="0"/>
      <w:r>
        <w:rPr>
          <w:rFonts w:hint="eastAsia" w:ascii="黑体" w:hAnsi="黑体" w:eastAsia="黑体"/>
          <w:b/>
          <w:bCs/>
          <w:sz w:val="36"/>
          <w:szCs w:val="36"/>
        </w:rPr>
        <w:t>科创板</w:t>
      </w:r>
      <w:r>
        <w:rPr>
          <w:rFonts w:ascii="黑体" w:hAnsi="黑体" w:eastAsia="黑体"/>
          <w:b/>
          <w:bCs/>
          <w:sz w:val="36"/>
          <w:szCs w:val="36"/>
        </w:rPr>
        <w:t>上市公司</w:t>
      </w:r>
      <w:r>
        <w:rPr>
          <w:rFonts w:hint="eastAsia" w:ascii="黑体" w:hAnsi="黑体" w:eastAsia="黑体"/>
          <w:b/>
          <w:bCs/>
          <w:sz w:val="36"/>
          <w:szCs w:val="36"/>
        </w:rPr>
        <w:t>季度报告</w:t>
      </w:r>
    </w:p>
    <w:p w14:paraId="2045B481">
      <w:pPr>
        <w:widowControl/>
        <w:spacing w:line="360" w:lineRule="auto"/>
        <w:jc w:val="left"/>
        <w:rPr>
          <w:rFonts w:ascii="宋体" w:hAnsi="宋体" w:cs="宋体"/>
          <w:color w:val="000000"/>
          <w:kern w:val="0"/>
          <w:sz w:val="24"/>
          <w:szCs w:val="24"/>
        </w:rPr>
      </w:pPr>
    </w:p>
    <w:p w14:paraId="4ACBFADA">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8AABBC2">
      <w:pPr>
        <w:widowControl/>
        <w:spacing w:line="360" w:lineRule="auto"/>
        <w:ind w:firstLine="480"/>
        <w:jc w:val="left"/>
        <w:rPr>
          <w:rFonts w:ascii="宋体" w:hAnsi="宋体" w:cs="宋体"/>
          <w:color w:val="000000"/>
          <w:kern w:val="0"/>
          <w:sz w:val="24"/>
          <w:szCs w:val="24"/>
        </w:rPr>
      </w:pPr>
    </w:p>
    <w:p w14:paraId="6B57CC82">
      <w:pPr>
        <w:adjustRightInd w:val="0"/>
        <w:snapToGrid w:val="0"/>
        <w:spacing w:line="360" w:lineRule="auto"/>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股份有限公司</w:t>
      </w:r>
    </w:p>
    <w:p w14:paraId="4C79212A">
      <w:pPr>
        <w:adjustRightInd w:val="0"/>
        <w:snapToGrid w:val="0"/>
        <w:spacing w:line="360" w:lineRule="auto"/>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年第</w:t>
      </w:r>
      <w:r>
        <w:rPr>
          <w:rFonts w:ascii="仿宋_GB2312" w:hAnsi="宋体" w:eastAsia="仿宋_GB2312"/>
          <w:sz w:val="30"/>
          <w:szCs w:val="30"/>
        </w:rPr>
        <w:t>X</w:t>
      </w:r>
      <w:r>
        <w:rPr>
          <w:rFonts w:hint="eastAsia" w:ascii="仿宋_GB2312" w:hAnsi="宋体" w:eastAsia="仿宋_GB2312"/>
          <w:sz w:val="30"/>
          <w:szCs w:val="30"/>
        </w:rPr>
        <w:t>季度报告</w:t>
      </w:r>
    </w:p>
    <w:p w14:paraId="3351AA68">
      <w:pPr>
        <w:pBdr>
          <w:top w:val="single" w:color="auto" w:sz="4" w:space="1"/>
          <w:left w:val="single" w:color="auto" w:sz="4" w:space="4"/>
          <w:bottom w:val="single" w:color="auto" w:sz="4" w:space="1"/>
          <w:right w:val="single" w:color="auto" w:sz="4" w:space="4"/>
        </w:pBdr>
        <w:adjustRightInd w:val="0"/>
        <w:snapToGrid w:val="0"/>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308CCDA3">
      <w:pPr>
        <w:pBdr>
          <w:top w:val="single" w:color="auto" w:sz="4" w:space="1"/>
          <w:left w:val="single" w:color="auto" w:sz="4" w:space="4"/>
          <w:bottom w:val="single" w:color="auto" w:sz="4" w:space="1"/>
          <w:right w:val="single" w:color="auto" w:sz="4" w:space="4"/>
        </w:pBdr>
        <w:adjustRightInd w:val="0"/>
        <w:snapToGrid w:val="0"/>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如有董事对公告内容的真实性、准确性和完整性无法保证或存在异议的，公司应当在公告中作特别提示。</w:t>
      </w:r>
    </w:p>
    <w:p w14:paraId="4E910663">
      <w:pPr>
        <w:adjustRightInd w:val="0"/>
        <w:snapToGrid w:val="0"/>
        <w:spacing w:line="360" w:lineRule="auto"/>
        <w:ind w:firstLine="600" w:firstLineChars="200"/>
        <w:rPr>
          <w:rFonts w:ascii="仿宋_GB2312" w:hAnsi="宋体" w:eastAsia="仿宋_GB2312"/>
          <w:sz w:val="30"/>
          <w:szCs w:val="30"/>
        </w:rPr>
      </w:pPr>
    </w:p>
    <w:p w14:paraId="799A9493">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重要内容提示：</w:t>
      </w:r>
    </w:p>
    <w:p w14:paraId="70BD0D15">
      <w:pPr>
        <w:numPr>
          <w:ilvl w:val="0"/>
          <w:numId w:val="1"/>
        </w:numPr>
        <w:tabs>
          <w:tab w:val="left" w:pos="420"/>
        </w:tabs>
        <w:adjustRightInd w:val="0"/>
        <w:snapToGrid w:val="0"/>
        <w:spacing w:line="360" w:lineRule="auto"/>
        <w:ind w:left="0" w:firstLine="600" w:firstLineChars="200"/>
        <w:rPr>
          <w:rFonts w:ascii="仿宋_GB2312" w:hAnsi="宋体" w:eastAsia="仿宋_GB2312"/>
          <w:sz w:val="30"/>
          <w:szCs w:val="30"/>
        </w:rPr>
      </w:pPr>
      <w:r>
        <w:rPr>
          <w:rFonts w:ascii="仿宋_GB2312" w:hAnsi="宋体" w:eastAsia="仿宋_GB2312"/>
          <w:sz w:val="30"/>
          <w:szCs w:val="30"/>
        </w:rPr>
        <w:t>公司</w:t>
      </w:r>
      <w:r>
        <w:rPr>
          <w:rFonts w:hint="eastAsia" w:ascii="仿宋_GB2312" w:hAnsi="宋体" w:eastAsia="仿宋_GB2312"/>
          <w:sz w:val="30"/>
          <w:szCs w:val="30"/>
        </w:rPr>
        <w:t>董事会及</w:t>
      </w:r>
      <w:r>
        <w:rPr>
          <w:rFonts w:ascii="仿宋_GB2312" w:hAnsi="宋体" w:eastAsia="仿宋_GB2312"/>
          <w:sz w:val="30"/>
          <w:szCs w:val="30"/>
        </w:rPr>
        <w:t>董事、高级管理人员</w:t>
      </w:r>
      <w:r>
        <w:rPr>
          <w:rFonts w:hint="eastAsia" w:ascii="仿宋_GB2312" w:hAnsi="宋体" w:eastAsia="仿宋_GB2312"/>
          <w:sz w:val="30"/>
          <w:szCs w:val="30"/>
        </w:rPr>
        <w:t>(或除</w:t>
      </w:r>
      <w:r>
        <w:rPr>
          <w:rFonts w:ascii="仿宋_GB2312" w:hAnsi="宋体" w:eastAsia="仿宋_GB2312"/>
          <w:sz w:val="30"/>
          <w:szCs w:val="30"/>
        </w:rPr>
        <w:t>XXX</w:t>
      </w:r>
      <w:r>
        <w:rPr>
          <w:rFonts w:hint="eastAsia" w:ascii="仿宋_GB2312" w:hAnsi="宋体" w:eastAsia="仿宋_GB2312"/>
          <w:sz w:val="30"/>
          <w:szCs w:val="30"/>
        </w:rPr>
        <w:t>外的董事、高级管理人员)</w:t>
      </w:r>
      <w:r>
        <w:rPr>
          <w:rFonts w:ascii="仿宋_GB2312" w:hAnsi="宋体" w:eastAsia="仿宋_GB2312"/>
          <w:sz w:val="30"/>
          <w:szCs w:val="30"/>
        </w:rPr>
        <w:t>保证</w:t>
      </w:r>
      <w:r>
        <w:rPr>
          <w:rFonts w:hint="eastAsia" w:ascii="仿宋_GB2312" w:hAnsi="宋体" w:eastAsia="仿宋_GB2312"/>
          <w:sz w:val="30"/>
          <w:szCs w:val="30"/>
        </w:rPr>
        <w:t>季度</w:t>
      </w:r>
      <w:r>
        <w:rPr>
          <w:rFonts w:ascii="仿宋_GB2312" w:hAnsi="宋体" w:eastAsia="仿宋_GB2312"/>
          <w:sz w:val="30"/>
          <w:szCs w:val="30"/>
        </w:rPr>
        <w:t>报告内容的真实、准确、完整，不存在虚假记载、误导性陈述或重大遗漏，并承担个别和连带的法律责任。</w:t>
      </w:r>
      <w:r>
        <w:rPr>
          <w:rFonts w:hint="eastAsia" w:ascii="仿宋_GB2312" w:hAnsi="宋体" w:eastAsia="仿宋_GB2312"/>
          <w:sz w:val="30"/>
          <w:szCs w:val="30"/>
        </w:rPr>
        <w:t>董事</w:t>
      </w:r>
      <w:r>
        <w:rPr>
          <w:rFonts w:ascii="仿宋_GB2312" w:hAnsi="宋体" w:eastAsia="仿宋_GB2312"/>
          <w:sz w:val="30"/>
          <w:szCs w:val="30"/>
        </w:rPr>
        <w:t>/高级管理人员XXX</w:t>
      </w:r>
      <w:r>
        <w:rPr>
          <w:rFonts w:hint="eastAsia" w:ascii="仿宋_GB2312" w:hAnsi="宋体" w:eastAsia="仿宋_GB2312"/>
          <w:sz w:val="30"/>
          <w:szCs w:val="30"/>
        </w:rPr>
        <w:t>因</w:t>
      </w:r>
      <w:r>
        <w:rPr>
          <w:rFonts w:ascii="仿宋_GB2312" w:hAnsi="宋体" w:eastAsia="仿宋_GB2312"/>
          <w:sz w:val="30"/>
          <w:szCs w:val="30"/>
        </w:rPr>
        <w:t>____</w:t>
      </w:r>
      <w:r>
        <w:rPr>
          <w:rFonts w:hint="eastAsia" w:ascii="仿宋_GB2312" w:hAnsi="宋体" w:eastAsia="仿宋_GB2312"/>
          <w:sz w:val="30"/>
          <w:szCs w:val="30"/>
        </w:rPr>
        <w:t>无法保证季度报告内容的真实、准确、完整，请投资者特别关注（如适用）。</w:t>
      </w:r>
    </w:p>
    <w:p w14:paraId="2A9DC6D8">
      <w:pPr>
        <w:numPr>
          <w:ilvl w:val="0"/>
          <w:numId w:val="1"/>
        </w:numPr>
        <w:tabs>
          <w:tab w:val="left" w:pos="420"/>
        </w:tabs>
        <w:adjustRightInd w:val="0"/>
        <w:snapToGrid w:val="0"/>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公</w:t>
      </w:r>
      <w:r>
        <w:rPr>
          <w:rFonts w:ascii="仿宋_GB2312" w:hAnsi="宋体" w:eastAsia="仿宋_GB2312"/>
          <w:sz w:val="30"/>
          <w:szCs w:val="30"/>
        </w:rPr>
        <w:t>司负责人、主管会计工作负责人及会计机构负责人（会计主管人员）保证季度报告中</w:t>
      </w:r>
      <w:r>
        <w:rPr>
          <w:rFonts w:hint="eastAsia" w:ascii="仿宋_GB2312" w:hAnsi="宋体" w:eastAsia="仿宋_GB2312"/>
          <w:sz w:val="30"/>
          <w:szCs w:val="30"/>
        </w:rPr>
        <w:t>财务信息</w:t>
      </w:r>
      <w:r>
        <w:rPr>
          <w:rFonts w:ascii="仿宋_GB2312" w:hAnsi="宋体" w:eastAsia="仿宋_GB2312"/>
          <w:sz w:val="30"/>
          <w:szCs w:val="30"/>
        </w:rPr>
        <w:t>的真实、准确、完整。</w:t>
      </w:r>
    </w:p>
    <w:p w14:paraId="5C30BF80">
      <w:pPr>
        <w:numPr>
          <w:ilvl w:val="0"/>
          <w:numId w:val="1"/>
        </w:numPr>
        <w:tabs>
          <w:tab w:val="left" w:pos="420"/>
        </w:tabs>
        <w:adjustRightInd w:val="0"/>
        <w:snapToGrid w:val="0"/>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（第一季度、第三季度）财务报表是否经审计：○是  ○否</w:t>
      </w:r>
    </w:p>
    <w:p w14:paraId="249ADED8">
      <w:pPr>
        <w:numPr>
          <w:ilvl w:val="0"/>
          <w:numId w:val="1"/>
        </w:numPr>
        <w:tabs>
          <w:tab w:val="left" w:pos="420"/>
        </w:tabs>
        <w:adjustRightInd w:val="0"/>
        <w:snapToGrid w:val="0"/>
        <w:spacing w:line="360" w:lineRule="auto"/>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审计师发表非标意见的事项（如适用）。</w:t>
      </w:r>
    </w:p>
    <w:p w14:paraId="0BC453F7">
      <w:pPr>
        <w:adjustRightInd w:val="0"/>
        <w:snapToGrid w:val="0"/>
        <w:spacing w:line="360" w:lineRule="auto"/>
        <w:ind w:left="600"/>
        <w:rPr>
          <w:rFonts w:ascii="仿宋_GB2312" w:hAnsi="宋体" w:eastAsia="仿宋_GB2312"/>
          <w:sz w:val="30"/>
          <w:szCs w:val="30"/>
        </w:rPr>
      </w:pPr>
    </w:p>
    <w:p w14:paraId="0D3EDA0B">
      <w:pPr>
        <w:adjustRightInd w:val="0"/>
        <w:snapToGrid w:val="0"/>
        <w:spacing w:line="360" w:lineRule="auto"/>
        <w:ind w:firstLine="602" w:firstLineChars="200"/>
        <w:rPr>
          <w:rFonts w:ascii="仿宋_GB2312" w:hAnsi="宋体" w:eastAsia="仿宋_GB2312"/>
          <w:b/>
          <w:sz w:val="30"/>
          <w:szCs w:val="30"/>
        </w:rPr>
      </w:pPr>
      <w:r>
        <w:rPr>
          <w:rFonts w:hint="eastAsia" w:ascii="仿宋_GB2312" w:hAnsi="宋体" w:eastAsia="仿宋_GB2312"/>
          <w:b/>
          <w:sz w:val="30"/>
          <w:szCs w:val="30"/>
        </w:rPr>
        <w:t>一、主要财务数据</w:t>
      </w:r>
    </w:p>
    <w:p w14:paraId="39447611">
      <w:pPr>
        <w:autoSpaceDE w:val="0"/>
        <w:autoSpaceDN w:val="0"/>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color w:val="000000"/>
          <w:kern w:val="0"/>
          <w:sz w:val="30"/>
          <w:szCs w:val="30"/>
        </w:rPr>
        <w:t>（一）</w:t>
      </w:r>
      <w:r>
        <w:rPr>
          <w:rFonts w:hint="eastAsia" w:ascii="仿宋_GB2312" w:hAnsi="宋体" w:eastAsia="仿宋_GB2312" w:cs="宋体"/>
          <w:kern w:val="0"/>
          <w:sz w:val="30"/>
          <w:szCs w:val="30"/>
        </w:rPr>
        <w:t>主要会计数据和财务指标</w:t>
      </w:r>
    </w:p>
    <w:p w14:paraId="36797DD9">
      <w:pPr>
        <w:adjustRightInd w:val="0"/>
        <w:snapToGrid w:val="0"/>
        <w:spacing w:line="360" w:lineRule="auto"/>
        <w:ind w:firstLine="480" w:firstLineChars="200"/>
        <w:rPr>
          <w:rFonts w:ascii="仿宋_GB2312" w:hAnsi="宋体" w:eastAsia="仿宋_GB2312" w:cs="宋体"/>
          <w:kern w:val="0"/>
          <w:sz w:val="24"/>
        </w:rPr>
      </w:pPr>
      <w:r>
        <w:rPr>
          <w:rFonts w:hint="eastAsia" w:ascii="宋体" w:hAnsi="宋体"/>
          <w:sz w:val="24"/>
        </w:rPr>
        <w:t xml:space="preserve">                                                      </w:t>
      </w:r>
      <w:r>
        <w:rPr>
          <w:rFonts w:hint="eastAsia" w:ascii="仿宋_GB2312" w:hAnsi="宋体" w:eastAsia="仿宋_GB2312" w:cs="宋体"/>
          <w:kern w:val="0"/>
          <w:sz w:val="24"/>
        </w:rPr>
        <w:t xml:space="preserve">单位：    </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559"/>
        <w:gridCol w:w="1701"/>
        <w:gridCol w:w="1560"/>
        <w:gridCol w:w="1751"/>
      </w:tblGrid>
      <w:tr w14:paraId="3C8D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45214F86">
            <w:pPr>
              <w:spacing w:line="360" w:lineRule="exact"/>
              <w:rPr>
                <w:rFonts w:ascii="仿宋_GB2312" w:hAnsi="宋体" w:eastAsia="仿宋_GB2312"/>
                <w:sz w:val="24"/>
                <w:szCs w:val="24"/>
              </w:rPr>
            </w:pPr>
            <w:r>
              <w:rPr>
                <w:rFonts w:hint="eastAsia" w:ascii="仿宋_GB2312" w:hAnsi="宋体" w:eastAsia="仿宋_GB2312"/>
                <w:sz w:val="24"/>
                <w:szCs w:val="24"/>
              </w:rPr>
              <w:t>项目</w:t>
            </w:r>
          </w:p>
        </w:tc>
        <w:tc>
          <w:tcPr>
            <w:tcW w:w="155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109AFB75">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本报告期</w:t>
            </w:r>
          </w:p>
        </w:tc>
        <w:tc>
          <w:tcPr>
            <w:tcW w:w="170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6B6008E2">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本报告期比上年同期增减变动幅度(%)</w:t>
            </w:r>
          </w:p>
        </w:tc>
        <w:tc>
          <w:tcPr>
            <w:tcW w:w="156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56C152B9">
            <w:pPr>
              <w:spacing w:line="360" w:lineRule="exact"/>
              <w:jc w:val="center"/>
              <w:rPr>
                <w:rFonts w:ascii="仿宋_GB2312" w:hAnsi="宋体" w:eastAsia="仿宋_GB2312"/>
                <w:sz w:val="24"/>
                <w:szCs w:val="24"/>
              </w:rPr>
            </w:pPr>
            <w:r>
              <w:rPr>
                <w:rFonts w:hint="eastAsia" w:ascii="仿宋_GB2312" w:hAnsi="宋体" w:eastAsia="仿宋_GB2312"/>
                <w:sz w:val="24"/>
                <w:szCs w:val="24"/>
              </w:rPr>
              <w:t>年初至报告期末</w:t>
            </w:r>
          </w:p>
        </w:tc>
        <w:tc>
          <w:tcPr>
            <w:tcW w:w="17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30BFC6D4">
            <w:pPr>
              <w:spacing w:line="360" w:lineRule="exact"/>
              <w:jc w:val="center"/>
              <w:rPr>
                <w:rFonts w:ascii="仿宋_GB2312" w:hAnsi="宋体" w:eastAsia="仿宋_GB2312"/>
                <w:sz w:val="24"/>
                <w:szCs w:val="24"/>
              </w:rPr>
            </w:pPr>
            <w:r>
              <w:rPr>
                <w:rFonts w:hint="eastAsia" w:ascii="仿宋_GB2312" w:hAnsi="宋体" w:eastAsia="仿宋_GB2312"/>
                <w:sz w:val="24"/>
                <w:szCs w:val="24"/>
              </w:rPr>
              <w:t>年初至报告期末比上年同期增减变动幅度（％）</w:t>
            </w:r>
          </w:p>
        </w:tc>
      </w:tr>
      <w:tr w14:paraId="7435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62379D9A">
            <w:pPr>
              <w:spacing w:line="360" w:lineRule="exact"/>
              <w:rPr>
                <w:rFonts w:ascii="仿宋_GB2312" w:hAnsi="宋体" w:eastAsia="仿宋_GB2312"/>
                <w:sz w:val="24"/>
                <w:szCs w:val="24"/>
              </w:rPr>
            </w:pPr>
            <w:r>
              <w:rPr>
                <w:rFonts w:hint="eastAsia" w:ascii="仿宋_GB2312" w:hAnsi="宋体" w:eastAsia="仿宋_GB2312"/>
                <w:sz w:val="24"/>
                <w:szCs w:val="24"/>
              </w:rPr>
              <w:t>营业收入</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8AE9112">
            <w:pPr>
              <w:spacing w:line="3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500E0AB">
            <w:pPr>
              <w:spacing w:line="3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4BE3B87">
            <w:pPr>
              <w:spacing w:line="3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78D7C79C">
            <w:pPr>
              <w:spacing w:line="360" w:lineRule="exact"/>
              <w:jc w:val="center"/>
              <w:rPr>
                <w:rFonts w:ascii="仿宋_GB2312" w:hAnsi="宋体" w:eastAsia="仿宋_GB2312"/>
                <w:sz w:val="24"/>
                <w:szCs w:val="24"/>
              </w:rPr>
            </w:pPr>
          </w:p>
        </w:tc>
      </w:tr>
      <w:tr w14:paraId="2DF8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7F312A20">
            <w:pPr>
              <w:spacing w:line="360" w:lineRule="exact"/>
              <w:rPr>
                <w:rFonts w:ascii="仿宋_GB2312" w:hAnsi="宋体" w:eastAsia="仿宋_GB2312"/>
                <w:sz w:val="24"/>
                <w:szCs w:val="24"/>
              </w:rPr>
            </w:pPr>
            <w:r>
              <w:rPr>
                <w:rFonts w:hint="eastAsia" w:ascii="仿宋_GB2312" w:hAnsi="宋体" w:eastAsia="仿宋_GB2312"/>
                <w:sz w:val="24"/>
                <w:szCs w:val="24"/>
              </w:rPr>
              <w:t>归属于上市公司股东的净利润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CD0367">
            <w:pPr>
              <w:spacing w:line="3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15B0D44">
            <w:pPr>
              <w:spacing w:line="3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599E17A">
            <w:pPr>
              <w:spacing w:line="3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6440E88A">
            <w:pPr>
              <w:spacing w:line="360" w:lineRule="exact"/>
              <w:jc w:val="center"/>
              <w:rPr>
                <w:rFonts w:ascii="仿宋_GB2312" w:hAnsi="宋体" w:eastAsia="仿宋_GB2312"/>
                <w:sz w:val="24"/>
                <w:szCs w:val="24"/>
              </w:rPr>
            </w:pPr>
          </w:p>
        </w:tc>
      </w:tr>
      <w:tr w14:paraId="6448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6E61FBB5">
            <w:pPr>
              <w:spacing w:line="360" w:lineRule="exact"/>
              <w:rPr>
                <w:rFonts w:ascii="仿宋_GB2312" w:hAnsi="宋体" w:eastAsia="仿宋_GB2312"/>
                <w:sz w:val="24"/>
                <w:szCs w:val="24"/>
              </w:rPr>
            </w:pPr>
            <w:r>
              <w:rPr>
                <w:rFonts w:hint="eastAsia" w:ascii="仿宋_GB2312" w:hAnsi="宋体" w:eastAsia="仿宋_GB2312"/>
                <w:sz w:val="24"/>
                <w:szCs w:val="24"/>
              </w:rPr>
              <w:t>归属于上市公司股东的扣除非经常性损益的净利润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539D786">
            <w:pPr>
              <w:spacing w:line="3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0E1E08">
            <w:pPr>
              <w:spacing w:line="3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2431339">
            <w:pPr>
              <w:spacing w:line="3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5D2CF627">
            <w:pPr>
              <w:spacing w:line="360" w:lineRule="exact"/>
              <w:jc w:val="center"/>
              <w:rPr>
                <w:rFonts w:ascii="仿宋_GB2312" w:hAnsi="宋体" w:eastAsia="仿宋_GB2312"/>
                <w:sz w:val="24"/>
                <w:szCs w:val="24"/>
              </w:rPr>
            </w:pPr>
          </w:p>
        </w:tc>
      </w:tr>
      <w:tr w14:paraId="71B1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088AFDBD">
            <w:pPr>
              <w:spacing w:line="360" w:lineRule="exact"/>
              <w:rPr>
                <w:rFonts w:ascii="仿宋_GB2312" w:hAnsi="宋体" w:eastAsia="仿宋_GB2312"/>
                <w:sz w:val="24"/>
                <w:szCs w:val="24"/>
              </w:rPr>
            </w:pPr>
            <w:r>
              <w:rPr>
                <w:rFonts w:hint="eastAsia" w:ascii="仿宋_GB2312" w:hAnsi="宋体" w:eastAsia="仿宋_GB2312"/>
                <w:sz w:val="24"/>
                <w:szCs w:val="24"/>
              </w:rPr>
              <w:t>经营活动产生的现金流量净额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1FDE008">
            <w:pPr>
              <w:spacing w:line="360" w:lineRule="exact"/>
              <w:jc w:val="center"/>
              <w:rPr>
                <w:rFonts w:ascii="仿宋_GB2312" w:hAnsi="宋体" w:eastAsia="仿宋_GB2312"/>
                <w:sz w:val="24"/>
                <w:szCs w:val="24"/>
                <w:highlight w:val="yellow"/>
              </w:rPr>
            </w:pPr>
            <w:r>
              <w:rPr>
                <w:rFonts w:hint="eastAsia" w:ascii="仿宋_GB2312" w:hAnsi="宋体" w:eastAsia="仿宋_GB2312"/>
                <w:sz w:val="24"/>
                <w:szCs w:val="24"/>
              </w:rPr>
              <w:t>不适用</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1D30E3">
            <w:pPr>
              <w:spacing w:line="360" w:lineRule="exact"/>
              <w:jc w:val="center"/>
              <w:rPr>
                <w:rFonts w:ascii="仿宋_GB2312" w:hAnsi="宋体" w:eastAsia="仿宋_GB2312"/>
                <w:sz w:val="24"/>
                <w:szCs w:val="24"/>
              </w:rPr>
            </w:pPr>
            <w:r>
              <w:rPr>
                <w:rFonts w:hint="eastAsia" w:ascii="仿宋_GB2312" w:hAnsi="宋体" w:eastAsia="仿宋_GB2312"/>
                <w:sz w:val="24"/>
                <w:szCs w:val="24"/>
              </w:rPr>
              <w:t>不适用</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DF5B197">
            <w:pPr>
              <w:spacing w:line="3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417CE8ED">
            <w:pPr>
              <w:spacing w:line="360" w:lineRule="exact"/>
              <w:jc w:val="center"/>
              <w:rPr>
                <w:rFonts w:ascii="仿宋_GB2312" w:hAnsi="宋体" w:eastAsia="仿宋_GB2312"/>
                <w:sz w:val="24"/>
                <w:szCs w:val="24"/>
              </w:rPr>
            </w:pPr>
          </w:p>
        </w:tc>
      </w:tr>
      <w:tr w14:paraId="64A9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118717BD">
            <w:pPr>
              <w:spacing w:line="360" w:lineRule="exact"/>
              <w:rPr>
                <w:rFonts w:ascii="仿宋_GB2312" w:hAnsi="宋体" w:eastAsia="仿宋_GB2312"/>
                <w:sz w:val="24"/>
                <w:szCs w:val="24"/>
              </w:rPr>
            </w:pPr>
            <w:r>
              <w:rPr>
                <w:rFonts w:hint="eastAsia" w:ascii="仿宋_GB2312" w:hAnsi="宋体" w:eastAsia="仿宋_GB2312"/>
                <w:sz w:val="24"/>
                <w:szCs w:val="24"/>
              </w:rPr>
              <w:t>基本每股收益（元/股）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940C29">
            <w:pPr>
              <w:spacing w:line="3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4B624B">
            <w:pPr>
              <w:spacing w:line="3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66A85DE">
            <w:pPr>
              <w:spacing w:line="3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20DBCDDC">
            <w:pPr>
              <w:spacing w:line="360" w:lineRule="exact"/>
              <w:jc w:val="center"/>
              <w:rPr>
                <w:rFonts w:ascii="仿宋_GB2312" w:hAnsi="宋体" w:eastAsia="仿宋_GB2312"/>
                <w:sz w:val="24"/>
                <w:szCs w:val="24"/>
              </w:rPr>
            </w:pPr>
          </w:p>
        </w:tc>
      </w:tr>
      <w:tr w14:paraId="2501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7E1DB246">
            <w:pPr>
              <w:spacing w:line="360" w:lineRule="exact"/>
              <w:rPr>
                <w:rFonts w:ascii="仿宋_GB2312" w:hAnsi="宋体" w:eastAsia="仿宋_GB2312"/>
                <w:sz w:val="24"/>
                <w:szCs w:val="24"/>
              </w:rPr>
            </w:pPr>
            <w:r>
              <w:rPr>
                <w:rFonts w:hint="eastAsia" w:ascii="仿宋_GB2312" w:hAnsi="宋体" w:eastAsia="仿宋_GB2312"/>
                <w:sz w:val="24"/>
                <w:szCs w:val="24"/>
              </w:rPr>
              <w:t>稀释每股收益（元/股）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980CE33">
            <w:pPr>
              <w:spacing w:line="3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CEA8D4">
            <w:pPr>
              <w:spacing w:line="3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C2CEDC2">
            <w:pPr>
              <w:spacing w:line="3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215C9E88">
            <w:pPr>
              <w:spacing w:line="360" w:lineRule="exact"/>
              <w:jc w:val="center"/>
              <w:rPr>
                <w:rFonts w:ascii="仿宋_GB2312" w:hAnsi="宋体" w:eastAsia="仿宋_GB2312"/>
                <w:sz w:val="24"/>
                <w:szCs w:val="24"/>
              </w:rPr>
            </w:pPr>
          </w:p>
        </w:tc>
      </w:tr>
      <w:tr w14:paraId="31F7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14867A7D">
            <w:pPr>
              <w:spacing w:line="360" w:lineRule="exact"/>
              <w:rPr>
                <w:rFonts w:ascii="仿宋_GB2312" w:hAnsi="宋体" w:eastAsia="仿宋_GB2312"/>
                <w:sz w:val="24"/>
                <w:szCs w:val="24"/>
              </w:rPr>
            </w:pPr>
            <w:r>
              <w:rPr>
                <w:rFonts w:hint="eastAsia" w:ascii="仿宋_GB2312" w:hAnsi="宋体" w:eastAsia="仿宋_GB2312"/>
                <w:sz w:val="24"/>
                <w:szCs w:val="24"/>
              </w:rPr>
              <w:t>加权平均净资产收益率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384E0AE">
            <w:pPr>
              <w:spacing w:line="3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17DAB4">
            <w:pPr>
              <w:spacing w:line="3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EDB2AD7">
            <w:pPr>
              <w:spacing w:line="3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77A54E12">
            <w:pPr>
              <w:spacing w:line="360" w:lineRule="exact"/>
              <w:jc w:val="center"/>
              <w:rPr>
                <w:rFonts w:ascii="仿宋_GB2312" w:hAnsi="宋体" w:eastAsia="仿宋_GB2312"/>
                <w:sz w:val="24"/>
                <w:szCs w:val="24"/>
              </w:rPr>
            </w:pPr>
          </w:p>
        </w:tc>
      </w:tr>
      <w:tr w14:paraId="77B6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5E3C762B">
            <w:pPr>
              <w:spacing w:line="360" w:lineRule="exact"/>
              <w:rPr>
                <w:rFonts w:ascii="仿宋_GB2312" w:hAnsi="宋体"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25563AFE">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本报告期末</w:t>
            </w:r>
          </w:p>
        </w:tc>
        <w:tc>
          <w:tcPr>
            <w:tcW w:w="3261"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62AD8AB2">
            <w:pPr>
              <w:spacing w:line="360" w:lineRule="exact"/>
              <w:jc w:val="center"/>
              <w:rPr>
                <w:rFonts w:ascii="仿宋_GB2312" w:hAnsi="宋体" w:eastAsia="仿宋_GB2312"/>
                <w:sz w:val="24"/>
                <w:szCs w:val="24"/>
              </w:rPr>
            </w:pPr>
            <w:r>
              <w:rPr>
                <w:rFonts w:hint="eastAsia" w:ascii="仿宋_GB2312" w:hAnsi="宋体" w:eastAsia="仿宋_GB2312"/>
                <w:sz w:val="24"/>
                <w:szCs w:val="24"/>
              </w:rPr>
              <w:t>上年度末</w:t>
            </w:r>
          </w:p>
        </w:tc>
        <w:tc>
          <w:tcPr>
            <w:tcW w:w="17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28F461CB">
            <w:pPr>
              <w:spacing w:line="360" w:lineRule="exact"/>
              <w:jc w:val="center"/>
              <w:rPr>
                <w:rFonts w:ascii="仿宋_GB2312" w:hAnsi="宋体" w:eastAsia="仿宋_GB2312"/>
                <w:sz w:val="24"/>
                <w:szCs w:val="24"/>
              </w:rPr>
            </w:pPr>
            <w:r>
              <w:rPr>
                <w:rFonts w:hint="eastAsia" w:ascii="仿宋_GB2312" w:hAnsi="宋体" w:eastAsia="仿宋_GB2312"/>
                <w:sz w:val="24"/>
                <w:szCs w:val="24"/>
              </w:rPr>
              <w:t>本报告期末比上年度末增减变动幅度（％）</w:t>
            </w:r>
          </w:p>
        </w:tc>
      </w:tr>
      <w:tr w14:paraId="434D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41E3FB11">
            <w:pPr>
              <w:spacing w:line="360" w:lineRule="exact"/>
              <w:rPr>
                <w:rFonts w:ascii="仿宋_GB2312" w:hAnsi="宋体" w:eastAsia="仿宋_GB2312"/>
                <w:sz w:val="24"/>
                <w:szCs w:val="24"/>
              </w:rPr>
            </w:pPr>
            <w:r>
              <w:rPr>
                <w:rFonts w:hint="eastAsia" w:ascii="仿宋_GB2312" w:hAnsi="宋体" w:eastAsia="仿宋_GB2312"/>
                <w:sz w:val="24"/>
                <w:szCs w:val="24"/>
              </w:rPr>
              <w:t>总资产</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744FC3B9">
            <w:pPr>
              <w:spacing w:line="360" w:lineRule="exact"/>
              <w:rPr>
                <w:rFonts w:ascii="仿宋_GB2312" w:hAnsi="宋体" w:eastAsia="仿宋_GB2312"/>
                <w:sz w:val="24"/>
                <w:szCs w:val="24"/>
              </w:rPr>
            </w:pP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14:paraId="4043FE4D">
            <w:pPr>
              <w:spacing w:line="360" w:lineRule="exact"/>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587FCF05">
            <w:pPr>
              <w:spacing w:line="360" w:lineRule="exact"/>
              <w:rPr>
                <w:rFonts w:ascii="仿宋_GB2312" w:hAnsi="宋体" w:eastAsia="仿宋_GB2312"/>
                <w:sz w:val="24"/>
                <w:szCs w:val="24"/>
              </w:rPr>
            </w:pPr>
          </w:p>
        </w:tc>
      </w:tr>
      <w:tr w14:paraId="465A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334521A1">
            <w:pPr>
              <w:spacing w:line="360" w:lineRule="exact"/>
              <w:rPr>
                <w:rFonts w:ascii="仿宋_GB2312" w:hAnsi="宋体" w:eastAsia="仿宋_GB2312"/>
                <w:sz w:val="24"/>
                <w:szCs w:val="24"/>
              </w:rPr>
            </w:pPr>
            <w:r>
              <w:rPr>
                <w:rFonts w:hint="eastAsia" w:ascii="仿宋_GB2312" w:hAnsi="宋体" w:eastAsia="仿宋_GB2312"/>
                <w:sz w:val="24"/>
                <w:szCs w:val="24"/>
              </w:rPr>
              <w:t>归属于上市公司股东的所有者权益</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6BDFBE07">
            <w:pPr>
              <w:spacing w:line="360" w:lineRule="exact"/>
              <w:rPr>
                <w:rFonts w:ascii="仿宋_GB2312" w:hAnsi="宋体" w:eastAsia="仿宋_GB2312"/>
                <w:sz w:val="24"/>
                <w:szCs w:val="24"/>
              </w:rPr>
            </w:pP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14:paraId="521DCDE6">
            <w:pPr>
              <w:spacing w:line="360" w:lineRule="exact"/>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14:paraId="083F89C8">
            <w:pPr>
              <w:spacing w:line="360" w:lineRule="exact"/>
              <w:rPr>
                <w:rFonts w:ascii="仿宋_GB2312" w:hAnsi="宋体" w:eastAsia="仿宋_GB2312"/>
                <w:sz w:val="24"/>
                <w:szCs w:val="24"/>
              </w:rPr>
            </w:pPr>
          </w:p>
        </w:tc>
      </w:tr>
    </w:tbl>
    <w:p w14:paraId="062601C7">
      <w:pPr>
        <w:spacing w:line="360" w:lineRule="auto"/>
        <w:ind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注:1.“本报告期”指本季度初至本季度末3个月期间，下同。</w:t>
      </w:r>
    </w:p>
    <w:p w14:paraId="7961B94C">
      <w:pPr>
        <w:spacing w:line="360" w:lineRule="auto"/>
        <w:ind w:firstLine="480"/>
        <w:rPr>
          <w:rFonts w:ascii="仿宋_GB2312" w:hAnsi="宋体" w:eastAsia="仿宋_GB2312" w:cs="宋体"/>
          <w:kern w:val="0"/>
          <w:sz w:val="24"/>
          <w:szCs w:val="24"/>
        </w:rPr>
      </w:pPr>
      <w:r>
        <w:rPr>
          <w:rFonts w:hint="eastAsia" w:ascii="仿宋_GB2312" w:hAnsi="宋体" w:eastAsia="仿宋_GB2312" w:cs="宋体"/>
          <w:kern w:val="0"/>
          <w:sz w:val="24"/>
          <w:szCs w:val="24"/>
        </w:rPr>
        <w:t>2.公司对以前期间财务数据进行追溯调整或重述的，应当说明具体原因，并同时列示追溯调整或重述前后的数据。</w:t>
      </w:r>
    </w:p>
    <w:p w14:paraId="6D9327B6">
      <w:pPr>
        <w:spacing w:line="360" w:lineRule="auto"/>
        <w:rPr>
          <w:rFonts w:ascii="仿宋_GB2312" w:hAnsi="宋体" w:eastAsia="仿宋_GB2312" w:cs="宋体"/>
          <w:kern w:val="0"/>
          <w:sz w:val="24"/>
        </w:rPr>
      </w:pPr>
    </w:p>
    <w:p w14:paraId="5E060376">
      <w:pPr>
        <w:autoSpaceDE w:val="0"/>
        <w:autoSpaceDN w:val="0"/>
        <w:adjustRightInd w:val="0"/>
        <w:snapToGrid w:val="0"/>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（二）非经常性损益项目和金额</w:t>
      </w:r>
    </w:p>
    <w:p w14:paraId="736CA4D4">
      <w:pPr>
        <w:adjustRightInd w:val="0"/>
        <w:snapToGrid w:val="0"/>
        <w:spacing w:line="360" w:lineRule="auto"/>
        <w:ind w:firstLine="480" w:firstLineChars="200"/>
        <w:rPr>
          <w:rFonts w:ascii="仿宋_GB2312" w:hAnsi="宋体" w:eastAsia="仿宋_GB2312"/>
          <w:sz w:val="24"/>
        </w:rPr>
      </w:pPr>
      <w:r>
        <w:rPr>
          <w:rFonts w:hint="eastAsia" w:ascii="宋体" w:hAnsi="宋体" w:cs="宋体"/>
          <w:kern w:val="0"/>
          <w:sz w:val="24"/>
        </w:rPr>
        <w:t xml:space="preserve">                                                      </w:t>
      </w:r>
      <w:r>
        <w:rPr>
          <w:rFonts w:hint="eastAsia" w:ascii="仿宋_GB2312" w:hAnsi="宋体" w:eastAsia="仿宋_GB2312"/>
          <w:sz w:val="24"/>
        </w:rPr>
        <w:t>单位：</w:t>
      </w:r>
    </w:p>
    <w:tbl>
      <w:tblPr>
        <w:tblStyle w:val="5"/>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2"/>
        <w:gridCol w:w="1845"/>
        <w:gridCol w:w="1843"/>
        <w:gridCol w:w="1053"/>
      </w:tblGrid>
      <w:tr w14:paraId="7D7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2C795D68">
            <w:pPr>
              <w:spacing w:line="360" w:lineRule="exact"/>
              <w:rPr>
                <w:rFonts w:ascii="仿宋_GB2312" w:hAnsi="宋体" w:eastAsia="仿宋_GB2312"/>
                <w:sz w:val="24"/>
                <w:szCs w:val="24"/>
              </w:rPr>
            </w:pPr>
            <w:r>
              <w:rPr>
                <w:rFonts w:hint="eastAsia" w:ascii="仿宋_GB2312" w:hAnsi="宋体" w:eastAsia="仿宋_GB2312"/>
                <w:sz w:val="24"/>
                <w:szCs w:val="24"/>
              </w:rPr>
              <w:t>项目</w:t>
            </w:r>
          </w:p>
        </w:tc>
        <w:tc>
          <w:tcPr>
            <w:tcW w:w="1085"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603B4DF2">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本报告期金额</w:t>
            </w:r>
          </w:p>
        </w:tc>
        <w:tc>
          <w:tcPr>
            <w:tcW w:w="1084"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4B32B67C">
            <w:pPr>
              <w:spacing w:line="360" w:lineRule="exact"/>
              <w:jc w:val="center"/>
              <w:rPr>
                <w:rFonts w:ascii="仿宋_GB2312" w:hAnsi="宋体" w:eastAsia="仿宋_GB2312"/>
                <w:sz w:val="24"/>
                <w:szCs w:val="24"/>
              </w:rPr>
            </w:pPr>
            <w:r>
              <w:rPr>
                <w:rFonts w:hint="eastAsia" w:ascii="仿宋_GB2312" w:hAnsi="宋体" w:eastAsia="仿宋_GB2312"/>
                <w:sz w:val="24"/>
                <w:szCs w:val="24"/>
              </w:rPr>
              <w:t>年初至报告期末金额</w:t>
            </w:r>
          </w:p>
        </w:tc>
        <w:tc>
          <w:tcPr>
            <w:tcW w:w="620"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0748C499">
            <w:pPr>
              <w:spacing w:line="360" w:lineRule="exact"/>
              <w:jc w:val="center"/>
              <w:rPr>
                <w:rFonts w:ascii="仿宋_GB2312" w:hAnsi="宋体" w:eastAsia="仿宋_GB2312"/>
                <w:sz w:val="24"/>
                <w:szCs w:val="24"/>
              </w:rPr>
            </w:pPr>
            <w:r>
              <w:rPr>
                <w:rFonts w:hint="eastAsia" w:ascii="仿宋_GB2312" w:hAnsi="宋体" w:eastAsia="仿宋_GB2312"/>
                <w:sz w:val="24"/>
                <w:szCs w:val="24"/>
              </w:rPr>
              <w:t>说明</w:t>
            </w:r>
          </w:p>
        </w:tc>
      </w:tr>
      <w:tr w14:paraId="5031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5441E249">
            <w:pPr>
              <w:spacing w:line="360" w:lineRule="exact"/>
              <w:rPr>
                <w:rFonts w:ascii="仿宋_GB2312" w:hAnsi="宋体" w:eastAsia="仿宋_GB2312"/>
                <w:sz w:val="24"/>
                <w:szCs w:val="24"/>
              </w:rPr>
            </w:pPr>
            <w:r>
              <w:rPr>
                <w:rFonts w:hint="eastAsia" w:ascii="仿宋_GB2312" w:eastAsia="仿宋_GB2312"/>
                <w:sz w:val="24"/>
                <w:szCs w:val="24"/>
              </w:rPr>
              <w:t>非流动性资产处置损益（包括已计提资产减值准备的冲销部分）</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316A3DF0">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0A9B6F75">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0954B805">
            <w:pPr>
              <w:spacing w:line="360" w:lineRule="exact"/>
              <w:rPr>
                <w:rFonts w:ascii="仿宋_GB2312" w:hAnsi="宋体" w:eastAsia="仿宋_GB2312"/>
                <w:sz w:val="24"/>
                <w:szCs w:val="24"/>
              </w:rPr>
            </w:pPr>
          </w:p>
        </w:tc>
      </w:tr>
      <w:tr w14:paraId="748A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20D4FCC9">
            <w:pPr>
              <w:spacing w:line="360" w:lineRule="exact"/>
              <w:rPr>
                <w:rFonts w:ascii="仿宋_GB2312" w:hAnsi="宋体" w:eastAsia="仿宋_GB2312"/>
                <w:sz w:val="24"/>
                <w:szCs w:val="24"/>
              </w:rPr>
            </w:pPr>
            <w:r>
              <w:rPr>
                <w:rFonts w:hint="eastAsia" w:ascii="仿宋_GB2312" w:eastAsia="仿宋_GB2312"/>
                <w:sz w:val="24"/>
                <w:szCs w:val="24"/>
              </w:rPr>
              <w:t>越权审批，或无正式批准文件，或偶发性的税收返还、减免</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0AC5A8CF">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20767BB6">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56B6FB62">
            <w:pPr>
              <w:spacing w:line="360" w:lineRule="exact"/>
              <w:rPr>
                <w:rFonts w:ascii="仿宋_GB2312" w:hAnsi="宋体" w:eastAsia="仿宋_GB2312"/>
                <w:sz w:val="24"/>
                <w:szCs w:val="24"/>
              </w:rPr>
            </w:pPr>
          </w:p>
        </w:tc>
      </w:tr>
      <w:tr w14:paraId="7A60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705F433D">
            <w:pPr>
              <w:spacing w:line="360" w:lineRule="exact"/>
              <w:rPr>
                <w:rFonts w:ascii="仿宋_GB2312" w:hAnsi="宋体" w:eastAsia="仿宋_GB2312"/>
                <w:sz w:val="24"/>
                <w:szCs w:val="24"/>
              </w:rPr>
            </w:pPr>
            <w:r>
              <w:rPr>
                <w:rFonts w:hint="eastAsia" w:ascii="仿宋_GB2312" w:eastAsia="仿宋_GB2312"/>
                <w:sz w:val="24"/>
                <w:szCs w:val="24"/>
              </w:rPr>
              <w:t>计入当期损益的政府补助（与公司正常经营业务密切相关，符合国家政策规定、按照一定标准定额或定量持续享受的政府补助除外）</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7BCBE9EE">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24972ABC">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02BC26EF">
            <w:pPr>
              <w:spacing w:line="360" w:lineRule="exact"/>
              <w:rPr>
                <w:rFonts w:ascii="仿宋_GB2312" w:hAnsi="宋体" w:eastAsia="仿宋_GB2312"/>
                <w:sz w:val="24"/>
                <w:szCs w:val="24"/>
              </w:rPr>
            </w:pPr>
          </w:p>
        </w:tc>
      </w:tr>
      <w:tr w14:paraId="6D1B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21786E73">
            <w:pPr>
              <w:spacing w:line="360" w:lineRule="exact"/>
              <w:rPr>
                <w:rFonts w:ascii="仿宋_GB2312" w:hAnsi="宋体" w:eastAsia="仿宋_GB2312"/>
                <w:sz w:val="24"/>
                <w:szCs w:val="24"/>
              </w:rPr>
            </w:pPr>
            <w:r>
              <w:rPr>
                <w:rFonts w:hint="eastAsia" w:ascii="仿宋_GB2312" w:eastAsia="仿宋_GB2312"/>
                <w:sz w:val="24"/>
                <w:szCs w:val="24"/>
              </w:rPr>
              <w:t>计入当期损益的对非金融企业收取的资金占用费</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76B26399">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6A1AB643">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2959498C">
            <w:pPr>
              <w:spacing w:line="360" w:lineRule="exact"/>
              <w:rPr>
                <w:rFonts w:ascii="仿宋_GB2312" w:hAnsi="宋体" w:eastAsia="仿宋_GB2312"/>
                <w:sz w:val="24"/>
                <w:szCs w:val="24"/>
              </w:rPr>
            </w:pPr>
          </w:p>
        </w:tc>
      </w:tr>
      <w:tr w14:paraId="6E40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4FA9ECD3">
            <w:pPr>
              <w:spacing w:line="360" w:lineRule="exact"/>
              <w:rPr>
                <w:rFonts w:ascii="仿宋_GB2312" w:hAnsi="宋体" w:eastAsia="仿宋_GB2312"/>
                <w:sz w:val="24"/>
                <w:szCs w:val="24"/>
              </w:rPr>
            </w:pPr>
            <w:r>
              <w:rPr>
                <w:rFonts w:hint="eastAsia" w:ascii="仿宋_GB2312" w:eastAsia="仿宋_GB2312"/>
                <w:sz w:val="24"/>
                <w:szCs w:val="24"/>
              </w:rPr>
              <w:t>企业取得子公司、联营企业及合营企业的投资成本小于取得投资时应享有被投资单位可辨认净资产公允价值产生的收益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79441824">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2F66D84D">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2A32B985">
            <w:pPr>
              <w:spacing w:line="360" w:lineRule="exact"/>
              <w:rPr>
                <w:rFonts w:ascii="仿宋_GB2312" w:hAnsi="宋体" w:eastAsia="仿宋_GB2312"/>
                <w:sz w:val="24"/>
                <w:szCs w:val="24"/>
              </w:rPr>
            </w:pPr>
          </w:p>
        </w:tc>
      </w:tr>
      <w:tr w14:paraId="051E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4246357C">
            <w:pPr>
              <w:spacing w:line="360" w:lineRule="exact"/>
              <w:rPr>
                <w:rFonts w:ascii="仿宋_GB2312" w:hAnsi="宋体" w:eastAsia="仿宋_GB2312"/>
                <w:sz w:val="24"/>
                <w:szCs w:val="24"/>
              </w:rPr>
            </w:pPr>
            <w:r>
              <w:rPr>
                <w:rFonts w:hint="eastAsia" w:ascii="仿宋_GB2312" w:eastAsia="仿宋_GB2312"/>
                <w:sz w:val="24"/>
                <w:szCs w:val="24"/>
              </w:rPr>
              <w:t>非货币性资产交换损益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45D5ACEC">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5A884105">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65960D4F">
            <w:pPr>
              <w:spacing w:line="360" w:lineRule="exact"/>
              <w:rPr>
                <w:rFonts w:ascii="仿宋_GB2312" w:hAnsi="宋体" w:eastAsia="仿宋_GB2312"/>
                <w:sz w:val="24"/>
                <w:szCs w:val="24"/>
              </w:rPr>
            </w:pPr>
          </w:p>
        </w:tc>
      </w:tr>
      <w:tr w14:paraId="0B5F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4C7F3333">
            <w:pPr>
              <w:spacing w:line="360" w:lineRule="exact"/>
              <w:rPr>
                <w:rFonts w:ascii="仿宋_GB2312" w:hAnsi="宋体" w:eastAsia="仿宋_GB2312"/>
                <w:sz w:val="24"/>
                <w:szCs w:val="24"/>
              </w:rPr>
            </w:pPr>
            <w:r>
              <w:rPr>
                <w:rFonts w:hint="eastAsia" w:ascii="仿宋_GB2312" w:eastAsia="仿宋_GB2312"/>
                <w:sz w:val="24"/>
                <w:szCs w:val="24"/>
              </w:rPr>
              <w:t>委托他人投资或管理资产的损益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14A54EBC">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7D89986A">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09F03BBD">
            <w:pPr>
              <w:spacing w:line="360" w:lineRule="exact"/>
              <w:rPr>
                <w:rFonts w:ascii="仿宋_GB2312" w:hAnsi="宋体" w:eastAsia="仿宋_GB2312"/>
                <w:sz w:val="24"/>
                <w:szCs w:val="24"/>
              </w:rPr>
            </w:pPr>
          </w:p>
        </w:tc>
      </w:tr>
      <w:tr w14:paraId="3D05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44F1F1DD">
            <w:pPr>
              <w:spacing w:line="360" w:lineRule="exact"/>
              <w:rPr>
                <w:rFonts w:ascii="仿宋_GB2312" w:hAnsi="宋体" w:eastAsia="仿宋_GB2312"/>
                <w:sz w:val="24"/>
                <w:szCs w:val="24"/>
              </w:rPr>
            </w:pPr>
            <w:r>
              <w:rPr>
                <w:rFonts w:hint="eastAsia" w:ascii="仿宋_GB2312" w:eastAsia="仿宋_GB2312"/>
                <w:sz w:val="24"/>
                <w:szCs w:val="24"/>
              </w:rPr>
              <w:t>因不可抗力因素，如遭受自然灾害而计提的各项资产减值准备</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588D29F1">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55251DEA">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65CF889E">
            <w:pPr>
              <w:spacing w:line="360" w:lineRule="exact"/>
              <w:rPr>
                <w:rFonts w:ascii="仿宋_GB2312" w:hAnsi="宋体" w:eastAsia="仿宋_GB2312"/>
                <w:sz w:val="24"/>
                <w:szCs w:val="24"/>
              </w:rPr>
            </w:pPr>
          </w:p>
        </w:tc>
      </w:tr>
      <w:tr w14:paraId="6F48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1CE6ABF5">
            <w:pPr>
              <w:spacing w:line="360" w:lineRule="exact"/>
              <w:rPr>
                <w:rFonts w:ascii="仿宋_GB2312" w:hAnsi="宋体" w:eastAsia="仿宋_GB2312"/>
                <w:sz w:val="24"/>
                <w:szCs w:val="24"/>
              </w:rPr>
            </w:pPr>
            <w:r>
              <w:rPr>
                <w:rFonts w:hint="eastAsia" w:ascii="仿宋_GB2312" w:eastAsia="仿宋_GB2312"/>
                <w:sz w:val="24"/>
                <w:szCs w:val="24"/>
              </w:rPr>
              <w:t>债务重组损益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148D33EE">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0921169B">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336DA1E3">
            <w:pPr>
              <w:spacing w:line="360" w:lineRule="exact"/>
              <w:rPr>
                <w:rFonts w:ascii="仿宋_GB2312" w:hAnsi="宋体" w:eastAsia="仿宋_GB2312"/>
                <w:sz w:val="24"/>
                <w:szCs w:val="24"/>
              </w:rPr>
            </w:pPr>
          </w:p>
        </w:tc>
      </w:tr>
      <w:tr w14:paraId="3A39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28305B80">
            <w:pPr>
              <w:spacing w:line="360" w:lineRule="exact"/>
              <w:rPr>
                <w:rFonts w:ascii="仿宋_GB2312" w:hAnsi="宋体" w:eastAsia="仿宋_GB2312"/>
                <w:sz w:val="24"/>
                <w:szCs w:val="24"/>
              </w:rPr>
            </w:pPr>
            <w:r>
              <w:rPr>
                <w:rFonts w:hint="eastAsia" w:ascii="仿宋_GB2312" w:eastAsia="仿宋_GB2312"/>
                <w:sz w:val="24"/>
                <w:szCs w:val="24"/>
              </w:rPr>
              <w:t>企业重组费用，如安置职工的支出、整合费用等</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32AAD728">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5508CEFC">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790BF4FD">
            <w:pPr>
              <w:spacing w:line="360" w:lineRule="exact"/>
              <w:rPr>
                <w:rFonts w:ascii="仿宋_GB2312" w:hAnsi="宋体" w:eastAsia="仿宋_GB2312"/>
                <w:sz w:val="24"/>
                <w:szCs w:val="24"/>
              </w:rPr>
            </w:pPr>
          </w:p>
        </w:tc>
      </w:tr>
      <w:tr w14:paraId="365C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57AF1D9F">
            <w:pPr>
              <w:spacing w:line="360" w:lineRule="exact"/>
              <w:rPr>
                <w:rFonts w:ascii="仿宋_GB2312" w:hAnsi="宋体" w:eastAsia="仿宋_GB2312"/>
                <w:sz w:val="24"/>
                <w:szCs w:val="24"/>
              </w:rPr>
            </w:pPr>
            <w:r>
              <w:rPr>
                <w:rFonts w:hint="eastAsia" w:ascii="仿宋_GB2312" w:eastAsia="仿宋_GB2312"/>
                <w:sz w:val="24"/>
                <w:szCs w:val="24"/>
              </w:rPr>
              <w:t>交易价格显失公允的交易产生的超过公允价值部分的损益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5B45E8CB">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0C894456">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279F4A97">
            <w:pPr>
              <w:spacing w:line="360" w:lineRule="exact"/>
              <w:rPr>
                <w:rFonts w:ascii="仿宋_GB2312" w:hAnsi="宋体" w:eastAsia="仿宋_GB2312"/>
                <w:sz w:val="24"/>
                <w:szCs w:val="24"/>
              </w:rPr>
            </w:pPr>
          </w:p>
        </w:tc>
      </w:tr>
      <w:tr w14:paraId="3499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178474FC">
            <w:pPr>
              <w:spacing w:line="360" w:lineRule="exact"/>
              <w:rPr>
                <w:rFonts w:ascii="仿宋_GB2312" w:hAnsi="宋体" w:eastAsia="仿宋_GB2312"/>
                <w:sz w:val="24"/>
                <w:szCs w:val="24"/>
              </w:rPr>
            </w:pPr>
            <w:r>
              <w:rPr>
                <w:rFonts w:hint="eastAsia" w:ascii="仿宋_GB2312" w:eastAsia="仿宋_GB2312"/>
                <w:sz w:val="24"/>
                <w:szCs w:val="24"/>
              </w:rPr>
              <w:t>同一控制下企业合并产生的子公司期初至合并日的当期净损益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2B0D3F83">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663FF397">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65386382">
            <w:pPr>
              <w:spacing w:line="360" w:lineRule="exact"/>
              <w:rPr>
                <w:rFonts w:ascii="仿宋_GB2312" w:hAnsi="宋体" w:eastAsia="仿宋_GB2312"/>
                <w:sz w:val="24"/>
                <w:szCs w:val="24"/>
              </w:rPr>
            </w:pPr>
          </w:p>
        </w:tc>
      </w:tr>
      <w:tr w14:paraId="084C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3E93083E">
            <w:pPr>
              <w:spacing w:line="360" w:lineRule="exact"/>
              <w:rPr>
                <w:rFonts w:ascii="仿宋_GB2312" w:hAnsi="宋体" w:eastAsia="仿宋_GB2312"/>
                <w:sz w:val="24"/>
                <w:szCs w:val="24"/>
              </w:rPr>
            </w:pPr>
            <w:r>
              <w:rPr>
                <w:rFonts w:hint="eastAsia" w:ascii="仿宋_GB2312" w:eastAsia="仿宋_GB2312"/>
                <w:sz w:val="24"/>
                <w:szCs w:val="24"/>
              </w:rPr>
              <w:t>与公司正常经营业务无关的或有事项产生的损益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501DB31B">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34E83DE0">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40BC4B50">
            <w:pPr>
              <w:spacing w:line="360" w:lineRule="exact"/>
              <w:rPr>
                <w:rFonts w:ascii="仿宋_GB2312" w:hAnsi="宋体" w:eastAsia="仿宋_GB2312"/>
                <w:sz w:val="24"/>
                <w:szCs w:val="24"/>
              </w:rPr>
            </w:pPr>
          </w:p>
        </w:tc>
      </w:tr>
      <w:tr w14:paraId="4860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0B8785CD">
            <w:pPr>
              <w:spacing w:line="360" w:lineRule="exact"/>
              <w:rPr>
                <w:rFonts w:ascii="仿宋_GB2312" w:hAnsi="宋体" w:eastAsia="仿宋_GB2312"/>
                <w:sz w:val="24"/>
                <w:szCs w:val="24"/>
              </w:rPr>
            </w:pPr>
            <w:r>
              <w:rPr>
                <w:rFonts w:hint="eastAsia" w:ascii="仿宋_GB2312" w:eastAsia="仿宋_GB2312"/>
                <w:sz w:val="24"/>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0B7856A1">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1248E92B">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6D920547">
            <w:pPr>
              <w:spacing w:line="360" w:lineRule="exact"/>
              <w:rPr>
                <w:rFonts w:ascii="仿宋_GB2312" w:hAnsi="宋体" w:eastAsia="仿宋_GB2312"/>
                <w:sz w:val="24"/>
                <w:szCs w:val="24"/>
              </w:rPr>
            </w:pPr>
          </w:p>
        </w:tc>
      </w:tr>
      <w:tr w14:paraId="7DF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4C58D37B">
            <w:pPr>
              <w:spacing w:line="360" w:lineRule="exact"/>
              <w:rPr>
                <w:rFonts w:ascii="仿宋_GB2312" w:hAnsi="宋体" w:eastAsia="仿宋_GB2312"/>
                <w:sz w:val="24"/>
                <w:szCs w:val="24"/>
              </w:rPr>
            </w:pPr>
            <w:r>
              <w:rPr>
                <w:rFonts w:hint="eastAsia" w:ascii="仿宋_GB2312" w:eastAsia="仿宋_GB2312"/>
                <w:sz w:val="24"/>
                <w:szCs w:val="24"/>
              </w:rPr>
              <w:t>单独进行减值测试的应收款项减值准备转回</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32D9DECD">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28FA9D3E">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235194BF">
            <w:pPr>
              <w:spacing w:line="360" w:lineRule="exact"/>
              <w:rPr>
                <w:rFonts w:ascii="仿宋_GB2312" w:hAnsi="宋体" w:eastAsia="仿宋_GB2312"/>
                <w:sz w:val="24"/>
                <w:szCs w:val="24"/>
              </w:rPr>
            </w:pPr>
          </w:p>
        </w:tc>
      </w:tr>
      <w:tr w14:paraId="26F2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3A2FB36C">
            <w:pPr>
              <w:spacing w:line="360" w:lineRule="exact"/>
              <w:rPr>
                <w:rFonts w:ascii="仿宋_GB2312" w:hAnsi="宋体" w:eastAsia="仿宋_GB2312"/>
                <w:sz w:val="24"/>
                <w:szCs w:val="24"/>
              </w:rPr>
            </w:pPr>
            <w:r>
              <w:rPr>
                <w:rFonts w:hint="eastAsia" w:ascii="仿宋_GB2312" w:eastAsia="仿宋_GB2312"/>
                <w:sz w:val="24"/>
                <w:szCs w:val="24"/>
              </w:rPr>
              <w:t>对外委托贷款取得的损益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5CC0F0A6">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7284BAFB">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2A4B928E">
            <w:pPr>
              <w:spacing w:line="360" w:lineRule="exact"/>
              <w:rPr>
                <w:rFonts w:ascii="仿宋_GB2312" w:hAnsi="宋体" w:eastAsia="仿宋_GB2312"/>
                <w:sz w:val="24"/>
                <w:szCs w:val="24"/>
              </w:rPr>
            </w:pPr>
          </w:p>
        </w:tc>
      </w:tr>
      <w:tr w14:paraId="6327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2A48D3C1">
            <w:pPr>
              <w:spacing w:line="360" w:lineRule="exact"/>
              <w:rPr>
                <w:rFonts w:ascii="仿宋_GB2312" w:hAnsi="宋体" w:eastAsia="仿宋_GB2312"/>
                <w:sz w:val="24"/>
                <w:szCs w:val="24"/>
              </w:rPr>
            </w:pPr>
            <w:r>
              <w:rPr>
                <w:rFonts w:hint="eastAsia" w:ascii="仿宋_GB2312" w:eastAsia="仿宋_GB2312"/>
                <w:sz w:val="24"/>
                <w:szCs w:val="24"/>
              </w:rPr>
              <w:t>采用公允价值模式进行后续计量的投资性房地产公允价值变动产生的损益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6E2B05F7">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607EDC09">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176AD733">
            <w:pPr>
              <w:spacing w:line="360" w:lineRule="exact"/>
              <w:rPr>
                <w:rFonts w:ascii="仿宋_GB2312" w:hAnsi="宋体" w:eastAsia="仿宋_GB2312"/>
                <w:sz w:val="24"/>
                <w:szCs w:val="24"/>
              </w:rPr>
            </w:pPr>
          </w:p>
        </w:tc>
      </w:tr>
      <w:tr w14:paraId="5D88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2F7A48EF">
            <w:pPr>
              <w:spacing w:line="360" w:lineRule="exact"/>
              <w:rPr>
                <w:rFonts w:ascii="仿宋_GB2312" w:hAnsi="宋体" w:eastAsia="仿宋_GB2312"/>
                <w:sz w:val="24"/>
                <w:szCs w:val="24"/>
              </w:rPr>
            </w:pPr>
            <w:r>
              <w:rPr>
                <w:rFonts w:hint="eastAsia" w:ascii="仿宋_GB2312" w:eastAsia="仿宋_GB2312"/>
                <w:sz w:val="24"/>
                <w:szCs w:val="24"/>
              </w:rPr>
              <w:t>根据税收、会计等法律、法规的要求对当期损益进行一次性调整对当期损益的影响</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62B395C8">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2E55C216">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3FA94E46">
            <w:pPr>
              <w:spacing w:line="360" w:lineRule="exact"/>
              <w:rPr>
                <w:rFonts w:ascii="仿宋_GB2312" w:hAnsi="宋体" w:eastAsia="仿宋_GB2312"/>
                <w:sz w:val="24"/>
                <w:szCs w:val="24"/>
              </w:rPr>
            </w:pPr>
          </w:p>
        </w:tc>
      </w:tr>
      <w:tr w14:paraId="0541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552CCF7E">
            <w:pPr>
              <w:spacing w:line="360" w:lineRule="exact"/>
              <w:rPr>
                <w:rFonts w:ascii="仿宋_GB2312" w:hAnsi="宋体" w:eastAsia="仿宋_GB2312"/>
                <w:sz w:val="24"/>
                <w:szCs w:val="24"/>
              </w:rPr>
            </w:pPr>
            <w:r>
              <w:rPr>
                <w:rFonts w:hint="eastAsia" w:ascii="仿宋_GB2312" w:eastAsia="仿宋_GB2312"/>
                <w:sz w:val="24"/>
                <w:szCs w:val="24"/>
              </w:rPr>
              <w:t>受托经营取得的托管费收入</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1266805B">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20F5C151">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370B7147">
            <w:pPr>
              <w:spacing w:line="360" w:lineRule="exact"/>
              <w:rPr>
                <w:rFonts w:ascii="仿宋_GB2312" w:hAnsi="宋体" w:eastAsia="仿宋_GB2312"/>
                <w:sz w:val="24"/>
                <w:szCs w:val="24"/>
              </w:rPr>
            </w:pPr>
          </w:p>
        </w:tc>
      </w:tr>
      <w:tr w14:paraId="3D32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75435770">
            <w:pPr>
              <w:spacing w:line="360" w:lineRule="exact"/>
              <w:rPr>
                <w:rFonts w:ascii="仿宋_GB2312" w:hAnsi="宋体" w:eastAsia="仿宋_GB2312"/>
                <w:sz w:val="24"/>
                <w:szCs w:val="24"/>
              </w:rPr>
            </w:pPr>
            <w:r>
              <w:rPr>
                <w:rFonts w:hint="eastAsia" w:ascii="仿宋_GB2312" w:eastAsia="仿宋_GB2312"/>
                <w:sz w:val="24"/>
                <w:szCs w:val="24"/>
              </w:rPr>
              <w:t>除上述各项之外的其他营业外收入和支出</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3FA3E97B">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3EC97474">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5623970A">
            <w:pPr>
              <w:spacing w:line="360" w:lineRule="exact"/>
              <w:rPr>
                <w:rFonts w:ascii="仿宋_GB2312" w:hAnsi="宋体" w:eastAsia="仿宋_GB2312"/>
                <w:sz w:val="24"/>
                <w:szCs w:val="24"/>
              </w:rPr>
            </w:pPr>
          </w:p>
        </w:tc>
      </w:tr>
      <w:tr w14:paraId="2723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5C0DAA73">
            <w:pPr>
              <w:spacing w:line="360" w:lineRule="exact"/>
              <w:rPr>
                <w:rFonts w:ascii="仿宋_GB2312" w:hAnsi="宋体" w:eastAsia="仿宋_GB2312"/>
                <w:sz w:val="24"/>
                <w:szCs w:val="24"/>
              </w:rPr>
            </w:pPr>
            <w:r>
              <w:rPr>
                <w:rFonts w:hint="eastAsia" w:ascii="仿宋_GB2312" w:eastAsia="仿宋_GB2312"/>
                <w:sz w:val="24"/>
                <w:szCs w:val="24"/>
              </w:rPr>
              <w:t>其他符合非经常性损益定义的损益项目</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07F96EF9">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2C0E611A">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7D1A0CB5">
            <w:pPr>
              <w:spacing w:line="360" w:lineRule="exact"/>
              <w:rPr>
                <w:rFonts w:ascii="仿宋_GB2312" w:hAnsi="宋体" w:eastAsia="仿宋_GB2312"/>
                <w:sz w:val="24"/>
                <w:szCs w:val="24"/>
              </w:rPr>
            </w:pPr>
          </w:p>
        </w:tc>
      </w:tr>
      <w:tr w14:paraId="47A1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3C13CD85">
            <w:pPr>
              <w:spacing w:line="360" w:lineRule="exact"/>
              <w:rPr>
                <w:rFonts w:ascii="仿宋_GB2312" w:eastAsia="仿宋_GB2312"/>
                <w:sz w:val="24"/>
                <w:szCs w:val="24"/>
              </w:rPr>
            </w:pPr>
            <w:r>
              <w:rPr>
                <w:rFonts w:hint="eastAsia" w:ascii="仿宋_GB2312" w:eastAsia="仿宋_GB2312"/>
                <w:sz w:val="24"/>
                <w:szCs w:val="24"/>
              </w:rPr>
              <w:t>减：所得税影响额</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67EEC25B">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2335544F">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5B8460C1">
            <w:pPr>
              <w:spacing w:line="360" w:lineRule="exact"/>
              <w:rPr>
                <w:rFonts w:ascii="仿宋_GB2312" w:hAnsi="宋体" w:eastAsia="仿宋_GB2312"/>
                <w:sz w:val="24"/>
                <w:szCs w:val="24"/>
              </w:rPr>
            </w:pPr>
          </w:p>
        </w:tc>
      </w:tr>
      <w:tr w14:paraId="0295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10D8931A">
            <w:pPr>
              <w:spacing w:line="360" w:lineRule="exact"/>
              <w:ind w:firstLine="480" w:firstLineChars="200"/>
              <w:rPr>
                <w:rFonts w:ascii="仿宋_GB2312" w:eastAsia="仿宋_GB2312"/>
                <w:sz w:val="24"/>
                <w:szCs w:val="24"/>
              </w:rPr>
            </w:pPr>
            <w:r>
              <w:rPr>
                <w:rFonts w:hint="eastAsia" w:ascii="仿宋_GB2312" w:eastAsia="仿宋_GB2312"/>
                <w:sz w:val="24"/>
                <w:szCs w:val="24"/>
              </w:rPr>
              <w:t>少数股东权益影响额（税后）</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5112C75A">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46E8E9B9">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492B5014">
            <w:pPr>
              <w:spacing w:line="360" w:lineRule="exact"/>
              <w:rPr>
                <w:rFonts w:ascii="仿宋_GB2312" w:hAnsi="宋体" w:eastAsia="仿宋_GB2312"/>
                <w:sz w:val="24"/>
                <w:szCs w:val="24"/>
              </w:rPr>
            </w:pPr>
          </w:p>
        </w:tc>
      </w:tr>
      <w:tr w14:paraId="2799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14:paraId="706F3A7A">
            <w:pPr>
              <w:spacing w:line="360" w:lineRule="exact"/>
              <w:rPr>
                <w:rFonts w:ascii="仿宋_GB2312" w:eastAsia="仿宋_GB2312"/>
                <w:sz w:val="24"/>
                <w:szCs w:val="24"/>
              </w:rPr>
            </w:pPr>
            <w:r>
              <w:rPr>
                <w:rFonts w:hint="eastAsia" w:ascii="仿宋_GB2312" w:eastAsia="仿宋_GB2312"/>
                <w:sz w:val="24"/>
                <w:szCs w:val="24"/>
              </w:rPr>
              <w:t>合计</w:t>
            </w:r>
          </w:p>
        </w:tc>
        <w:tc>
          <w:tcPr>
            <w:tcW w:w="1085" w:type="pct"/>
            <w:tcBorders>
              <w:top w:val="single" w:color="auto" w:sz="4" w:space="0"/>
              <w:left w:val="single" w:color="auto" w:sz="4" w:space="0"/>
              <w:bottom w:val="single" w:color="auto" w:sz="4" w:space="0"/>
              <w:right w:val="single" w:color="auto" w:sz="4" w:space="0"/>
            </w:tcBorders>
            <w:noWrap w:val="0"/>
            <w:vAlign w:val="top"/>
          </w:tcPr>
          <w:p w14:paraId="13093949">
            <w:pPr>
              <w:spacing w:line="3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14:paraId="0DB63178">
            <w:pPr>
              <w:spacing w:line="3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17DDE2BE">
            <w:pPr>
              <w:spacing w:line="360" w:lineRule="exact"/>
              <w:rPr>
                <w:rFonts w:ascii="仿宋_GB2312" w:hAnsi="宋体" w:eastAsia="仿宋_GB2312"/>
                <w:sz w:val="24"/>
                <w:szCs w:val="24"/>
              </w:rPr>
            </w:pPr>
          </w:p>
        </w:tc>
      </w:tr>
    </w:tbl>
    <w:p w14:paraId="0DA6C772">
      <w:pPr>
        <w:spacing w:line="360" w:lineRule="auto"/>
        <w:ind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注:公司应当说明“其他符合非经常性损益定义的损益项目”的具体情况；如将《公开发行证券的公司信息披露解释性公告第</w:t>
      </w:r>
      <w:r>
        <w:rPr>
          <w:rFonts w:ascii="仿宋_GB2312" w:hAnsi="宋体" w:eastAsia="仿宋_GB2312" w:cs="宋体"/>
          <w:kern w:val="0"/>
          <w:sz w:val="24"/>
          <w:szCs w:val="24"/>
        </w:rPr>
        <w:t>1号——非经常性损益》中列举的非经常性损益项目界定为经常性损益项目的，应当说明原因。</w:t>
      </w:r>
    </w:p>
    <w:p w14:paraId="6B8303F6">
      <w:pPr>
        <w:spacing w:line="360" w:lineRule="auto"/>
        <w:ind w:firstLine="480"/>
        <w:rPr>
          <w:rFonts w:ascii="仿宋_GB2312" w:hAnsi="宋体" w:eastAsia="仿宋_GB2312" w:cs="宋体"/>
          <w:kern w:val="0"/>
          <w:sz w:val="24"/>
          <w:szCs w:val="24"/>
        </w:rPr>
      </w:pPr>
    </w:p>
    <w:p w14:paraId="51B08FAD">
      <w:pPr>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（三）主要会计数据、财务指标发生变动的情况、原因</w:t>
      </w:r>
    </w:p>
    <w:p w14:paraId="5BCB1738">
      <w:pPr>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上市公司上述主要会计数据、财务指标与上年度期末或上年同期相比增减变动幅度超过30%的，应当说明变动情况及主要原因。</w:t>
      </w:r>
    </w:p>
    <w:p w14:paraId="1F130D99">
      <w:pPr>
        <w:spacing w:line="360" w:lineRule="auto"/>
        <w:ind w:firstLine="480" w:firstLineChars="200"/>
        <w:rPr>
          <w:rFonts w:ascii="宋体" w:hAnsi="宋体" w:cs="宋体"/>
          <w:kern w:val="0"/>
          <w:sz w:val="24"/>
        </w:rPr>
      </w:pPr>
    </w:p>
    <w:p w14:paraId="43C32062">
      <w:pPr>
        <w:adjustRightInd w:val="0"/>
        <w:snapToGrid w:val="0"/>
        <w:spacing w:line="360" w:lineRule="auto"/>
        <w:ind w:firstLine="602" w:firstLineChars="200"/>
        <w:rPr>
          <w:rFonts w:ascii="仿宋_GB2312" w:hAnsi="宋体" w:eastAsia="仿宋_GB2312"/>
          <w:b/>
          <w:sz w:val="30"/>
          <w:szCs w:val="30"/>
        </w:rPr>
      </w:pPr>
      <w:r>
        <w:rPr>
          <w:rFonts w:hint="eastAsia" w:ascii="仿宋_GB2312" w:hAnsi="宋体" w:eastAsia="仿宋_GB2312"/>
          <w:b/>
          <w:sz w:val="30"/>
          <w:szCs w:val="30"/>
        </w:rPr>
        <w:t>二、股东信息</w:t>
      </w:r>
    </w:p>
    <w:p w14:paraId="71DDB553">
      <w:pPr>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（一）普通股股东总数和表决权恢复的优先股股东数量及前十名股东持股情况表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217"/>
        <w:gridCol w:w="509"/>
        <w:gridCol w:w="708"/>
        <w:gridCol w:w="1217"/>
        <w:gridCol w:w="1218"/>
        <w:gridCol w:w="1218"/>
        <w:gridCol w:w="1168"/>
      </w:tblGrid>
      <w:tr w14:paraId="5327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09" w:hRule="atLeast"/>
        </w:trPr>
        <w:tc>
          <w:tcPr>
            <w:tcW w:w="2326" w:type="dxa"/>
            <w:gridSpan w:val="2"/>
            <w:noWrap w:val="0"/>
            <w:vAlign w:val="center"/>
          </w:tcPr>
          <w:p w14:paraId="127DE391">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报告期末普通股股东总数</w:t>
            </w:r>
          </w:p>
        </w:tc>
        <w:tc>
          <w:tcPr>
            <w:tcW w:w="1217" w:type="dxa"/>
            <w:gridSpan w:val="2"/>
            <w:noWrap w:val="0"/>
            <w:vAlign w:val="center"/>
          </w:tcPr>
          <w:p w14:paraId="687F6639">
            <w:pPr>
              <w:spacing w:line="360" w:lineRule="auto"/>
              <w:rPr>
                <w:rFonts w:ascii="仿宋_GB2312" w:hAnsi="宋体" w:eastAsia="仿宋_GB2312" w:cs="宋体"/>
                <w:kern w:val="0"/>
                <w:sz w:val="24"/>
                <w:szCs w:val="24"/>
              </w:rPr>
            </w:pPr>
          </w:p>
        </w:tc>
        <w:tc>
          <w:tcPr>
            <w:tcW w:w="2435" w:type="dxa"/>
            <w:gridSpan w:val="2"/>
            <w:noWrap w:val="0"/>
            <w:vAlign w:val="center"/>
          </w:tcPr>
          <w:p w14:paraId="76CBDEF9">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报告期末表决权恢复的优先股股东总数（如有）</w:t>
            </w:r>
          </w:p>
        </w:tc>
        <w:tc>
          <w:tcPr>
            <w:tcW w:w="2386" w:type="dxa"/>
            <w:gridSpan w:val="2"/>
            <w:noWrap w:val="0"/>
            <w:vAlign w:val="top"/>
          </w:tcPr>
          <w:p w14:paraId="7DDC3298">
            <w:pPr>
              <w:spacing w:line="360" w:lineRule="auto"/>
              <w:rPr>
                <w:rFonts w:ascii="仿宋_GB2312" w:hAnsi="宋体" w:eastAsia="仿宋_GB2312" w:cs="宋体"/>
                <w:kern w:val="0"/>
                <w:sz w:val="24"/>
                <w:szCs w:val="24"/>
              </w:rPr>
            </w:pPr>
          </w:p>
        </w:tc>
      </w:tr>
      <w:tr w14:paraId="494B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364" w:type="dxa"/>
            <w:gridSpan w:val="8"/>
            <w:noWrap w:val="0"/>
            <w:vAlign w:val="center"/>
          </w:tcPr>
          <w:p w14:paraId="3EDC69FF">
            <w:pPr>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前10名股东持股情况</w:t>
            </w:r>
          </w:p>
        </w:tc>
      </w:tr>
      <w:tr w14:paraId="29E8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8" w:hRule="atLeast"/>
        </w:trPr>
        <w:tc>
          <w:tcPr>
            <w:tcW w:w="1109" w:type="dxa"/>
            <w:vMerge w:val="restart"/>
            <w:noWrap w:val="0"/>
            <w:vAlign w:val="top"/>
          </w:tcPr>
          <w:p w14:paraId="3DC747E0">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1217" w:type="dxa"/>
            <w:vMerge w:val="restart"/>
            <w:noWrap w:val="0"/>
            <w:vAlign w:val="top"/>
          </w:tcPr>
          <w:p w14:paraId="08D6FA9D">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股东性质</w:t>
            </w:r>
          </w:p>
        </w:tc>
        <w:tc>
          <w:tcPr>
            <w:tcW w:w="1217" w:type="dxa"/>
            <w:gridSpan w:val="2"/>
            <w:vMerge w:val="restart"/>
            <w:noWrap w:val="0"/>
            <w:vAlign w:val="top"/>
          </w:tcPr>
          <w:p w14:paraId="7F43837B">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持股数量（股）</w:t>
            </w:r>
          </w:p>
        </w:tc>
        <w:tc>
          <w:tcPr>
            <w:tcW w:w="1217" w:type="dxa"/>
            <w:vMerge w:val="restart"/>
            <w:noWrap w:val="0"/>
            <w:vAlign w:val="top"/>
          </w:tcPr>
          <w:p w14:paraId="5777D461">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持股比例（%）</w:t>
            </w:r>
          </w:p>
        </w:tc>
        <w:tc>
          <w:tcPr>
            <w:tcW w:w="1218" w:type="dxa"/>
            <w:vMerge w:val="restart"/>
            <w:noWrap w:val="0"/>
            <w:vAlign w:val="top"/>
          </w:tcPr>
          <w:p w14:paraId="490DD573">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持有有限售条件股份数量（股）（如为纯B股或未股改公司，列示“持有非流通的股份数量”）</w:t>
            </w:r>
          </w:p>
        </w:tc>
        <w:tc>
          <w:tcPr>
            <w:tcW w:w="2386" w:type="dxa"/>
            <w:gridSpan w:val="2"/>
            <w:noWrap w:val="0"/>
            <w:vAlign w:val="top"/>
          </w:tcPr>
          <w:p w14:paraId="2A89EFCA">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质押/标记/冻结情况</w:t>
            </w:r>
          </w:p>
        </w:tc>
      </w:tr>
      <w:tr w14:paraId="1912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7" w:hRule="atLeast"/>
        </w:trPr>
        <w:tc>
          <w:tcPr>
            <w:tcW w:w="1109" w:type="dxa"/>
            <w:vMerge w:val="continue"/>
            <w:noWrap w:val="0"/>
            <w:vAlign w:val="top"/>
          </w:tcPr>
          <w:p w14:paraId="1341AEF6">
            <w:pPr>
              <w:spacing w:line="360" w:lineRule="auto"/>
              <w:rPr>
                <w:rFonts w:ascii="仿宋_GB2312" w:hAnsi="宋体" w:eastAsia="仿宋_GB2312" w:cs="宋体"/>
                <w:kern w:val="0"/>
                <w:sz w:val="24"/>
                <w:szCs w:val="24"/>
              </w:rPr>
            </w:pPr>
          </w:p>
        </w:tc>
        <w:tc>
          <w:tcPr>
            <w:tcW w:w="1217" w:type="dxa"/>
            <w:vMerge w:val="continue"/>
            <w:noWrap w:val="0"/>
            <w:vAlign w:val="top"/>
          </w:tcPr>
          <w:p w14:paraId="4F1C81B2">
            <w:pPr>
              <w:spacing w:line="360" w:lineRule="auto"/>
              <w:rPr>
                <w:rFonts w:ascii="仿宋_GB2312" w:hAnsi="宋体" w:eastAsia="仿宋_GB2312" w:cs="宋体"/>
                <w:kern w:val="0"/>
                <w:sz w:val="24"/>
                <w:szCs w:val="24"/>
              </w:rPr>
            </w:pPr>
          </w:p>
        </w:tc>
        <w:tc>
          <w:tcPr>
            <w:tcW w:w="1217" w:type="dxa"/>
            <w:gridSpan w:val="2"/>
            <w:vMerge w:val="continue"/>
            <w:noWrap w:val="0"/>
            <w:vAlign w:val="top"/>
          </w:tcPr>
          <w:p w14:paraId="534EAFDE">
            <w:pPr>
              <w:spacing w:line="360" w:lineRule="auto"/>
              <w:rPr>
                <w:rFonts w:ascii="仿宋_GB2312" w:hAnsi="宋体" w:eastAsia="仿宋_GB2312" w:cs="宋体"/>
                <w:kern w:val="0"/>
                <w:sz w:val="24"/>
                <w:szCs w:val="24"/>
              </w:rPr>
            </w:pPr>
          </w:p>
        </w:tc>
        <w:tc>
          <w:tcPr>
            <w:tcW w:w="1217" w:type="dxa"/>
            <w:vMerge w:val="continue"/>
            <w:noWrap w:val="0"/>
            <w:vAlign w:val="top"/>
          </w:tcPr>
          <w:p w14:paraId="5093FD1B">
            <w:pPr>
              <w:spacing w:line="360" w:lineRule="auto"/>
              <w:rPr>
                <w:rFonts w:ascii="仿宋_GB2312" w:hAnsi="宋体" w:eastAsia="仿宋_GB2312" w:cs="宋体"/>
                <w:kern w:val="0"/>
                <w:sz w:val="24"/>
                <w:szCs w:val="24"/>
              </w:rPr>
            </w:pPr>
          </w:p>
        </w:tc>
        <w:tc>
          <w:tcPr>
            <w:tcW w:w="1218" w:type="dxa"/>
            <w:vMerge w:val="continue"/>
            <w:noWrap w:val="0"/>
            <w:vAlign w:val="top"/>
          </w:tcPr>
          <w:p w14:paraId="42F040C0">
            <w:pPr>
              <w:spacing w:line="360" w:lineRule="auto"/>
              <w:rPr>
                <w:rFonts w:ascii="仿宋_GB2312" w:hAnsi="宋体" w:eastAsia="仿宋_GB2312" w:cs="宋体"/>
                <w:kern w:val="0"/>
                <w:sz w:val="24"/>
                <w:szCs w:val="24"/>
              </w:rPr>
            </w:pPr>
          </w:p>
        </w:tc>
        <w:tc>
          <w:tcPr>
            <w:tcW w:w="1218" w:type="dxa"/>
            <w:noWrap w:val="0"/>
            <w:vAlign w:val="top"/>
          </w:tcPr>
          <w:p w14:paraId="75992192">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股份状态</w:t>
            </w:r>
          </w:p>
        </w:tc>
        <w:tc>
          <w:tcPr>
            <w:tcW w:w="1168" w:type="dxa"/>
            <w:noWrap w:val="0"/>
            <w:vAlign w:val="top"/>
          </w:tcPr>
          <w:p w14:paraId="734383F6">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14:paraId="3247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109" w:type="dxa"/>
            <w:noWrap w:val="0"/>
            <w:vAlign w:val="top"/>
          </w:tcPr>
          <w:p w14:paraId="339FF2DB">
            <w:pPr>
              <w:spacing w:line="360" w:lineRule="auto"/>
              <w:rPr>
                <w:rFonts w:ascii="仿宋_GB2312" w:hAnsi="宋体" w:eastAsia="仿宋_GB2312" w:cs="宋体"/>
                <w:kern w:val="0"/>
                <w:sz w:val="24"/>
                <w:szCs w:val="24"/>
              </w:rPr>
            </w:pPr>
          </w:p>
        </w:tc>
        <w:tc>
          <w:tcPr>
            <w:tcW w:w="1217" w:type="dxa"/>
            <w:noWrap w:val="0"/>
            <w:vAlign w:val="top"/>
          </w:tcPr>
          <w:p w14:paraId="6DE7F713">
            <w:pPr>
              <w:spacing w:line="360" w:lineRule="auto"/>
              <w:rPr>
                <w:rFonts w:ascii="仿宋_GB2312" w:hAnsi="宋体" w:eastAsia="仿宋_GB2312" w:cs="宋体"/>
                <w:kern w:val="0"/>
                <w:sz w:val="24"/>
                <w:szCs w:val="24"/>
              </w:rPr>
            </w:pPr>
          </w:p>
        </w:tc>
        <w:tc>
          <w:tcPr>
            <w:tcW w:w="1217" w:type="dxa"/>
            <w:gridSpan w:val="2"/>
            <w:noWrap w:val="0"/>
            <w:vAlign w:val="top"/>
          </w:tcPr>
          <w:p w14:paraId="7A791110">
            <w:pPr>
              <w:spacing w:line="360" w:lineRule="auto"/>
              <w:rPr>
                <w:rFonts w:ascii="仿宋_GB2312" w:hAnsi="宋体" w:eastAsia="仿宋_GB2312" w:cs="宋体"/>
                <w:kern w:val="0"/>
                <w:sz w:val="24"/>
                <w:szCs w:val="24"/>
              </w:rPr>
            </w:pPr>
          </w:p>
        </w:tc>
        <w:tc>
          <w:tcPr>
            <w:tcW w:w="1217" w:type="dxa"/>
            <w:noWrap w:val="0"/>
            <w:vAlign w:val="top"/>
          </w:tcPr>
          <w:p w14:paraId="5AC0BE23">
            <w:pPr>
              <w:spacing w:line="360" w:lineRule="auto"/>
              <w:rPr>
                <w:rFonts w:ascii="仿宋_GB2312" w:hAnsi="宋体" w:eastAsia="仿宋_GB2312" w:cs="宋体"/>
                <w:kern w:val="0"/>
                <w:sz w:val="24"/>
                <w:szCs w:val="24"/>
              </w:rPr>
            </w:pPr>
          </w:p>
        </w:tc>
        <w:tc>
          <w:tcPr>
            <w:tcW w:w="1218" w:type="dxa"/>
            <w:noWrap w:val="0"/>
            <w:vAlign w:val="top"/>
          </w:tcPr>
          <w:p w14:paraId="35F286FD">
            <w:pPr>
              <w:spacing w:line="360" w:lineRule="auto"/>
              <w:rPr>
                <w:rFonts w:ascii="仿宋_GB2312" w:hAnsi="宋体" w:eastAsia="仿宋_GB2312" w:cs="宋体"/>
                <w:kern w:val="0"/>
                <w:sz w:val="24"/>
                <w:szCs w:val="24"/>
              </w:rPr>
            </w:pPr>
          </w:p>
        </w:tc>
        <w:tc>
          <w:tcPr>
            <w:tcW w:w="1218" w:type="dxa"/>
            <w:noWrap w:val="0"/>
            <w:vAlign w:val="top"/>
          </w:tcPr>
          <w:p w14:paraId="3F9F26B5">
            <w:pPr>
              <w:spacing w:line="360" w:lineRule="auto"/>
              <w:rPr>
                <w:rFonts w:ascii="仿宋_GB2312" w:hAnsi="宋体" w:eastAsia="仿宋_GB2312" w:cs="宋体"/>
                <w:kern w:val="0"/>
                <w:sz w:val="24"/>
                <w:szCs w:val="24"/>
              </w:rPr>
            </w:pPr>
          </w:p>
        </w:tc>
        <w:tc>
          <w:tcPr>
            <w:tcW w:w="1168" w:type="dxa"/>
            <w:noWrap w:val="0"/>
            <w:vAlign w:val="top"/>
          </w:tcPr>
          <w:p w14:paraId="3AB03E7B">
            <w:pPr>
              <w:spacing w:line="360" w:lineRule="auto"/>
              <w:rPr>
                <w:rFonts w:ascii="仿宋_GB2312" w:hAnsi="宋体" w:eastAsia="仿宋_GB2312" w:cs="宋体"/>
                <w:kern w:val="0"/>
                <w:sz w:val="24"/>
                <w:szCs w:val="24"/>
              </w:rPr>
            </w:pPr>
          </w:p>
        </w:tc>
      </w:tr>
      <w:tr w14:paraId="767B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364" w:type="dxa"/>
            <w:gridSpan w:val="8"/>
            <w:noWrap w:val="0"/>
            <w:vAlign w:val="center"/>
          </w:tcPr>
          <w:p w14:paraId="3784CBC9">
            <w:pPr>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前10名无限售条件股东持股情况（如为纯B股或未股改公司，列示“前1</w:t>
            </w:r>
            <w:r>
              <w:rPr>
                <w:rFonts w:ascii="仿宋_GB2312" w:hAnsi="宋体" w:eastAsia="仿宋_GB2312" w:cs="宋体"/>
                <w:kern w:val="0"/>
                <w:sz w:val="24"/>
                <w:szCs w:val="24"/>
              </w:rPr>
              <w:t>0</w:t>
            </w:r>
            <w:r>
              <w:rPr>
                <w:rFonts w:hint="eastAsia" w:ascii="仿宋_GB2312" w:hAnsi="宋体" w:eastAsia="仿宋_GB2312" w:cs="宋体"/>
                <w:kern w:val="0"/>
                <w:sz w:val="24"/>
                <w:szCs w:val="24"/>
              </w:rPr>
              <w:t>名流通股股东持股情况”）</w:t>
            </w:r>
          </w:p>
        </w:tc>
      </w:tr>
      <w:tr w14:paraId="5C3A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3" w:hRule="atLeast"/>
        </w:trPr>
        <w:tc>
          <w:tcPr>
            <w:tcW w:w="2835" w:type="dxa"/>
            <w:gridSpan w:val="3"/>
            <w:vMerge w:val="restart"/>
            <w:noWrap w:val="0"/>
            <w:vAlign w:val="center"/>
          </w:tcPr>
          <w:p w14:paraId="569B3B3D">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3143" w:type="dxa"/>
            <w:gridSpan w:val="3"/>
            <w:vMerge w:val="restart"/>
            <w:noWrap w:val="0"/>
            <w:vAlign w:val="center"/>
          </w:tcPr>
          <w:p w14:paraId="50C5FE66">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持有无限售条件股份数量（股）</w:t>
            </w:r>
          </w:p>
        </w:tc>
        <w:tc>
          <w:tcPr>
            <w:tcW w:w="2386" w:type="dxa"/>
            <w:gridSpan w:val="2"/>
            <w:noWrap w:val="0"/>
            <w:vAlign w:val="center"/>
          </w:tcPr>
          <w:p w14:paraId="715534C8">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股份种类及数量</w:t>
            </w:r>
          </w:p>
        </w:tc>
      </w:tr>
      <w:tr w14:paraId="2402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2" w:hRule="atLeast"/>
        </w:trPr>
        <w:tc>
          <w:tcPr>
            <w:tcW w:w="2835" w:type="dxa"/>
            <w:gridSpan w:val="3"/>
            <w:vMerge w:val="continue"/>
            <w:noWrap w:val="0"/>
            <w:vAlign w:val="center"/>
          </w:tcPr>
          <w:p w14:paraId="4BD6E2AA">
            <w:pPr>
              <w:spacing w:line="360" w:lineRule="auto"/>
              <w:rPr>
                <w:rFonts w:ascii="仿宋_GB2312" w:hAnsi="宋体" w:eastAsia="仿宋_GB2312" w:cs="宋体"/>
                <w:kern w:val="0"/>
                <w:sz w:val="24"/>
                <w:szCs w:val="24"/>
              </w:rPr>
            </w:pPr>
          </w:p>
        </w:tc>
        <w:tc>
          <w:tcPr>
            <w:tcW w:w="3143" w:type="dxa"/>
            <w:gridSpan w:val="3"/>
            <w:vMerge w:val="continue"/>
            <w:noWrap w:val="0"/>
            <w:vAlign w:val="center"/>
          </w:tcPr>
          <w:p w14:paraId="4A7F548E">
            <w:pPr>
              <w:spacing w:line="360" w:lineRule="auto"/>
              <w:rPr>
                <w:rFonts w:ascii="仿宋_GB2312" w:hAnsi="宋体" w:eastAsia="仿宋_GB2312" w:cs="宋体"/>
                <w:kern w:val="0"/>
                <w:sz w:val="24"/>
                <w:szCs w:val="24"/>
              </w:rPr>
            </w:pPr>
          </w:p>
        </w:tc>
        <w:tc>
          <w:tcPr>
            <w:tcW w:w="1218" w:type="dxa"/>
            <w:noWrap w:val="0"/>
            <w:vAlign w:val="center"/>
          </w:tcPr>
          <w:p w14:paraId="73875FBC">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股份种类</w:t>
            </w:r>
          </w:p>
        </w:tc>
        <w:tc>
          <w:tcPr>
            <w:tcW w:w="1168" w:type="dxa"/>
            <w:noWrap w:val="0"/>
            <w:vAlign w:val="center"/>
          </w:tcPr>
          <w:p w14:paraId="5CB049AB">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14:paraId="00FF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14:paraId="47799CB4">
            <w:pPr>
              <w:spacing w:line="360" w:lineRule="auto"/>
              <w:rPr>
                <w:rFonts w:ascii="仿宋_GB2312" w:hAnsi="宋体" w:eastAsia="仿宋_GB2312" w:cs="宋体"/>
                <w:kern w:val="0"/>
                <w:sz w:val="24"/>
                <w:szCs w:val="24"/>
              </w:rPr>
            </w:pPr>
          </w:p>
        </w:tc>
        <w:tc>
          <w:tcPr>
            <w:tcW w:w="3143" w:type="dxa"/>
            <w:gridSpan w:val="3"/>
            <w:noWrap w:val="0"/>
            <w:vAlign w:val="top"/>
          </w:tcPr>
          <w:p w14:paraId="6DB6D3BB">
            <w:pPr>
              <w:spacing w:line="360" w:lineRule="auto"/>
              <w:rPr>
                <w:rFonts w:ascii="仿宋_GB2312" w:hAnsi="宋体" w:eastAsia="仿宋_GB2312" w:cs="宋体"/>
                <w:kern w:val="0"/>
                <w:sz w:val="24"/>
                <w:szCs w:val="24"/>
              </w:rPr>
            </w:pPr>
          </w:p>
        </w:tc>
        <w:tc>
          <w:tcPr>
            <w:tcW w:w="1218" w:type="dxa"/>
            <w:noWrap w:val="0"/>
            <w:vAlign w:val="top"/>
          </w:tcPr>
          <w:p w14:paraId="11C14C80">
            <w:pPr>
              <w:spacing w:line="360" w:lineRule="auto"/>
              <w:rPr>
                <w:rFonts w:ascii="仿宋_GB2312" w:hAnsi="宋体" w:eastAsia="仿宋_GB2312" w:cs="宋体"/>
                <w:kern w:val="0"/>
                <w:sz w:val="24"/>
                <w:szCs w:val="24"/>
              </w:rPr>
            </w:pPr>
          </w:p>
        </w:tc>
        <w:tc>
          <w:tcPr>
            <w:tcW w:w="1168" w:type="dxa"/>
            <w:noWrap w:val="0"/>
            <w:vAlign w:val="top"/>
          </w:tcPr>
          <w:p w14:paraId="6E34CF43">
            <w:pPr>
              <w:spacing w:line="360" w:lineRule="auto"/>
              <w:rPr>
                <w:rFonts w:ascii="仿宋_GB2312" w:hAnsi="宋体" w:eastAsia="仿宋_GB2312" w:cs="宋体"/>
                <w:kern w:val="0"/>
                <w:sz w:val="24"/>
                <w:szCs w:val="24"/>
              </w:rPr>
            </w:pPr>
          </w:p>
        </w:tc>
      </w:tr>
      <w:tr w14:paraId="6885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14:paraId="7D718E90">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上述股东关联关系或一致行动的说明</w:t>
            </w:r>
          </w:p>
        </w:tc>
        <w:tc>
          <w:tcPr>
            <w:tcW w:w="5529" w:type="dxa"/>
            <w:gridSpan w:val="5"/>
            <w:noWrap w:val="0"/>
            <w:vAlign w:val="top"/>
          </w:tcPr>
          <w:p w14:paraId="2FDC58AD">
            <w:pPr>
              <w:spacing w:line="360" w:lineRule="auto"/>
              <w:rPr>
                <w:rFonts w:ascii="仿宋_GB2312" w:hAnsi="宋体" w:eastAsia="仿宋_GB2312" w:cs="宋体"/>
                <w:kern w:val="0"/>
                <w:sz w:val="24"/>
                <w:szCs w:val="24"/>
              </w:rPr>
            </w:pPr>
          </w:p>
        </w:tc>
      </w:tr>
      <w:tr w14:paraId="3CD8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14:paraId="7B76004B">
            <w:pPr>
              <w:rPr>
                <w:rFonts w:ascii="仿宋_GB2312" w:hAnsi="宋体" w:eastAsia="仿宋_GB2312" w:cs="宋体"/>
                <w:kern w:val="0"/>
                <w:sz w:val="24"/>
                <w:szCs w:val="24"/>
              </w:rPr>
            </w:pPr>
            <w:r>
              <w:rPr>
                <w:rFonts w:hint="eastAsia" w:ascii="仿宋_GB2312" w:hAnsi="宋体" w:eastAsia="仿宋_GB2312" w:cs="宋体"/>
                <w:kern w:val="0"/>
                <w:sz w:val="24"/>
                <w:szCs w:val="24"/>
              </w:rPr>
              <w:t>前10名股东及前</w:t>
            </w:r>
            <w:r>
              <w:rPr>
                <w:rFonts w:ascii="仿宋_GB2312" w:hAnsi="宋体" w:eastAsia="仿宋_GB2312" w:cs="宋体"/>
                <w:kern w:val="0"/>
                <w:sz w:val="24"/>
                <w:szCs w:val="24"/>
              </w:rPr>
              <w:t>10名无限售股东</w:t>
            </w:r>
            <w:r>
              <w:rPr>
                <w:rFonts w:hint="eastAsia" w:ascii="仿宋_GB2312" w:hAnsi="宋体" w:eastAsia="仿宋_GB2312" w:cs="宋体"/>
                <w:kern w:val="0"/>
                <w:sz w:val="24"/>
                <w:szCs w:val="24"/>
              </w:rPr>
              <w:t>参与融资融券及转融通业务情况说明（如有）</w:t>
            </w:r>
          </w:p>
        </w:tc>
        <w:tc>
          <w:tcPr>
            <w:tcW w:w="5529" w:type="dxa"/>
            <w:gridSpan w:val="5"/>
            <w:noWrap w:val="0"/>
            <w:vAlign w:val="top"/>
          </w:tcPr>
          <w:p w14:paraId="1D9FF5AA">
            <w:pPr>
              <w:spacing w:line="360" w:lineRule="auto"/>
              <w:rPr>
                <w:rFonts w:ascii="仿宋_GB2312" w:hAnsi="宋体" w:eastAsia="仿宋_GB2312" w:cs="宋体"/>
                <w:kern w:val="0"/>
                <w:sz w:val="24"/>
                <w:szCs w:val="24"/>
              </w:rPr>
            </w:pPr>
          </w:p>
        </w:tc>
      </w:tr>
    </w:tbl>
    <w:p w14:paraId="2788B58C">
      <w:pPr>
        <w:spacing w:line="360" w:lineRule="auto"/>
        <w:ind w:firstLine="600" w:firstLineChars="200"/>
        <w:rPr>
          <w:rFonts w:ascii="仿宋_GB2312" w:hAnsi="宋体" w:eastAsia="仿宋_GB2312" w:cs="宋体"/>
          <w:kern w:val="0"/>
          <w:sz w:val="30"/>
          <w:szCs w:val="30"/>
        </w:rPr>
      </w:pPr>
    </w:p>
    <w:p w14:paraId="39427E38">
      <w:pPr>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（二）公司优先股股东总数及前10名优先股股东持股情况表（如有）</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217"/>
        <w:gridCol w:w="509"/>
        <w:gridCol w:w="708"/>
        <w:gridCol w:w="1217"/>
        <w:gridCol w:w="1218"/>
        <w:gridCol w:w="1218"/>
        <w:gridCol w:w="1026"/>
      </w:tblGrid>
      <w:tr w14:paraId="15C1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326" w:type="dxa"/>
            <w:gridSpan w:val="2"/>
            <w:noWrap w:val="0"/>
            <w:vAlign w:val="center"/>
          </w:tcPr>
          <w:p w14:paraId="563A9371">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报告期末优先股股东总数</w:t>
            </w:r>
          </w:p>
        </w:tc>
        <w:tc>
          <w:tcPr>
            <w:tcW w:w="5896" w:type="dxa"/>
            <w:gridSpan w:val="6"/>
            <w:noWrap w:val="0"/>
            <w:vAlign w:val="center"/>
          </w:tcPr>
          <w:p w14:paraId="6C728829">
            <w:pPr>
              <w:spacing w:line="360" w:lineRule="auto"/>
              <w:rPr>
                <w:rFonts w:ascii="仿宋_GB2312" w:hAnsi="宋体" w:eastAsia="仿宋_GB2312" w:cs="宋体"/>
                <w:kern w:val="0"/>
                <w:sz w:val="24"/>
                <w:szCs w:val="24"/>
              </w:rPr>
            </w:pPr>
          </w:p>
        </w:tc>
      </w:tr>
      <w:tr w14:paraId="2DF1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22" w:type="dxa"/>
            <w:gridSpan w:val="8"/>
            <w:noWrap w:val="0"/>
            <w:vAlign w:val="center"/>
          </w:tcPr>
          <w:p w14:paraId="6DEC5EAF">
            <w:pPr>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前10名优先股股东持股情况</w:t>
            </w:r>
          </w:p>
        </w:tc>
      </w:tr>
      <w:tr w14:paraId="3BC8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8" w:hRule="atLeast"/>
        </w:trPr>
        <w:tc>
          <w:tcPr>
            <w:tcW w:w="1109" w:type="dxa"/>
            <w:vMerge w:val="restart"/>
            <w:noWrap w:val="0"/>
            <w:vAlign w:val="top"/>
          </w:tcPr>
          <w:p w14:paraId="4C5EE99B">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1217" w:type="dxa"/>
            <w:vMerge w:val="restart"/>
            <w:noWrap w:val="0"/>
            <w:vAlign w:val="top"/>
          </w:tcPr>
          <w:p w14:paraId="0954D916">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股东性质</w:t>
            </w:r>
          </w:p>
        </w:tc>
        <w:tc>
          <w:tcPr>
            <w:tcW w:w="1217" w:type="dxa"/>
            <w:gridSpan w:val="2"/>
            <w:vMerge w:val="restart"/>
            <w:noWrap w:val="0"/>
            <w:vAlign w:val="top"/>
          </w:tcPr>
          <w:p w14:paraId="4B7186CE">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持股数量（股）</w:t>
            </w:r>
          </w:p>
        </w:tc>
        <w:tc>
          <w:tcPr>
            <w:tcW w:w="1217" w:type="dxa"/>
            <w:vMerge w:val="restart"/>
            <w:noWrap w:val="0"/>
            <w:vAlign w:val="top"/>
          </w:tcPr>
          <w:p w14:paraId="4C4E03BC">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持股比例（%）</w:t>
            </w:r>
          </w:p>
        </w:tc>
        <w:tc>
          <w:tcPr>
            <w:tcW w:w="1218" w:type="dxa"/>
            <w:vMerge w:val="restart"/>
            <w:noWrap w:val="0"/>
            <w:vAlign w:val="top"/>
          </w:tcPr>
          <w:p w14:paraId="7F93F4E9">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持有有限售条件股份数量（股）</w:t>
            </w:r>
          </w:p>
        </w:tc>
        <w:tc>
          <w:tcPr>
            <w:tcW w:w="2244" w:type="dxa"/>
            <w:gridSpan w:val="2"/>
            <w:noWrap w:val="0"/>
            <w:vAlign w:val="top"/>
          </w:tcPr>
          <w:p w14:paraId="173759F7">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质押/冻结/标记情况</w:t>
            </w:r>
          </w:p>
        </w:tc>
      </w:tr>
      <w:tr w14:paraId="33E4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7" w:hRule="atLeast"/>
        </w:trPr>
        <w:tc>
          <w:tcPr>
            <w:tcW w:w="1109" w:type="dxa"/>
            <w:vMerge w:val="continue"/>
            <w:noWrap w:val="0"/>
            <w:vAlign w:val="top"/>
          </w:tcPr>
          <w:p w14:paraId="04415F7D">
            <w:pPr>
              <w:spacing w:line="360" w:lineRule="auto"/>
              <w:rPr>
                <w:rFonts w:ascii="仿宋_GB2312" w:hAnsi="宋体" w:eastAsia="仿宋_GB2312" w:cs="宋体"/>
                <w:kern w:val="0"/>
                <w:sz w:val="24"/>
                <w:szCs w:val="24"/>
              </w:rPr>
            </w:pPr>
          </w:p>
        </w:tc>
        <w:tc>
          <w:tcPr>
            <w:tcW w:w="1217" w:type="dxa"/>
            <w:vMerge w:val="continue"/>
            <w:noWrap w:val="0"/>
            <w:vAlign w:val="top"/>
          </w:tcPr>
          <w:p w14:paraId="149DF6D5">
            <w:pPr>
              <w:spacing w:line="360" w:lineRule="auto"/>
              <w:rPr>
                <w:rFonts w:ascii="仿宋_GB2312" w:hAnsi="宋体" w:eastAsia="仿宋_GB2312" w:cs="宋体"/>
                <w:kern w:val="0"/>
                <w:sz w:val="24"/>
                <w:szCs w:val="24"/>
              </w:rPr>
            </w:pPr>
          </w:p>
        </w:tc>
        <w:tc>
          <w:tcPr>
            <w:tcW w:w="1217" w:type="dxa"/>
            <w:gridSpan w:val="2"/>
            <w:vMerge w:val="continue"/>
            <w:noWrap w:val="0"/>
            <w:vAlign w:val="top"/>
          </w:tcPr>
          <w:p w14:paraId="67518C6B">
            <w:pPr>
              <w:spacing w:line="360" w:lineRule="auto"/>
              <w:rPr>
                <w:rFonts w:ascii="仿宋_GB2312" w:hAnsi="宋体" w:eastAsia="仿宋_GB2312" w:cs="宋体"/>
                <w:kern w:val="0"/>
                <w:sz w:val="24"/>
                <w:szCs w:val="24"/>
              </w:rPr>
            </w:pPr>
          </w:p>
        </w:tc>
        <w:tc>
          <w:tcPr>
            <w:tcW w:w="1217" w:type="dxa"/>
            <w:vMerge w:val="continue"/>
            <w:noWrap w:val="0"/>
            <w:vAlign w:val="top"/>
          </w:tcPr>
          <w:p w14:paraId="526D5D13">
            <w:pPr>
              <w:spacing w:line="360" w:lineRule="auto"/>
              <w:rPr>
                <w:rFonts w:ascii="仿宋_GB2312" w:hAnsi="宋体" w:eastAsia="仿宋_GB2312" w:cs="宋体"/>
                <w:kern w:val="0"/>
                <w:sz w:val="24"/>
                <w:szCs w:val="24"/>
              </w:rPr>
            </w:pPr>
          </w:p>
        </w:tc>
        <w:tc>
          <w:tcPr>
            <w:tcW w:w="1218" w:type="dxa"/>
            <w:vMerge w:val="continue"/>
            <w:noWrap w:val="0"/>
            <w:vAlign w:val="top"/>
          </w:tcPr>
          <w:p w14:paraId="57E49163">
            <w:pPr>
              <w:spacing w:line="360" w:lineRule="auto"/>
              <w:rPr>
                <w:rFonts w:ascii="仿宋_GB2312" w:hAnsi="宋体" w:eastAsia="仿宋_GB2312" w:cs="宋体"/>
                <w:kern w:val="0"/>
                <w:sz w:val="24"/>
                <w:szCs w:val="24"/>
              </w:rPr>
            </w:pPr>
          </w:p>
        </w:tc>
        <w:tc>
          <w:tcPr>
            <w:tcW w:w="1218" w:type="dxa"/>
            <w:noWrap w:val="0"/>
            <w:vAlign w:val="top"/>
          </w:tcPr>
          <w:p w14:paraId="6186DD13">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股份状态</w:t>
            </w:r>
          </w:p>
        </w:tc>
        <w:tc>
          <w:tcPr>
            <w:tcW w:w="1026" w:type="dxa"/>
            <w:noWrap w:val="0"/>
            <w:vAlign w:val="top"/>
          </w:tcPr>
          <w:p w14:paraId="58361A57">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14:paraId="6883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109" w:type="dxa"/>
            <w:noWrap w:val="0"/>
            <w:vAlign w:val="top"/>
          </w:tcPr>
          <w:p w14:paraId="2D4D7B86">
            <w:pPr>
              <w:spacing w:line="360" w:lineRule="auto"/>
              <w:rPr>
                <w:rFonts w:ascii="仿宋_GB2312" w:hAnsi="宋体" w:eastAsia="仿宋_GB2312" w:cs="宋体"/>
                <w:kern w:val="0"/>
                <w:sz w:val="24"/>
                <w:szCs w:val="24"/>
              </w:rPr>
            </w:pPr>
          </w:p>
        </w:tc>
        <w:tc>
          <w:tcPr>
            <w:tcW w:w="1217" w:type="dxa"/>
            <w:noWrap w:val="0"/>
            <w:vAlign w:val="top"/>
          </w:tcPr>
          <w:p w14:paraId="24C393C9">
            <w:pPr>
              <w:spacing w:line="360" w:lineRule="auto"/>
              <w:rPr>
                <w:rFonts w:ascii="仿宋_GB2312" w:hAnsi="宋体" w:eastAsia="仿宋_GB2312" w:cs="宋体"/>
                <w:kern w:val="0"/>
                <w:sz w:val="24"/>
                <w:szCs w:val="24"/>
              </w:rPr>
            </w:pPr>
          </w:p>
        </w:tc>
        <w:tc>
          <w:tcPr>
            <w:tcW w:w="1217" w:type="dxa"/>
            <w:gridSpan w:val="2"/>
            <w:noWrap w:val="0"/>
            <w:vAlign w:val="top"/>
          </w:tcPr>
          <w:p w14:paraId="3C984402">
            <w:pPr>
              <w:spacing w:line="360" w:lineRule="auto"/>
              <w:rPr>
                <w:rFonts w:ascii="仿宋_GB2312" w:hAnsi="宋体" w:eastAsia="仿宋_GB2312" w:cs="宋体"/>
                <w:kern w:val="0"/>
                <w:sz w:val="24"/>
                <w:szCs w:val="24"/>
              </w:rPr>
            </w:pPr>
          </w:p>
        </w:tc>
        <w:tc>
          <w:tcPr>
            <w:tcW w:w="1217" w:type="dxa"/>
            <w:noWrap w:val="0"/>
            <w:vAlign w:val="top"/>
          </w:tcPr>
          <w:p w14:paraId="589F69BB">
            <w:pPr>
              <w:spacing w:line="360" w:lineRule="auto"/>
              <w:rPr>
                <w:rFonts w:ascii="仿宋_GB2312" w:hAnsi="宋体" w:eastAsia="仿宋_GB2312" w:cs="宋体"/>
                <w:kern w:val="0"/>
                <w:sz w:val="24"/>
                <w:szCs w:val="24"/>
              </w:rPr>
            </w:pPr>
          </w:p>
        </w:tc>
        <w:tc>
          <w:tcPr>
            <w:tcW w:w="1218" w:type="dxa"/>
            <w:noWrap w:val="0"/>
            <w:vAlign w:val="top"/>
          </w:tcPr>
          <w:p w14:paraId="1B62E1B2">
            <w:pPr>
              <w:spacing w:line="360" w:lineRule="auto"/>
              <w:rPr>
                <w:rFonts w:ascii="仿宋_GB2312" w:hAnsi="宋体" w:eastAsia="仿宋_GB2312" w:cs="宋体"/>
                <w:kern w:val="0"/>
                <w:sz w:val="24"/>
                <w:szCs w:val="24"/>
              </w:rPr>
            </w:pPr>
          </w:p>
        </w:tc>
        <w:tc>
          <w:tcPr>
            <w:tcW w:w="1218" w:type="dxa"/>
            <w:noWrap w:val="0"/>
            <w:vAlign w:val="top"/>
          </w:tcPr>
          <w:p w14:paraId="7398EE52">
            <w:pPr>
              <w:spacing w:line="360" w:lineRule="auto"/>
              <w:rPr>
                <w:rFonts w:ascii="仿宋_GB2312" w:hAnsi="宋体" w:eastAsia="仿宋_GB2312" w:cs="宋体"/>
                <w:kern w:val="0"/>
                <w:sz w:val="24"/>
                <w:szCs w:val="24"/>
              </w:rPr>
            </w:pPr>
          </w:p>
        </w:tc>
        <w:tc>
          <w:tcPr>
            <w:tcW w:w="1026" w:type="dxa"/>
            <w:noWrap w:val="0"/>
            <w:vAlign w:val="top"/>
          </w:tcPr>
          <w:p w14:paraId="1F3539E2">
            <w:pPr>
              <w:spacing w:line="360" w:lineRule="auto"/>
              <w:rPr>
                <w:rFonts w:ascii="仿宋_GB2312" w:hAnsi="宋体" w:eastAsia="仿宋_GB2312" w:cs="宋体"/>
                <w:kern w:val="0"/>
                <w:sz w:val="24"/>
                <w:szCs w:val="24"/>
              </w:rPr>
            </w:pPr>
          </w:p>
        </w:tc>
      </w:tr>
      <w:tr w14:paraId="7AF8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22" w:type="dxa"/>
            <w:gridSpan w:val="8"/>
            <w:noWrap w:val="0"/>
            <w:vAlign w:val="center"/>
          </w:tcPr>
          <w:p w14:paraId="27F63A85">
            <w:pPr>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前10名表决权恢复的优先股股东持股情况</w:t>
            </w:r>
          </w:p>
        </w:tc>
      </w:tr>
      <w:tr w14:paraId="33D5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46" w:hRule="atLeast"/>
        </w:trPr>
        <w:tc>
          <w:tcPr>
            <w:tcW w:w="2835" w:type="dxa"/>
            <w:gridSpan w:val="3"/>
            <w:noWrap w:val="0"/>
            <w:vAlign w:val="center"/>
          </w:tcPr>
          <w:p w14:paraId="3543FCE1">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5387" w:type="dxa"/>
            <w:gridSpan w:val="5"/>
            <w:noWrap w:val="0"/>
            <w:vAlign w:val="center"/>
          </w:tcPr>
          <w:p w14:paraId="02D3AAFE">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持有表决权恢复的优先股股份数量（股）</w:t>
            </w:r>
          </w:p>
        </w:tc>
      </w:tr>
      <w:tr w14:paraId="5B9D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14:paraId="677B8EF4">
            <w:pPr>
              <w:spacing w:line="360" w:lineRule="auto"/>
              <w:rPr>
                <w:rFonts w:ascii="仿宋_GB2312" w:hAnsi="宋体" w:eastAsia="仿宋_GB2312" w:cs="宋体"/>
                <w:kern w:val="0"/>
                <w:sz w:val="24"/>
                <w:szCs w:val="24"/>
              </w:rPr>
            </w:pPr>
          </w:p>
        </w:tc>
        <w:tc>
          <w:tcPr>
            <w:tcW w:w="5387" w:type="dxa"/>
            <w:gridSpan w:val="5"/>
            <w:noWrap w:val="0"/>
            <w:vAlign w:val="top"/>
          </w:tcPr>
          <w:p w14:paraId="6463A5F8">
            <w:pPr>
              <w:spacing w:line="360" w:lineRule="auto"/>
              <w:rPr>
                <w:rFonts w:ascii="仿宋_GB2312" w:hAnsi="宋体" w:eastAsia="仿宋_GB2312" w:cs="宋体"/>
                <w:kern w:val="0"/>
                <w:sz w:val="24"/>
                <w:szCs w:val="24"/>
              </w:rPr>
            </w:pPr>
          </w:p>
        </w:tc>
      </w:tr>
      <w:tr w14:paraId="585E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14:paraId="1E1D7AF6">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上述股东关联关系或一致行动的说明</w:t>
            </w:r>
          </w:p>
        </w:tc>
        <w:tc>
          <w:tcPr>
            <w:tcW w:w="5387" w:type="dxa"/>
            <w:gridSpan w:val="5"/>
            <w:noWrap w:val="0"/>
            <w:vAlign w:val="top"/>
          </w:tcPr>
          <w:p w14:paraId="47ABAE7B">
            <w:pPr>
              <w:spacing w:line="360" w:lineRule="auto"/>
              <w:rPr>
                <w:rFonts w:ascii="仿宋_GB2312" w:hAnsi="宋体" w:eastAsia="仿宋_GB2312" w:cs="宋体"/>
                <w:kern w:val="0"/>
                <w:sz w:val="24"/>
                <w:szCs w:val="24"/>
              </w:rPr>
            </w:pPr>
          </w:p>
        </w:tc>
      </w:tr>
    </w:tbl>
    <w:p w14:paraId="798A757F">
      <w:pPr>
        <w:widowControl/>
        <w:spacing w:line="360" w:lineRule="auto"/>
        <w:ind w:firstLine="480"/>
        <w:rPr>
          <w:rFonts w:ascii="宋体" w:hAnsi="宋体" w:cs="宋体"/>
          <w:color w:val="000000"/>
          <w:kern w:val="0"/>
          <w:sz w:val="24"/>
          <w:szCs w:val="24"/>
        </w:rPr>
      </w:pPr>
    </w:p>
    <w:p w14:paraId="1DCDD170">
      <w:pPr>
        <w:widowControl/>
        <w:spacing w:line="360" w:lineRule="auto"/>
        <w:ind w:firstLine="480"/>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三、其他提醒事项</w:t>
      </w:r>
    </w:p>
    <w:p w14:paraId="0009F56D">
      <w:pPr>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上市公司应当审慎评估有助于投资者了解报告期经营情况的其他重要信息，如存在前述信息，应当予以披露，并提醒投资者关注。</w:t>
      </w:r>
    </w:p>
    <w:p w14:paraId="157D3DEF">
      <w:pPr>
        <w:widowControl/>
        <w:spacing w:line="360" w:lineRule="auto"/>
        <w:rPr>
          <w:rFonts w:ascii="宋体" w:hAnsi="宋体" w:cs="宋体"/>
          <w:color w:val="000000"/>
          <w:kern w:val="0"/>
          <w:sz w:val="24"/>
          <w:szCs w:val="24"/>
        </w:rPr>
      </w:pPr>
    </w:p>
    <w:p w14:paraId="473CDB2B">
      <w:pPr>
        <w:widowControl/>
        <w:spacing w:line="360" w:lineRule="auto"/>
        <w:ind w:firstLine="480"/>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四、季度财务报表</w:t>
      </w:r>
    </w:p>
    <w:p w14:paraId="462E7E19">
      <w:pPr>
        <w:widowControl/>
        <w:spacing w:line="360" w:lineRule="auto"/>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上市公司应当披露截至报告期末的比较式合并资产负债表、年初至报告期末的比较式合并利润表和比较式合并现金流量表。</w:t>
      </w:r>
    </w:p>
    <w:p w14:paraId="731C2194">
      <w:pPr>
        <w:widowControl/>
        <w:spacing w:line="360" w:lineRule="auto"/>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季度财务报表已经审计的，公司应当披露审计意见类型；若被注册会计师出具非标准审计意见，公司还应当披露审计报告。</w:t>
      </w:r>
    </w:p>
    <w:p w14:paraId="636E2EBE">
      <w:pPr>
        <w:widowControl/>
        <w:spacing w:line="360" w:lineRule="auto"/>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2DCE6619">
      <w:pPr>
        <w:widowControl/>
        <w:spacing w:line="360" w:lineRule="auto"/>
        <w:ind w:firstLine="480"/>
        <w:rPr>
          <w:rFonts w:ascii="仿宋_GB2312" w:hAnsi="宋体" w:eastAsia="仿宋_GB2312" w:cs="宋体"/>
          <w:color w:val="000000"/>
          <w:kern w:val="0"/>
          <w:sz w:val="30"/>
          <w:szCs w:val="30"/>
        </w:rPr>
      </w:pPr>
    </w:p>
    <w:p w14:paraId="55E9F7FE">
      <w:pPr>
        <w:widowControl/>
        <w:spacing w:line="360" w:lineRule="auto"/>
        <w:ind w:firstLine="48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64AB02ED">
      <w:pPr>
        <w:widowControl/>
        <w:wordWrap w:val="0"/>
        <w:spacing w:line="360" w:lineRule="auto"/>
        <w:ind w:firstLine="48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14:paraId="04D57A2A">
      <w:pPr>
        <w:widowControl/>
        <w:spacing w:line="360" w:lineRule="auto"/>
        <w:ind w:firstLine="480"/>
        <w:jc w:val="right"/>
        <w:rPr>
          <w:rFonts w:ascii="宋体" w:hAnsi="宋体" w:cs="宋体"/>
          <w:color w:val="000000"/>
          <w:kern w:val="0"/>
          <w:sz w:val="24"/>
          <w:szCs w:val="24"/>
        </w:rPr>
      </w:pPr>
    </w:p>
    <w:p w14:paraId="49F7A8BE">
      <w:pPr>
        <w:spacing w:line="560" w:lineRule="exact"/>
        <w:rPr>
          <w:rFonts w:hint="eastAsia" w:ascii="仿宋_GB2312" w:eastAsia="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19825">
    <w:pPr>
      <w:pStyle w:val="3"/>
      <w:jc w:val="center"/>
    </w:pPr>
    <w:r>
      <w:fldChar w:fldCharType="begin"/>
    </w:r>
    <w:r>
      <w:instrText xml:space="preserve"> PAGE   \* MERGEFORMAT </w:instrText>
    </w:r>
    <w:r>
      <w:fldChar w:fldCharType="separate"/>
    </w:r>
    <w:r>
      <w:rPr>
        <w:lang w:val="zh-CN"/>
      </w:rPr>
      <w:t>1</w:t>
    </w:r>
    <w:r>
      <w:fldChar w:fldCharType="end"/>
    </w:r>
  </w:p>
  <w:p w14:paraId="102B7A0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D2193"/>
    <w:multiLevelType w:val="multilevel"/>
    <w:tmpl w:val="13ED2193"/>
    <w:lvl w:ilvl="0" w:tentative="0">
      <w:start w:val="1"/>
      <w:numFmt w:val="bullet"/>
      <w:lvlText w:val=""/>
      <w:lvlJc w:val="left"/>
      <w:pPr>
        <w:ind w:left="2793" w:hanging="1800"/>
      </w:pPr>
      <w:rPr>
        <w:rFonts w:hint="default" w:ascii="Wingdings" w:hAnsi="Wingdings"/>
        <w:b w:val="0"/>
        <w:lang w:val="en-US"/>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E0"/>
    <w:rsid w:val="0001294D"/>
    <w:rsid w:val="000637B2"/>
    <w:rsid w:val="000666B3"/>
    <w:rsid w:val="000A6EE0"/>
    <w:rsid w:val="001530B9"/>
    <w:rsid w:val="00157F2B"/>
    <w:rsid w:val="00167AC1"/>
    <w:rsid w:val="001D3AFC"/>
    <w:rsid w:val="00254CDF"/>
    <w:rsid w:val="002775CA"/>
    <w:rsid w:val="002946B1"/>
    <w:rsid w:val="002E4BF5"/>
    <w:rsid w:val="00314FDE"/>
    <w:rsid w:val="00327C25"/>
    <w:rsid w:val="003465C9"/>
    <w:rsid w:val="00351D59"/>
    <w:rsid w:val="00366330"/>
    <w:rsid w:val="00383E38"/>
    <w:rsid w:val="00391A27"/>
    <w:rsid w:val="00440F35"/>
    <w:rsid w:val="004676F1"/>
    <w:rsid w:val="00471E55"/>
    <w:rsid w:val="004F302C"/>
    <w:rsid w:val="005568D2"/>
    <w:rsid w:val="00584586"/>
    <w:rsid w:val="00590233"/>
    <w:rsid w:val="005A1675"/>
    <w:rsid w:val="005C2CEB"/>
    <w:rsid w:val="005F03C5"/>
    <w:rsid w:val="005F4172"/>
    <w:rsid w:val="0061746B"/>
    <w:rsid w:val="006533DB"/>
    <w:rsid w:val="00681F53"/>
    <w:rsid w:val="007214DC"/>
    <w:rsid w:val="00753292"/>
    <w:rsid w:val="007B11FF"/>
    <w:rsid w:val="007B2E29"/>
    <w:rsid w:val="008067FC"/>
    <w:rsid w:val="008446C2"/>
    <w:rsid w:val="008479CF"/>
    <w:rsid w:val="00854032"/>
    <w:rsid w:val="008D50EB"/>
    <w:rsid w:val="008F0E72"/>
    <w:rsid w:val="008F793F"/>
    <w:rsid w:val="009229D0"/>
    <w:rsid w:val="00924C8A"/>
    <w:rsid w:val="009561EC"/>
    <w:rsid w:val="009C72F0"/>
    <w:rsid w:val="00A12FBC"/>
    <w:rsid w:val="00A26966"/>
    <w:rsid w:val="00A40687"/>
    <w:rsid w:val="00A53748"/>
    <w:rsid w:val="00A63DE2"/>
    <w:rsid w:val="00B00BA6"/>
    <w:rsid w:val="00B42D91"/>
    <w:rsid w:val="00B535D2"/>
    <w:rsid w:val="00B53AA3"/>
    <w:rsid w:val="00B8032D"/>
    <w:rsid w:val="00B85089"/>
    <w:rsid w:val="00BB3927"/>
    <w:rsid w:val="00BE3459"/>
    <w:rsid w:val="00C0754B"/>
    <w:rsid w:val="00C16324"/>
    <w:rsid w:val="00C855B8"/>
    <w:rsid w:val="00CE7F5A"/>
    <w:rsid w:val="00D07B24"/>
    <w:rsid w:val="00D17603"/>
    <w:rsid w:val="00D43603"/>
    <w:rsid w:val="00DB20F7"/>
    <w:rsid w:val="00E262FE"/>
    <w:rsid w:val="00E92F09"/>
    <w:rsid w:val="00ED4276"/>
    <w:rsid w:val="00EE3666"/>
    <w:rsid w:val="00EF2CD8"/>
    <w:rsid w:val="00F1339E"/>
    <w:rsid w:val="00F400F1"/>
    <w:rsid w:val="00F67042"/>
    <w:rsid w:val="00F7524C"/>
    <w:rsid w:val="00F76D8B"/>
    <w:rsid w:val="00F9137A"/>
    <w:rsid w:val="00FB5FE1"/>
    <w:rsid w:val="00FD7F4A"/>
    <w:rsid w:val="00FF2111"/>
    <w:rsid w:val="084F4313"/>
    <w:rsid w:val="42FE4DC1"/>
    <w:rsid w:val="76AA057E"/>
    <w:rsid w:val="77580D56"/>
    <w:rsid w:val="7B8A39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8"/>
    <w:unhideWhenUsed/>
    <w:uiPriority w:val="99"/>
    <w:rPr>
      <w:kern w:val="0"/>
      <w:sz w:val="18"/>
      <w:szCs w:val="18"/>
    </w:rPr>
  </w:style>
  <w:style w:type="paragraph" w:styleId="3">
    <w:name w:val="footer"/>
    <w:basedOn w:val="1"/>
    <w:link w:val="9"/>
    <w:unhideWhenUsed/>
    <w:uiPriority w:val="99"/>
    <w:pPr>
      <w:tabs>
        <w:tab w:val="center" w:pos="4153"/>
        <w:tab w:val="right" w:pos="8306"/>
      </w:tabs>
      <w:snapToGrid w:val="0"/>
      <w:jc w:val="left"/>
    </w:pPr>
    <w:rPr>
      <w:kern w:val="0"/>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uiPriority w:val="59"/>
    <w:rPr>
      <w:rFonts w:ascii="Calibri" w:hAnsi="Calibri" w:eastAsia="宋体" w:cs="Times New Roman"/>
      <w:kern w:val="2"/>
      <w:sz w:val="21"/>
      <w:szCs w:val="22"/>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link w:val="2"/>
    <w:semiHidden/>
    <w:uiPriority w:val="99"/>
    <w:rPr>
      <w:sz w:val="18"/>
      <w:szCs w:val="18"/>
    </w:rPr>
  </w:style>
  <w:style w:type="character" w:customStyle="1" w:styleId="9">
    <w:name w:val="页脚 Char"/>
    <w:link w:val="3"/>
    <w:uiPriority w:val="99"/>
    <w:rPr>
      <w:sz w:val="18"/>
      <w:szCs w:val="18"/>
    </w:rPr>
  </w:style>
  <w:style w:type="character" w:customStyle="1" w:styleId="10">
    <w:name w:val="页眉 Char"/>
    <w:link w:val="4"/>
    <w:uiPriority w:val="99"/>
    <w:rPr>
      <w:sz w:val="18"/>
      <w:szCs w:val="18"/>
    </w:rPr>
  </w:style>
  <w:style w:type="paragraph" w:styleId="11">
    <w:name w:val="List Paragraph"/>
    <w:basedOn w:val="1"/>
    <w:link w:val="12"/>
    <w:qFormat/>
    <w:uiPriority w:val="0"/>
    <w:pPr>
      <w:ind w:firstLine="420" w:firstLineChars="200"/>
    </w:pPr>
  </w:style>
  <w:style w:type="character" w:customStyle="1" w:styleId="12">
    <w:name w:val="列出段落 Char"/>
    <w:link w:val="11"/>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7</Pages>
  <Words>393</Words>
  <Characters>2242</Characters>
  <Lines>18</Lines>
  <Paragraphs>5</Paragraphs>
  <TotalTime>15</TotalTime>
  <ScaleCrop>false</ScaleCrop>
  <LinksUpToDate>false</LinksUpToDate>
  <CharactersWithSpaces>2630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2021-09-28T11:25:00Z</dcterms:created>
  <dc:creator>shytan</dc:creator>
  <cp:lastModifiedBy>黄文怡</cp:lastModifiedBy>
  <cp:lastPrinted>2021-09-28T01:14:00Z</cp:lastPrinted>
  <dcterms:modified xsi:type="dcterms:W3CDTF">2025-04-25T09:37:12Z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DDE2F286754445909C6D339BB446E5F6_13</vt:lpwstr>
  </property>
</Properties>
</file>