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64C45">
      <w:pPr>
        <w:spacing w:line="560" w:lineRule="exact"/>
        <w:jc w:val="left"/>
        <w:outlineLvl w:val="0"/>
        <w:rPr>
          <w:rFonts w:hint="eastAsia" w:ascii="黑体" w:hAnsi="黑体" w:eastAsia="黑体" w:cs="黑体"/>
          <w:b w:val="0"/>
          <w:bCs w:val="0"/>
          <w:sz w:val="32"/>
          <w:szCs w:val="32"/>
          <w:lang w:eastAsia="zh"/>
        </w:rPr>
      </w:pPr>
      <w:bookmarkStart w:id="0" w:name="_GoBack"/>
      <w:bookmarkEnd w:id="0"/>
      <w:r>
        <w:rPr>
          <w:rFonts w:hint="eastAsia" w:ascii="黑体" w:hAnsi="黑体" w:eastAsia="黑体" w:cs="黑体"/>
          <w:b w:val="0"/>
          <w:bCs w:val="0"/>
          <w:sz w:val="32"/>
          <w:szCs w:val="32"/>
          <w:lang w:eastAsia="zh"/>
        </w:rPr>
        <w:t>附件</w:t>
      </w:r>
      <w:r>
        <w:rPr>
          <w:rFonts w:hint="eastAsia" w:ascii="黑体" w:hAnsi="黑体" w:eastAsia="黑体" w:cs="黑体"/>
          <w:b w:val="0"/>
          <w:bCs w:val="0"/>
          <w:sz w:val="32"/>
          <w:szCs w:val="32"/>
          <w:lang w:val="en-US" w:eastAsia="zh-CN"/>
        </w:rPr>
        <w:t>2</w:t>
      </w:r>
    </w:p>
    <w:p w14:paraId="72AAC075">
      <w:pPr>
        <w:spacing w:line="560" w:lineRule="exact"/>
        <w:jc w:val="center"/>
        <w:outlineLvl w:val="0"/>
        <w:rPr>
          <w:rFonts w:hint="eastAsia" w:ascii="方正大标宋简体" w:hAnsi="方正大标宋简体" w:eastAsia="方正大标宋简体" w:cs="方正大标宋简体"/>
          <w:b w:val="0"/>
          <w:bCs w:val="0"/>
          <w:sz w:val="44"/>
          <w:szCs w:val="44"/>
        </w:rPr>
      </w:pPr>
    </w:p>
    <w:p w14:paraId="56A3D0D0">
      <w:pPr>
        <w:spacing w:line="560" w:lineRule="exact"/>
        <w:jc w:val="center"/>
        <w:outlineLvl w:val="0"/>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《上海证券交易所科创板股票上市规则（</w:t>
      </w:r>
      <w:r>
        <w:rPr>
          <w:rFonts w:hint="default" w:ascii="Times New Roman" w:hAnsi="Times New Roman" w:eastAsia="方正大标宋简体" w:cs="Times New Roman"/>
          <w:b w:val="0"/>
          <w:bCs w:val="0"/>
          <w:sz w:val="44"/>
          <w:szCs w:val="44"/>
        </w:rPr>
        <w:t>2026年</w:t>
      </w:r>
      <w:r>
        <w:rPr>
          <w:rFonts w:hint="eastAsia" w:ascii="Times New Roman" w:hAnsi="Times New Roman" w:eastAsia="方正大标宋简体" w:cs="Times New Roman"/>
          <w:b w:val="0"/>
          <w:bCs w:val="0"/>
          <w:sz w:val="44"/>
          <w:szCs w:val="44"/>
          <w:lang w:val="en-US" w:eastAsia="zh-CN"/>
        </w:rPr>
        <w:t>4</w:t>
      </w:r>
      <w:r>
        <w:rPr>
          <w:rFonts w:hint="eastAsia" w:ascii="方正大标宋简体" w:hAnsi="方正大标宋简体" w:eastAsia="方正大标宋简体" w:cs="方正大标宋简体"/>
          <w:b w:val="0"/>
          <w:bCs w:val="0"/>
          <w:sz w:val="44"/>
          <w:szCs w:val="44"/>
        </w:rPr>
        <w:t>月修订）》修订说明</w:t>
      </w:r>
    </w:p>
    <w:p w14:paraId="2A4E8BA6">
      <w:pPr>
        <w:spacing w:line="560" w:lineRule="exact"/>
        <w:ind w:firstLine="640" w:firstLineChars="200"/>
        <w:rPr>
          <w:rFonts w:ascii="Times New Roman" w:hAnsi="Times New Roman" w:eastAsia="楷体_GB2312"/>
          <w:sz w:val="32"/>
          <w:szCs w:val="32"/>
        </w:rPr>
      </w:pPr>
    </w:p>
    <w:p w14:paraId="258F3AE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rPr>
        <w:t>落实中国证监会《上市公司治理准则》《上市公司董事会秘书监管规则》相关要求，进一步规范科创板上市公司董事、高级管理人员（以下简称高管）和控股股东、实际控制人等“关键少数”行为，促进和保障董事会秘书（以下简称董秘）积极履职，优化上市公司合并流程，</w:t>
      </w:r>
      <w:r>
        <w:rPr>
          <w:rFonts w:ascii="Times New Roman" w:hAnsi="Times New Roman" w:eastAsia="仿宋_GB2312"/>
          <w:sz w:val="32"/>
          <w:szCs w:val="32"/>
        </w:rPr>
        <w:t>切实保护中小投资者合法权益，上海证券交易所</w:t>
      </w:r>
      <w:r>
        <w:rPr>
          <w:rFonts w:hint="eastAsia" w:ascii="Times New Roman" w:hAnsi="Times New Roman" w:eastAsia="仿宋_GB2312"/>
          <w:sz w:val="32"/>
          <w:szCs w:val="32"/>
        </w:rPr>
        <w:t>（以下简称本所）</w:t>
      </w:r>
      <w:r>
        <w:rPr>
          <w:rFonts w:ascii="Times New Roman" w:hAnsi="Times New Roman" w:eastAsia="仿宋_GB2312"/>
          <w:sz w:val="32"/>
          <w:szCs w:val="32"/>
        </w:rPr>
        <w:t>修订了《上海证券交易所</w:t>
      </w:r>
      <w:r>
        <w:rPr>
          <w:rFonts w:hint="eastAsia" w:ascii="Times New Roman" w:hAnsi="Times New Roman" w:eastAsia="仿宋_GB2312"/>
          <w:sz w:val="32"/>
          <w:szCs w:val="32"/>
        </w:rPr>
        <w:t>科创板</w:t>
      </w:r>
      <w:r>
        <w:rPr>
          <w:rFonts w:ascii="Times New Roman" w:hAnsi="Times New Roman" w:eastAsia="仿宋_GB2312"/>
          <w:sz w:val="32"/>
          <w:szCs w:val="32"/>
        </w:rPr>
        <w:t>股票上市规则》（以下简称《</w:t>
      </w:r>
      <w:r>
        <w:rPr>
          <w:rFonts w:hint="eastAsia" w:ascii="Times New Roman" w:hAnsi="Times New Roman" w:eastAsia="仿宋_GB2312"/>
          <w:sz w:val="32"/>
          <w:szCs w:val="32"/>
        </w:rPr>
        <w:t>科创板</w:t>
      </w:r>
      <w:r>
        <w:rPr>
          <w:rFonts w:ascii="Times New Roman" w:hAnsi="Times New Roman" w:eastAsia="仿宋_GB2312"/>
          <w:sz w:val="32"/>
          <w:szCs w:val="32"/>
        </w:rPr>
        <w:t>上市规则》），现将有关情况说明如下。</w:t>
      </w:r>
    </w:p>
    <w:p w14:paraId="4A4E4E83">
      <w:pPr>
        <w:spacing w:line="56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一、修订背景</w:t>
      </w:r>
    </w:p>
    <w:p w14:paraId="77B449C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随着资本市场不断发展，上市公司治理实践日益丰富，治理制度持续完善，近期中国证监会发布了《上市公司治理准则》《上市公司董事会秘书监管规则》，进一步强化上市公司董事、高管和控股股东、实际控制人等“关键少数”的责任，提升董秘履职能力和水平，规范上市公司运作，提高上市公司治理水平。</w:t>
      </w:r>
      <w:r>
        <w:rPr>
          <w:rFonts w:ascii="Times New Roman" w:hAnsi="Times New Roman" w:eastAsia="仿宋_GB2312"/>
          <w:sz w:val="32"/>
          <w:szCs w:val="32"/>
        </w:rPr>
        <w:t>《</w:t>
      </w:r>
      <w:r>
        <w:rPr>
          <w:rFonts w:hint="eastAsia" w:ascii="Times New Roman" w:hAnsi="Times New Roman" w:eastAsia="仿宋_GB2312"/>
          <w:sz w:val="32"/>
          <w:szCs w:val="32"/>
        </w:rPr>
        <w:t>科创板</w:t>
      </w:r>
      <w:r>
        <w:rPr>
          <w:rFonts w:ascii="Times New Roman" w:hAnsi="Times New Roman" w:eastAsia="仿宋_GB2312"/>
          <w:sz w:val="32"/>
          <w:szCs w:val="32"/>
        </w:rPr>
        <w:t>上市规则》作为</w:t>
      </w:r>
      <w:r>
        <w:rPr>
          <w:rFonts w:hint="eastAsia" w:ascii="Times New Roman" w:hAnsi="Times New Roman" w:eastAsia="仿宋_GB2312"/>
          <w:sz w:val="32"/>
          <w:szCs w:val="32"/>
        </w:rPr>
        <w:t>本</w:t>
      </w:r>
      <w:r>
        <w:rPr>
          <w:rFonts w:ascii="Times New Roman" w:hAnsi="Times New Roman" w:eastAsia="仿宋_GB2312"/>
          <w:sz w:val="32"/>
          <w:szCs w:val="32"/>
        </w:rPr>
        <w:t>所信息披露自律监管的基础性规则</w:t>
      </w:r>
      <w:r>
        <w:rPr>
          <w:rFonts w:hint="eastAsia" w:ascii="Times New Roman" w:hAnsi="Times New Roman" w:eastAsia="仿宋_GB2312"/>
          <w:sz w:val="32"/>
          <w:szCs w:val="32"/>
        </w:rPr>
        <w:t>，相应调整完善相关制度</w:t>
      </w:r>
      <w:r>
        <w:rPr>
          <w:rFonts w:ascii="Times New Roman" w:hAnsi="Times New Roman" w:eastAsia="仿宋_GB2312"/>
          <w:sz w:val="32"/>
          <w:szCs w:val="32"/>
        </w:rPr>
        <w:t>，与</w:t>
      </w:r>
      <w:r>
        <w:rPr>
          <w:rFonts w:hint="eastAsia" w:ascii="Times New Roman" w:hAnsi="Times New Roman" w:eastAsia="仿宋_GB2312"/>
          <w:sz w:val="32"/>
          <w:szCs w:val="32"/>
        </w:rPr>
        <w:t>中国证监会相关规则</w:t>
      </w:r>
      <w:r>
        <w:rPr>
          <w:rFonts w:ascii="Times New Roman" w:hAnsi="Times New Roman" w:eastAsia="仿宋_GB2312"/>
          <w:sz w:val="32"/>
          <w:szCs w:val="32"/>
        </w:rPr>
        <w:t>做好衔接。</w:t>
      </w:r>
      <w:r>
        <w:rPr>
          <w:rFonts w:hint="eastAsia" w:ascii="Times New Roman" w:hAnsi="Times New Roman" w:eastAsia="仿宋_GB2312"/>
          <w:sz w:val="32"/>
          <w:szCs w:val="32"/>
        </w:rPr>
        <w:t>同时，自2024年新“国九条”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eastAsia="zh"/>
        </w:rPr>
        <w:t>“</w:t>
      </w:r>
      <w:r>
        <w:rPr>
          <w:rFonts w:hint="eastAsia" w:ascii="Times New Roman" w:hAnsi="Times New Roman" w:eastAsia="仿宋_GB2312"/>
          <w:sz w:val="32"/>
          <w:szCs w:val="32"/>
        </w:rPr>
        <w:t>并购六条</w:t>
      </w:r>
      <w:r>
        <w:rPr>
          <w:rFonts w:hint="eastAsia" w:ascii="Times New Roman" w:hAnsi="Times New Roman" w:eastAsia="仿宋_GB2312"/>
          <w:sz w:val="32"/>
          <w:szCs w:val="32"/>
          <w:lang w:eastAsia="zh"/>
        </w:rPr>
        <w:t>”</w:t>
      </w:r>
      <w:r>
        <w:rPr>
          <w:rFonts w:hint="eastAsia" w:ascii="Times New Roman" w:hAnsi="Times New Roman" w:eastAsia="仿宋_GB2312"/>
          <w:sz w:val="32"/>
          <w:szCs w:val="32"/>
        </w:rPr>
        <w:t>发布以来，多家沪市公司披露了吸收合并公告，上市公司加强产业整合稳步推进。为进一步优化</w:t>
      </w:r>
      <w:r>
        <w:rPr>
          <w:rFonts w:hint="eastAsia" w:ascii="Times New Roman" w:hAnsi="Times New Roman" w:eastAsia="仿宋_GB2312"/>
          <w:sz w:val="32"/>
          <w:szCs w:val="32"/>
          <w:lang w:val="en-US" w:eastAsia="zh-CN"/>
        </w:rPr>
        <w:t>上市公司合并机制</w:t>
      </w:r>
      <w:r>
        <w:rPr>
          <w:rFonts w:hint="eastAsia" w:ascii="Times New Roman" w:hAnsi="Times New Roman" w:eastAsia="仿宋_GB2312"/>
          <w:sz w:val="32"/>
          <w:szCs w:val="32"/>
        </w:rPr>
        <w:t>，对《科创板上市规则》相关内容进行修订。</w:t>
      </w:r>
    </w:p>
    <w:p w14:paraId="3EF00486">
      <w:pPr>
        <w:spacing w:line="56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二、主要修订内容</w:t>
      </w:r>
    </w:p>
    <w:p w14:paraId="6CE1EA70">
      <w:pPr>
        <w:spacing w:line="560" w:lineRule="exact"/>
        <w:ind w:firstLine="643" w:firstLineChars="200"/>
        <w:rPr>
          <w:rFonts w:hint="eastAsia" w:ascii="仿宋_GB2312" w:hAnsi="Times New Roman" w:eastAsia="仿宋_GB2312"/>
          <w:b/>
          <w:sz w:val="32"/>
          <w:szCs w:val="32"/>
        </w:rPr>
      </w:pPr>
      <w:r>
        <w:rPr>
          <w:rFonts w:hint="eastAsia" w:ascii="仿宋_GB2312" w:hAnsi="仿宋_GB2312" w:eastAsia="仿宋_GB2312" w:cs="仿宋_GB2312"/>
          <w:b/>
          <w:bCs/>
          <w:color w:val="000000"/>
          <w:sz w:val="32"/>
          <w:szCs w:val="32"/>
        </w:rPr>
        <w:t>一是加强董事、高管履职监管。</w:t>
      </w:r>
      <w:r>
        <w:rPr>
          <w:rFonts w:hint="eastAsia" w:ascii="仿宋_GB2312" w:hAnsi="仿宋_GB2312" w:eastAsia="仿宋_GB2312" w:cs="仿宋_GB2312"/>
          <w:b/>
          <w:bCs/>
          <w:color w:val="000000"/>
          <w:sz w:val="32"/>
          <w:szCs w:val="32"/>
        </w:rPr>
        <w:t>其一，细化董事高管忠实义务。</w:t>
      </w:r>
      <w:r>
        <w:rPr>
          <w:rFonts w:hint="eastAsia" w:ascii="仿宋_GB2312" w:hAnsi="仿宋_GB2312" w:eastAsia="仿宋_GB2312" w:cs="仿宋_GB2312"/>
          <w:color w:val="000000"/>
          <w:sz w:val="32"/>
          <w:szCs w:val="32"/>
        </w:rPr>
        <w:t>新增例外情形下，董事、高管从事同业竞争、利用公司商业机会等行为的披露要求，强化信息透明度，加强对上市公司及投资者合法权益的保护。</w:t>
      </w:r>
      <w:r>
        <w:rPr>
          <w:rFonts w:hint="eastAsia" w:ascii="仿宋_GB2312" w:hAnsi="仿宋_GB2312" w:eastAsia="仿宋_GB2312" w:cs="仿宋_GB2312"/>
          <w:b/>
          <w:bCs/>
          <w:color w:val="000000"/>
          <w:sz w:val="32"/>
          <w:szCs w:val="32"/>
        </w:rPr>
        <w:t>其二，</w:t>
      </w:r>
      <w:r>
        <w:rPr>
          <w:rFonts w:hint="eastAsia" w:ascii="仿宋_GB2312" w:hAnsi="仿宋_GB2312" w:eastAsia="仿宋_GB2312" w:cs="仿宋_GB2312"/>
          <w:b/>
          <w:bCs/>
          <w:color w:val="000000"/>
          <w:sz w:val="32"/>
          <w:szCs w:val="32"/>
          <w:lang w:val="en-US" w:eastAsia="zh-CN"/>
        </w:rPr>
        <w:t>强化责任约束。</w:t>
      </w:r>
      <w:r>
        <w:rPr>
          <w:rFonts w:hint="eastAsia" w:ascii="仿宋_GB2312" w:hAnsi="仿宋_GB2312" w:eastAsia="仿宋_GB2312" w:cs="仿宋_GB2312"/>
          <w:color w:val="000000"/>
          <w:sz w:val="32"/>
          <w:szCs w:val="32"/>
        </w:rPr>
        <w:t>衔接《公司法》《上市公司治理准则》等相关规则，明确董事、高管的赔偿责任，推动提升董事、高管履职水平。</w:t>
      </w:r>
    </w:p>
    <w:p w14:paraId="34919B48">
      <w:pPr>
        <w:spacing w:line="560" w:lineRule="exact"/>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二是健全董秘履职保障</w:t>
      </w:r>
      <w:r>
        <w:rPr>
          <w:rFonts w:hint="eastAsia" w:ascii="仿宋_GB2312" w:hAnsi="仿宋_GB2312" w:eastAsia="仿宋_GB2312" w:cs="仿宋_GB2312"/>
          <w:b/>
          <w:bCs/>
          <w:color w:val="000000"/>
          <w:sz w:val="32"/>
          <w:szCs w:val="32"/>
          <w:lang w:eastAsia="zh"/>
        </w:rPr>
        <w:t>及任职要求</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rPr>
        <w:t>其一，加强信息互通。</w:t>
      </w:r>
      <w:r>
        <w:rPr>
          <w:rFonts w:hint="eastAsia" w:ascii="仿宋_GB2312" w:hAnsi="仿宋_GB2312" w:eastAsia="仿宋_GB2312" w:cs="仿宋_GB2312"/>
          <w:b w:val="0"/>
          <w:bCs w:val="0"/>
          <w:color w:val="000000"/>
          <w:sz w:val="32"/>
          <w:szCs w:val="32"/>
        </w:rPr>
        <w:t>要求上市公司将董秘履职保障嵌入日常经营管理流程，且董事、高管</w:t>
      </w:r>
      <w:r>
        <w:rPr>
          <w:rFonts w:hint="eastAsia" w:ascii="仿宋_GB2312" w:hAnsi="仿宋_GB2312" w:eastAsia="仿宋_GB2312" w:cs="仿宋_GB2312"/>
          <w:b w:val="0"/>
          <w:bCs w:val="0"/>
          <w:color w:val="000000"/>
          <w:sz w:val="32"/>
          <w:szCs w:val="32"/>
          <w:lang w:eastAsia="zh"/>
        </w:rPr>
        <w:t>及公司有关</w:t>
      </w:r>
      <w:r>
        <w:rPr>
          <w:rFonts w:hint="eastAsia" w:ascii="仿宋_GB2312" w:hAnsi="仿宋_GB2312" w:eastAsia="仿宋_GB2312" w:cs="仿宋_GB2312"/>
          <w:b w:val="0"/>
          <w:bCs w:val="0"/>
          <w:color w:val="000000"/>
          <w:sz w:val="32"/>
          <w:szCs w:val="32"/>
        </w:rPr>
        <w:t>部门积极配合董秘履职、报告重大事项及其进展，为董秘履职提供便利；明确赋予董秘列席股东会和董事会及了解必要信息等权利。</w:t>
      </w:r>
      <w:r>
        <w:rPr>
          <w:rFonts w:hint="eastAsia" w:ascii="仿宋_GB2312" w:hAnsi="仿宋_GB2312" w:eastAsia="仿宋_GB2312" w:cs="仿宋_GB2312"/>
          <w:b/>
          <w:bCs/>
          <w:color w:val="000000"/>
          <w:sz w:val="32"/>
          <w:szCs w:val="32"/>
        </w:rPr>
        <w:t>其二，完善履职保障。</w:t>
      </w:r>
      <w:r>
        <w:rPr>
          <w:rFonts w:hint="eastAsia" w:ascii="仿宋_GB2312" w:hAnsi="仿宋_GB2312" w:eastAsia="仿宋_GB2312" w:cs="仿宋_GB2312"/>
          <w:b w:val="0"/>
          <w:bCs w:val="0"/>
          <w:color w:val="000000"/>
          <w:sz w:val="32"/>
          <w:szCs w:val="32"/>
        </w:rPr>
        <w:t>明确董秘履职受到不当妨碍或者阻挠、发现上市公司存在信息披露违法违规等情形时，应当及时报告等要求，并赋予董事长协调各方配合的义务，为董秘履职提供必要的保障和救济。</w:t>
      </w:r>
      <w:r>
        <w:rPr>
          <w:rFonts w:hint="eastAsia" w:ascii="仿宋_GB2312" w:hAnsi="仿宋_GB2312" w:eastAsia="仿宋_GB2312" w:cs="仿宋_GB2312"/>
          <w:b/>
          <w:bCs/>
          <w:color w:val="000000"/>
          <w:sz w:val="32"/>
          <w:szCs w:val="32"/>
          <w:lang w:eastAsia="zh"/>
        </w:rPr>
        <w:t>其三，完善代行要求。</w:t>
      </w:r>
      <w:r>
        <w:rPr>
          <w:rFonts w:hint="eastAsia" w:ascii="仿宋_GB2312" w:hAnsi="仿宋_GB2312" w:eastAsia="仿宋_GB2312" w:cs="仿宋_GB2312"/>
          <w:b w:val="0"/>
          <w:bCs w:val="0"/>
          <w:color w:val="000000"/>
          <w:sz w:val="32"/>
          <w:szCs w:val="32"/>
        </w:rPr>
        <w:t>为保障上市公司信息披露规范运作，明确董秘空缺期不得超过</w:t>
      </w:r>
      <w:r>
        <w:rPr>
          <w:rFonts w:hint="default" w:ascii="Times New Roman" w:hAnsi="Times New Roman" w:eastAsia="仿宋_GB2312" w:cs="Times New Roman"/>
          <w:b w:val="0"/>
          <w:bCs w:val="0"/>
          <w:color w:val="000000"/>
          <w:sz w:val="32"/>
          <w:szCs w:val="32"/>
        </w:rPr>
        <w:t>6</w:t>
      </w:r>
      <w:r>
        <w:rPr>
          <w:rFonts w:hint="eastAsia" w:ascii="仿宋_GB2312" w:hAnsi="仿宋_GB2312" w:eastAsia="仿宋_GB2312" w:cs="仿宋_GB2312"/>
          <w:b w:val="0"/>
          <w:bCs w:val="0"/>
          <w:color w:val="000000"/>
          <w:sz w:val="32"/>
          <w:szCs w:val="32"/>
        </w:rPr>
        <w:t>个月，空缺期间由董事长代行董秘职责。</w:t>
      </w:r>
    </w:p>
    <w:p w14:paraId="50EA480B">
      <w:pPr>
        <w:keepNext w:val="0"/>
        <w:keepLines w:val="0"/>
        <w:pageBreakBefore w:val="0"/>
        <w:widowControl w:val="0"/>
        <w:kinsoku/>
        <w:wordWrap/>
        <w:overflowPunct/>
        <w:topLinePunct w:val="0"/>
        <w:autoSpaceDE/>
        <w:autoSpaceDN/>
        <w:adjustRightInd/>
        <w:snapToGrid/>
        <w:spacing w:line="560" w:lineRule="exact"/>
        <w:ind w:firstLine="643"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bCs/>
          <w:color w:val="000000"/>
          <w:sz w:val="32"/>
          <w:szCs w:val="32"/>
          <w:lang w:val="en-US" w:eastAsia="zh-CN"/>
        </w:rPr>
        <w:t>三是</w:t>
      </w:r>
      <w:r>
        <w:rPr>
          <w:rFonts w:hint="eastAsia" w:ascii="仿宋_GB2312" w:hAnsi="Times New Roman" w:eastAsia="仿宋_GB2312"/>
          <w:b/>
          <w:sz w:val="32"/>
          <w:szCs w:val="32"/>
          <w:lang w:eastAsia="zh-CN"/>
        </w:rPr>
        <w:t>优化上市公司合并机制。</w:t>
      </w:r>
      <w:r>
        <w:rPr>
          <w:rFonts w:hint="eastAsia" w:ascii="仿宋_GB2312" w:hAnsi="Times New Roman" w:eastAsia="仿宋_GB2312"/>
          <w:b w:val="0"/>
          <w:sz w:val="32"/>
          <w:szCs w:val="32"/>
          <w:lang w:eastAsia="zh-CN"/>
        </w:rPr>
        <w:t>本次修订</w:t>
      </w:r>
      <w:r>
        <w:rPr>
          <w:rFonts w:hint="eastAsia" w:ascii="仿宋_GB2312" w:hAnsi="仿宋_GB2312" w:eastAsia="仿宋_GB2312" w:cs="仿宋_GB2312"/>
          <w:b w:val="0"/>
          <w:color w:val="000000"/>
          <w:sz w:val="32"/>
          <w:szCs w:val="32"/>
          <w:lang w:val="en-US" w:eastAsia="zh-CN"/>
        </w:rPr>
        <w:t>简化了上市公司合并中的终止上市流程。考虑到终止上市系上市公司之间合并方案的环节之一，且整体方案向异议股东提供了现金选择权等保障机制，并经过股东会审议、证监会注册，为优化上市公司合并机制，保护投资者权益，取消因上市公司合并导致终止上市情形下的上市审核委员会审议流程，本所根据证监会对合并方案的注册批复文件和公司合并实施情况等作出是否终止上市的决定。</w:t>
      </w:r>
    </w:p>
    <w:p w14:paraId="52B5BE9E">
      <w:pPr>
        <w:spacing w:line="560" w:lineRule="exact"/>
        <w:ind w:firstLine="643"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lang w:eastAsia="zh-CN"/>
        </w:rPr>
        <w:t>是加强规范上市公司预重整有关事项的信息披露。</w:t>
      </w:r>
      <w:r>
        <w:rPr>
          <w:rFonts w:hint="eastAsia" w:ascii="仿宋_GB2312" w:hAnsi="仿宋_GB2312" w:eastAsia="仿宋_GB2312" w:cs="仿宋_GB2312"/>
          <w:color w:val="000000"/>
          <w:sz w:val="32"/>
          <w:szCs w:val="32"/>
          <w:lang w:eastAsia="zh-CN"/>
        </w:rPr>
        <w:t>债权人向法院申请上市公司预重整的，公司知悉并披露法院受理债权人申请时，应当充分评估自身启动重整的可行性等事项，不得</w:t>
      </w:r>
      <w:r>
        <w:rPr>
          <w:rFonts w:hint="eastAsia" w:ascii="仿宋_GB2312" w:hAnsi="仿宋_GB2312" w:eastAsia="仿宋_GB2312" w:cs="仿宋_GB2312"/>
          <w:color w:val="000000"/>
          <w:sz w:val="32"/>
          <w:szCs w:val="32"/>
          <w:lang w:val="en-US" w:eastAsia="zh-CN"/>
        </w:rPr>
        <w:t>利用</w:t>
      </w:r>
      <w:r>
        <w:rPr>
          <w:rFonts w:hint="eastAsia" w:ascii="仿宋_GB2312" w:hAnsi="仿宋_GB2312" w:eastAsia="仿宋_GB2312" w:cs="仿宋_GB2312"/>
          <w:color w:val="000000"/>
          <w:sz w:val="32"/>
          <w:szCs w:val="32"/>
          <w:lang w:eastAsia="zh-CN"/>
        </w:rPr>
        <w:t>披露存在重大不确定性的重整信息误导投资者。</w:t>
      </w:r>
    </w:p>
    <w:p w14:paraId="5D8CD10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此外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本次修订还</w:t>
      </w:r>
      <w:r>
        <w:rPr>
          <w:rFonts w:hint="eastAsia" w:ascii="仿宋_GB2312" w:hAnsi="仿宋_GB2312" w:eastAsia="仿宋_GB2312" w:cs="仿宋_GB2312"/>
          <w:color w:val="000000"/>
          <w:sz w:val="32"/>
          <w:szCs w:val="32"/>
        </w:rPr>
        <w:t>完善</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上市公司自愿性披露信息、社会责任报告披露等要求，进一步</w:t>
      </w:r>
      <w:r>
        <w:rPr>
          <w:rFonts w:hint="eastAsia" w:ascii="仿宋_GB2312" w:hAnsi="仿宋_GB2312" w:eastAsia="仿宋_GB2312" w:cs="仿宋_GB2312"/>
          <w:color w:val="000000"/>
          <w:sz w:val="32"/>
          <w:szCs w:val="32"/>
          <w:lang w:eastAsia="zh-CN"/>
        </w:rPr>
        <w:t>提升规则的适应性</w:t>
      </w:r>
      <w:r>
        <w:rPr>
          <w:rFonts w:hint="eastAsia" w:ascii="仿宋_GB2312" w:hAnsi="仿宋_GB2312" w:eastAsia="仿宋_GB2312" w:cs="仿宋_GB2312"/>
          <w:color w:val="000000"/>
          <w:sz w:val="32"/>
          <w:szCs w:val="32"/>
        </w:rPr>
        <w:t>。</w:t>
      </w:r>
    </w:p>
    <w:p w14:paraId="138CB8E3">
      <w:pPr>
        <w:keepNext w:val="0"/>
        <w:keepLines w:val="0"/>
        <w:pageBreakBefore w:val="0"/>
        <w:widowControl w:val="0"/>
        <w:kinsoku/>
        <w:wordWrap/>
        <w:overflowPunct/>
        <w:topLinePunct w:val="0"/>
        <w:autoSpaceDE/>
        <w:autoSpaceDN/>
        <w:adjustRightInd/>
        <w:snapToGrid/>
        <w:spacing w:line="560" w:lineRule="exact"/>
        <w:ind w:firstLine="640" w:firstLineChars="200"/>
        <w:textAlignment w:val="auto"/>
        <w:outlineLvl w:val="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sz w:val="32"/>
          <w:szCs w:val="32"/>
          <w:lang w:eastAsia="zh-CN"/>
        </w:rPr>
        <w:t>三</w:t>
      </w:r>
      <w:r>
        <w:rPr>
          <w:rFonts w:hint="default" w:ascii="Times New Roman" w:hAnsi="Times New Roman" w:eastAsia="黑体"/>
          <w:sz w:val="32"/>
          <w:szCs w:val="32"/>
        </w:rPr>
        <w:t>、</w:t>
      </w:r>
      <w:r>
        <w:rPr>
          <w:rFonts w:hint="eastAsia" w:ascii="Times New Roman" w:hAnsi="Times New Roman" w:eastAsia="黑体"/>
          <w:sz w:val="32"/>
          <w:szCs w:val="32"/>
          <w:lang w:eastAsia="zh-CN"/>
        </w:rPr>
        <w:t>公众意见及采纳情况</w:t>
      </w:r>
    </w:p>
    <w:p w14:paraId="24BC02CD">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Times New Roman"/>
          <w:b w:val="0"/>
          <w:color w:val="000000"/>
          <w:sz w:val="32"/>
          <w:szCs w:val="32"/>
          <w:lang w:val="en-US" w:eastAsia="zh-CN"/>
        </w:rPr>
        <w:t>自2025年12月31日</w:t>
      </w:r>
      <w:r>
        <w:rPr>
          <w:rFonts w:hint="default" w:ascii="Times New Roman" w:hAnsi="Times New Roman" w:eastAsia="仿宋_GB2312" w:cs="Times New Roman"/>
          <w:b w:val="0"/>
          <w:color w:val="000000"/>
          <w:sz w:val="32"/>
          <w:szCs w:val="32"/>
          <w:lang w:val="en-US" w:eastAsia="zh-CN"/>
        </w:rPr>
        <w:t>公开征求意见</w:t>
      </w:r>
      <w:r>
        <w:rPr>
          <w:rFonts w:hint="eastAsia" w:ascii="Times New Roman" w:hAnsi="Times New Roman" w:eastAsia="仿宋_GB2312" w:cs="Times New Roman"/>
          <w:b w:val="0"/>
          <w:color w:val="000000"/>
          <w:sz w:val="32"/>
          <w:szCs w:val="32"/>
          <w:lang w:val="en-US" w:eastAsia="zh-CN"/>
        </w:rPr>
        <w:t>以来</w:t>
      </w:r>
      <w:r>
        <w:rPr>
          <w:rFonts w:hint="default" w:ascii="Times New Roman" w:hAnsi="Times New Roman" w:eastAsia="仿宋_GB2312" w:cs="Times New Roman"/>
          <w:b w:val="0"/>
          <w:color w:val="000000"/>
          <w:sz w:val="32"/>
          <w:szCs w:val="32"/>
          <w:lang w:val="en-US" w:eastAsia="zh-CN"/>
        </w:rPr>
        <w:t>，本所收到了</w:t>
      </w:r>
      <w:r>
        <w:rPr>
          <w:rFonts w:hint="eastAsia" w:ascii="Times New Roman" w:hAnsi="Times New Roman" w:eastAsia="仿宋_GB2312" w:cs="Times New Roman"/>
          <w:b w:val="0"/>
          <w:color w:val="000000"/>
          <w:sz w:val="32"/>
          <w:szCs w:val="32"/>
          <w:lang w:val="en-US" w:eastAsia="zh-CN"/>
        </w:rPr>
        <w:t>上市公司、投资者等主体</w:t>
      </w:r>
      <w:r>
        <w:rPr>
          <w:rFonts w:hint="default" w:ascii="Times New Roman" w:hAnsi="Times New Roman" w:eastAsia="仿宋_GB2312" w:cs="Times New Roman"/>
          <w:b w:val="0"/>
          <w:color w:val="000000"/>
          <w:sz w:val="32"/>
          <w:szCs w:val="32"/>
          <w:lang w:val="en-US" w:eastAsia="zh-CN"/>
        </w:rPr>
        <w:t>反馈的</w:t>
      </w:r>
      <w:r>
        <w:rPr>
          <w:rFonts w:hint="eastAsia" w:ascii="Times New Roman" w:hAnsi="Times New Roman" w:eastAsia="仿宋_GB2312" w:cs="Times New Roman"/>
          <w:b w:val="0"/>
          <w:color w:val="000000"/>
          <w:sz w:val="32"/>
          <w:szCs w:val="32"/>
          <w:lang w:val="en-US" w:eastAsia="zh-CN"/>
        </w:rPr>
        <w:t>各类</w:t>
      </w:r>
      <w:r>
        <w:rPr>
          <w:rFonts w:hint="default" w:ascii="Times New Roman" w:hAnsi="Times New Roman" w:eastAsia="仿宋_GB2312" w:cs="Times New Roman"/>
          <w:b w:val="0"/>
          <w:color w:val="000000"/>
          <w:sz w:val="32"/>
          <w:szCs w:val="32"/>
          <w:lang w:val="en-US" w:eastAsia="zh-CN"/>
        </w:rPr>
        <w:t>意见、建议共36条。</w:t>
      </w:r>
      <w:r>
        <w:rPr>
          <w:rFonts w:hint="eastAsia" w:ascii="仿宋_GB2312" w:hAnsi="仿宋" w:eastAsia="仿宋_GB2312" w:cs="Arial"/>
          <w:color w:val="000000"/>
          <w:sz w:val="32"/>
          <w:szCs w:val="32"/>
        </w:rPr>
        <w:t>总体来看，</w:t>
      </w:r>
      <w:r>
        <w:rPr>
          <w:rFonts w:hint="eastAsia" w:ascii="仿宋_GB2312" w:hAnsi="仿宋" w:eastAsia="仿宋_GB2312" w:cs="Arial"/>
          <w:color w:val="000000"/>
          <w:sz w:val="32"/>
          <w:szCs w:val="32"/>
          <w:lang w:eastAsia="zh-CN"/>
        </w:rPr>
        <w:t>市场主体</w:t>
      </w:r>
      <w:r>
        <w:rPr>
          <w:rFonts w:hint="eastAsia" w:ascii="仿宋_GB2312" w:hAnsi="仿宋" w:eastAsia="仿宋_GB2312" w:cs="Arial"/>
          <w:color w:val="000000"/>
          <w:sz w:val="32"/>
          <w:szCs w:val="32"/>
        </w:rPr>
        <w:t>对本次</w:t>
      </w:r>
      <w:r>
        <w:rPr>
          <w:rFonts w:hint="eastAsia" w:ascii="仿宋_GB2312" w:hAnsi="仿宋" w:eastAsia="仿宋_GB2312" w:cs="Arial"/>
          <w:color w:val="000000"/>
          <w:sz w:val="32"/>
          <w:szCs w:val="32"/>
          <w:lang w:eastAsia="zh-CN"/>
        </w:rPr>
        <w:t>规则</w:t>
      </w:r>
      <w:r>
        <w:rPr>
          <w:rFonts w:hint="eastAsia" w:ascii="仿宋_GB2312" w:hAnsi="仿宋" w:eastAsia="仿宋_GB2312" w:cs="Arial"/>
          <w:color w:val="000000"/>
          <w:sz w:val="32"/>
          <w:szCs w:val="32"/>
        </w:rPr>
        <w:t>修订</w:t>
      </w:r>
      <w:r>
        <w:rPr>
          <w:rFonts w:hint="eastAsia" w:ascii="仿宋_GB2312" w:hAnsi="仿宋" w:eastAsia="仿宋_GB2312" w:cs="Arial"/>
          <w:color w:val="000000"/>
          <w:sz w:val="32"/>
          <w:szCs w:val="32"/>
          <w:lang w:eastAsia="zh-CN"/>
        </w:rPr>
        <w:t>工作</w:t>
      </w:r>
      <w:r>
        <w:rPr>
          <w:rFonts w:hint="eastAsia" w:ascii="仿宋_GB2312" w:hAnsi="仿宋" w:eastAsia="仿宋_GB2312" w:cs="Arial"/>
          <w:color w:val="000000"/>
          <w:sz w:val="32"/>
          <w:szCs w:val="32"/>
        </w:rPr>
        <w:t>予以</w:t>
      </w:r>
      <w:r>
        <w:rPr>
          <w:rFonts w:hint="eastAsia" w:ascii="仿宋_GB2312" w:hAnsi="仿宋" w:eastAsia="仿宋_GB2312" w:cs="Arial"/>
          <w:color w:val="000000"/>
          <w:sz w:val="32"/>
          <w:szCs w:val="32"/>
          <w:lang w:eastAsia="zh-CN"/>
        </w:rPr>
        <w:t>积极评价。部分意见涉及规则理解适用，后续将加大规则培训力度，帮助市场主体更好理解和适用规则。</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仿宋">
    <w:altName w:val="宋体"/>
    <w:panose1 w:val="02010609060101010101"/>
    <w:charset w:val="00"/>
    <w:family w:val="auto"/>
    <w:pitch w:val="default"/>
    <w:sig w:usb0="800002BF" w:usb1="38CF7CFA" w:usb2="00000016" w:usb3="00000000" w:csb0="00040001" w:csb1="00000000"/>
  </w:font>
  <w:font w:name="Arial">
    <w:altName w:val="Times New Roman"/>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A27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207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8453F"/>
    <w:rsid w:val="00395D10"/>
    <w:rsid w:val="003A411A"/>
    <w:rsid w:val="004A0559"/>
    <w:rsid w:val="005234DE"/>
    <w:rsid w:val="005B690B"/>
    <w:rsid w:val="00AA0ABA"/>
    <w:rsid w:val="00C62275"/>
    <w:rsid w:val="00D17FC6"/>
    <w:rsid w:val="00DB0920"/>
    <w:rsid w:val="00DE4C6F"/>
    <w:rsid w:val="00DE5AD4"/>
    <w:rsid w:val="0927571F"/>
    <w:rsid w:val="0A366A10"/>
    <w:rsid w:val="0A850C57"/>
    <w:rsid w:val="1AA77AEF"/>
    <w:rsid w:val="25EFADCC"/>
    <w:rsid w:val="2FDF2548"/>
    <w:rsid w:val="3648187C"/>
    <w:rsid w:val="36955256"/>
    <w:rsid w:val="373AAAC9"/>
    <w:rsid w:val="3773BD95"/>
    <w:rsid w:val="3FB5D643"/>
    <w:rsid w:val="3FCFC9B4"/>
    <w:rsid w:val="3FF788E7"/>
    <w:rsid w:val="42867345"/>
    <w:rsid w:val="45BD58D4"/>
    <w:rsid w:val="5DCF38FC"/>
    <w:rsid w:val="5E9B3454"/>
    <w:rsid w:val="5FDF64B9"/>
    <w:rsid w:val="68DF7655"/>
    <w:rsid w:val="6BD769DF"/>
    <w:rsid w:val="6EEEA9CE"/>
    <w:rsid w:val="6F52A0C5"/>
    <w:rsid w:val="73FD5EC9"/>
    <w:rsid w:val="75772226"/>
    <w:rsid w:val="75F74EB4"/>
    <w:rsid w:val="77E7C080"/>
    <w:rsid w:val="7AFFC1CB"/>
    <w:rsid w:val="7CF5E23C"/>
    <w:rsid w:val="7DB7A04E"/>
    <w:rsid w:val="7DFE2735"/>
    <w:rsid w:val="7FFDC1BE"/>
    <w:rsid w:val="9FF7DDBF"/>
    <w:rsid w:val="9FFA0039"/>
    <w:rsid w:val="A6FDD0B8"/>
    <w:rsid w:val="B53AC10E"/>
    <w:rsid w:val="BDC80932"/>
    <w:rsid w:val="BDE38CE2"/>
    <w:rsid w:val="BFBBC485"/>
    <w:rsid w:val="BFEDB361"/>
    <w:rsid w:val="BFF743F9"/>
    <w:rsid w:val="CE6D6649"/>
    <w:rsid w:val="CF7A249B"/>
    <w:rsid w:val="D2DE2AC6"/>
    <w:rsid w:val="D7FF57EA"/>
    <w:rsid w:val="DD676E56"/>
    <w:rsid w:val="DDAF8215"/>
    <w:rsid w:val="DDEFA4AD"/>
    <w:rsid w:val="DDEFBBC4"/>
    <w:rsid w:val="DF4D4576"/>
    <w:rsid w:val="EAF559D7"/>
    <w:rsid w:val="EF7A25F5"/>
    <w:rsid w:val="EFFDCE67"/>
    <w:rsid w:val="F1ABEC28"/>
    <w:rsid w:val="F34798DA"/>
    <w:rsid w:val="F72E01B1"/>
    <w:rsid w:val="FBB6DBE9"/>
    <w:rsid w:val="FBEB631A"/>
    <w:rsid w:val="FCEBEBA7"/>
    <w:rsid w:val="FE78453F"/>
    <w:rsid w:val="FE7DF8CA"/>
    <w:rsid w:val="FFF95432"/>
    <w:rsid w:val="FFFDC8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character" w:customStyle="1" w:styleId="6">
    <w:name w:val="页脚 字符"/>
    <w:link w:val="2"/>
    <w:uiPriority w:val="0"/>
    <w:rPr>
      <w:kern w:val="2"/>
      <w:sz w:val="18"/>
      <w:szCs w:val="18"/>
    </w:rPr>
  </w:style>
  <w:style w:type="character" w:customStyle="1" w:styleId="7">
    <w:name w:val="页眉 字符"/>
    <w:link w:val="3"/>
    <w:uiPriority w:val="0"/>
    <w:rPr>
      <w:kern w:val="2"/>
      <w:sz w:val="18"/>
      <w:szCs w:val="18"/>
    </w:rPr>
  </w:style>
  <w:style w:type="paragraph" w:styleId="8">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1406</Words>
  <Characters>1418</Characters>
  <Lines>1</Lines>
  <Paragraphs>1</Paragraphs>
  <TotalTime>0</TotalTime>
  <ScaleCrop>false</ScaleCrop>
  <LinksUpToDate>false</LinksUpToDate>
  <CharactersWithSpaces>1418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2025-12-29T16:18:00Z</dcterms:created>
  <dc:creator>sse</dc:creator>
  <cp:lastModifiedBy>whxu</cp:lastModifiedBy>
  <dcterms:modified xsi:type="dcterms:W3CDTF">2026-04-24T21:35:35Z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F0E74D1977D6D1A3A771EB69FB15E7E8_43</vt:lpwstr>
  </property>
  <property fmtid="{D5CDD505-2E9C-101B-9397-08002B2CF9AE}" pid="4" name="KSOTemplateDocerSaveRecord">
    <vt:lpwstr>eyJoZGlkIjoiNzk4NDZhMDk4MTdjOTk4MGM0ZGY5OGRjMjIxMmQ0OGEiLCJ1c2VySWQiOiI0ODY2ODYzMDEifQ==</vt:lpwstr>
  </property>
</Properties>
</file>