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5EA83C">
      <w:pPr>
        <w:spacing w:line="560" w:lineRule="exact"/>
        <w:jc w:val="center"/>
        <w:rPr>
          <w:rFonts w:ascii="黑体" w:hAnsi="黑体" w:eastAsia="黑体"/>
          <w:b/>
          <w:bCs/>
          <w:sz w:val="36"/>
          <w:szCs w:val="36"/>
        </w:rPr>
      </w:pPr>
      <w:r>
        <w:rPr>
          <w:rFonts w:hint="eastAsia" w:ascii="黑体" w:hAnsi="黑体" w:eastAsia="黑体"/>
          <w:b/>
          <w:bCs/>
          <w:sz w:val="36"/>
          <w:szCs w:val="36"/>
        </w:rPr>
        <w:t>第四号 上市公</w:t>
      </w:r>
      <w:bookmarkStart w:id="0" w:name="_GoBack"/>
      <w:bookmarkEnd w:id="0"/>
      <w:r>
        <w:rPr>
          <w:rFonts w:hint="eastAsia" w:ascii="黑体" w:hAnsi="黑体" w:eastAsia="黑体"/>
          <w:b/>
          <w:bCs/>
          <w:sz w:val="36"/>
          <w:szCs w:val="36"/>
        </w:rPr>
        <w:t>司为他人提供担保公告</w:t>
      </w:r>
    </w:p>
    <w:p w14:paraId="28091806">
      <w:pPr>
        <w:autoSpaceDE w:val="0"/>
        <w:autoSpaceDN w:val="0"/>
        <w:adjustRightInd w:val="0"/>
        <w:spacing w:line="560" w:lineRule="exact"/>
        <w:jc w:val="center"/>
        <w:rPr>
          <w:rFonts w:ascii="宋体" w:hAnsi="宋体" w:cs="楷体_GB2312-WinCharSetFFFF-H"/>
          <w:color w:val="000000"/>
          <w:kern w:val="0"/>
          <w:sz w:val="32"/>
          <w:szCs w:val="32"/>
        </w:rPr>
      </w:pPr>
    </w:p>
    <w:p w14:paraId="159CF4C7">
      <w:pPr>
        <w:autoSpaceDE w:val="0"/>
        <w:autoSpaceDN w:val="0"/>
        <w:adjustRightInd w:val="0"/>
        <w:snapToGrid w:val="0"/>
        <w:spacing w:line="560" w:lineRule="exact"/>
        <w:rPr>
          <w:rFonts w:ascii="仿宋_GB2312" w:hAnsi="宋体" w:eastAsia="仿宋_GB2312"/>
          <w:b/>
          <w:sz w:val="30"/>
          <w:szCs w:val="30"/>
        </w:rPr>
      </w:pPr>
      <w:r>
        <w:rPr>
          <w:rFonts w:hint="eastAsia" w:ascii="仿宋_GB2312" w:hAnsi="宋体" w:eastAsia="仿宋_GB2312"/>
          <w:b/>
          <w:sz w:val="30"/>
          <w:szCs w:val="30"/>
        </w:rPr>
        <w:t>适用情形：</w:t>
      </w:r>
    </w:p>
    <w:p w14:paraId="584A09C6">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1.上市公司为他人提供担保应当按本公告格式履行信息披露义务，包括上市公司及其控股子公司对他人的担保以及上市公司对控股子公司的担保。</w:t>
      </w:r>
    </w:p>
    <w:p w14:paraId="3CB6A71A">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w:t>
      </w:r>
      <w:r>
        <w:rPr>
          <w:rFonts w:hint="eastAsia"/>
        </w:rPr>
        <w:t xml:space="preserve"> </w:t>
      </w:r>
      <w:r>
        <w:rPr>
          <w:rFonts w:hint="eastAsia" w:ascii="仿宋_GB2312" w:eastAsia="仿宋_GB2312"/>
          <w:color w:val="000000"/>
          <w:sz w:val="30"/>
          <w:szCs w:val="30"/>
        </w:rPr>
        <w:t>上市公司进行年度担保预计的，在担保预计额度内发生具体担保事项时，应当参照本公告格式披露实际发生的担保情况，披露本次担保的基本情况、担保余额等主要信息，并就担保对象的财务状况、资产负债率等是否发生显著变化作出特别提示。</w:t>
      </w:r>
    </w:p>
    <w:p w14:paraId="1D70D2D6">
      <w:pPr>
        <w:spacing w:line="560" w:lineRule="exact"/>
        <w:ind w:firstLine="600" w:firstLineChars="200"/>
        <w:rPr>
          <w:rFonts w:ascii="仿宋_GB2312" w:eastAsia="仿宋_GB2312"/>
          <w:color w:val="000000"/>
          <w:sz w:val="30"/>
          <w:szCs w:val="30"/>
        </w:rPr>
      </w:pPr>
      <w:r>
        <w:rPr>
          <w:rFonts w:hint="eastAsia" w:ascii="仿宋_GB2312" w:hAnsi="宋体" w:eastAsia="仿宋_GB2312"/>
          <w:color w:val="000000"/>
          <w:kern w:val="0"/>
          <w:sz w:val="30"/>
          <w:szCs w:val="30"/>
        </w:rPr>
        <w:t>上市公司</w:t>
      </w:r>
      <w:r>
        <w:rPr>
          <w:rFonts w:ascii="仿宋_GB2312" w:hAnsi="宋体" w:eastAsia="仿宋_GB2312"/>
          <w:color w:val="000000"/>
          <w:kern w:val="0"/>
          <w:sz w:val="30"/>
          <w:szCs w:val="30"/>
        </w:rPr>
        <w:t>因担保发生频次较高，</w:t>
      </w:r>
      <w:r>
        <w:rPr>
          <w:rFonts w:hint="eastAsia" w:ascii="仿宋_GB2312" w:hAnsi="宋体" w:eastAsia="仿宋_GB2312"/>
          <w:color w:val="000000"/>
          <w:kern w:val="0"/>
          <w:sz w:val="30"/>
          <w:szCs w:val="30"/>
        </w:rPr>
        <w:t>逐笔</w:t>
      </w:r>
      <w:r>
        <w:rPr>
          <w:rFonts w:ascii="仿宋_GB2312" w:hAnsi="宋体" w:eastAsia="仿宋_GB2312"/>
          <w:color w:val="000000"/>
          <w:kern w:val="0"/>
          <w:sz w:val="30"/>
          <w:szCs w:val="30"/>
        </w:rPr>
        <w:t>披露确有</w:t>
      </w:r>
      <w:r>
        <w:rPr>
          <w:rFonts w:hint="eastAsia" w:ascii="仿宋_GB2312" w:hAnsi="宋体" w:eastAsia="仿宋_GB2312"/>
          <w:color w:val="000000"/>
          <w:kern w:val="0"/>
          <w:sz w:val="30"/>
          <w:szCs w:val="30"/>
        </w:rPr>
        <w:t>不便的</w:t>
      </w:r>
      <w:r>
        <w:rPr>
          <w:rFonts w:ascii="仿宋_GB2312" w:hAnsi="宋体" w:eastAsia="仿宋_GB2312"/>
          <w:color w:val="000000"/>
          <w:kern w:val="0"/>
          <w:sz w:val="30"/>
          <w:szCs w:val="30"/>
        </w:rPr>
        <w:t>，可以按月汇总披露</w:t>
      </w:r>
      <w:r>
        <w:rPr>
          <w:rFonts w:hint="eastAsia" w:ascii="仿宋_GB2312" w:hAnsi="宋体" w:eastAsia="仿宋_GB2312"/>
          <w:color w:val="000000"/>
          <w:kern w:val="0"/>
          <w:sz w:val="30"/>
          <w:szCs w:val="30"/>
        </w:rPr>
        <w:t>上市公司为子公司、子公司之间等上市公司并表范围内实际发生的担保情况，</w:t>
      </w:r>
      <w:r>
        <w:rPr>
          <w:rFonts w:ascii="仿宋_GB2312" w:hAnsi="宋体" w:eastAsia="仿宋_GB2312"/>
          <w:color w:val="000000"/>
          <w:kern w:val="0"/>
          <w:sz w:val="30"/>
          <w:szCs w:val="30"/>
        </w:rPr>
        <w:t>但应当充分论述</w:t>
      </w:r>
      <w:r>
        <w:rPr>
          <w:rFonts w:hint="eastAsia" w:ascii="仿宋_GB2312" w:hAnsi="宋体" w:eastAsia="仿宋_GB2312"/>
          <w:color w:val="000000"/>
          <w:kern w:val="0"/>
          <w:sz w:val="30"/>
          <w:szCs w:val="30"/>
        </w:rPr>
        <w:t>原因</w:t>
      </w:r>
      <w:r>
        <w:rPr>
          <w:rFonts w:ascii="仿宋_GB2312" w:hAnsi="宋体" w:eastAsia="仿宋_GB2312"/>
          <w:color w:val="000000"/>
          <w:kern w:val="0"/>
          <w:sz w:val="30"/>
          <w:szCs w:val="30"/>
        </w:rPr>
        <w:t>及合理</w:t>
      </w:r>
      <w:r>
        <w:rPr>
          <w:rFonts w:hint="eastAsia" w:ascii="仿宋_GB2312" w:hAnsi="宋体" w:eastAsia="仿宋_GB2312"/>
          <w:color w:val="000000"/>
          <w:kern w:val="0"/>
          <w:sz w:val="30"/>
          <w:szCs w:val="30"/>
        </w:rPr>
        <w:t>性。</w:t>
      </w:r>
    </w:p>
    <w:p w14:paraId="3C1AED0A">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3</w:t>
      </w:r>
      <w:r>
        <w:rPr>
          <w:rFonts w:ascii="仿宋_GB2312" w:eastAsia="仿宋_GB2312"/>
          <w:color w:val="000000"/>
          <w:sz w:val="30"/>
          <w:szCs w:val="30"/>
        </w:rPr>
        <w:t>.</w:t>
      </w:r>
      <w:r>
        <w:rPr>
          <w:rFonts w:hint="eastAsia" w:ascii="仿宋_GB2312" w:eastAsia="仿宋_GB2312"/>
          <w:color w:val="000000"/>
          <w:sz w:val="30"/>
          <w:szCs w:val="30"/>
        </w:rPr>
        <w:t>对于达到披露标准的担保，如果被担保人于债务到期后1</w:t>
      </w:r>
      <w:r>
        <w:rPr>
          <w:rFonts w:ascii="仿宋_GB2312" w:eastAsia="仿宋_GB2312"/>
          <w:color w:val="000000"/>
          <w:sz w:val="30"/>
          <w:szCs w:val="30"/>
        </w:rPr>
        <w:t>5</w:t>
      </w:r>
      <w:r>
        <w:rPr>
          <w:rFonts w:hint="eastAsia" w:ascii="仿宋_GB2312" w:eastAsia="仿宋_GB2312"/>
          <w:color w:val="000000"/>
          <w:sz w:val="30"/>
          <w:szCs w:val="30"/>
        </w:rPr>
        <w:t>个交易日内未履行还款义务，或者被担保人出现破产、清算或者其他严重影响其还款能力的情形，上市公司应当及时披露。</w:t>
      </w:r>
    </w:p>
    <w:p w14:paraId="2AE01AF1">
      <w:pPr>
        <w:spacing w:line="560" w:lineRule="exact"/>
        <w:ind w:firstLine="600" w:firstLineChars="200"/>
        <w:rPr>
          <w:rFonts w:ascii="仿宋_GB2312" w:hAnsi="宋体" w:eastAsia="仿宋_GB2312" w:cs="宋体"/>
          <w:sz w:val="30"/>
          <w:szCs w:val="30"/>
        </w:rPr>
      </w:pPr>
    </w:p>
    <w:p w14:paraId="2E4DD3FE">
      <w:pPr>
        <w:adjustRightInd w:val="0"/>
        <w:snapToGrid w:val="0"/>
        <w:spacing w:line="560" w:lineRule="exact"/>
        <w:rPr>
          <w:rFonts w:ascii="仿宋_GB2312" w:hAnsi="宋体" w:eastAsia="仿宋_GB2312"/>
          <w:sz w:val="30"/>
          <w:szCs w:val="30"/>
        </w:rPr>
      </w:pPr>
      <w:r>
        <w:rPr>
          <w:rFonts w:hint="eastAsia" w:ascii="仿宋_GB2312" w:hAnsi="宋体" w:eastAsia="仿宋_GB2312"/>
          <w:sz w:val="30"/>
          <w:szCs w:val="30"/>
        </w:rPr>
        <w:t>证券代码：             证券简称：            公告编号：</w:t>
      </w:r>
    </w:p>
    <w:p w14:paraId="5058BF98">
      <w:pPr>
        <w:adjustRightInd w:val="0"/>
        <w:snapToGrid w:val="0"/>
        <w:spacing w:line="560" w:lineRule="exact"/>
        <w:jc w:val="center"/>
        <w:rPr>
          <w:rFonts w:ascii="仿宋_GB2312" w:hAnsi="宋体" w:eastAsia="仿宋_GB2312"/>
          <w:color w:val="000000"/>
          <w:sz w:val="30"/>
          <w:szCs w:val="30"/>
        </w:rPr>
      </w:pPr>
    </w:p>
    <w:p w14:paraId="6DA11B44">
      <w:pPr>
        <w:snapToGrid w:val="0"/>
        <w:spacing w:line="560" w:lineRule="exact"/>
        <w:jc w:val="center"/>
        <w:rPr>
          <w:rFonts w:ascii="仿宋_GB2312" w:hAnsi="宋体" w:eastAsia="仿宋_GB2312" w:cs="黑体-WinCharSetFFFF-H"/>
          <w:kern w:val="0"/>
          <w:sz w:val="30"/>
          <w:szCs w:val="30"/>
        </w:rPr>
      </w:pPr>
      <w:r>
        <w:rPr>
          <w:rFonts w:hint="eastAsia" w:ascii="仿宋_GB2312" w:hAnsi="宋体" w:eastAsia="仿宋_GB2312"/>
          <w:color w:val="000000"/>
          <w:sz w:val="30"/>
          <w:szCs w:val="30"/>
        </w:rPr>
        <w:t>X</w:t>
      </w:r>
      <w:r>
        <w:rPr>
          <w:rFonts w:ascii="仿宋_GB2312" w:hAnsi="宋体" w:eastAsia="仿宋_GB2312"/>
          <w:color w:val="000000"/>
          <w:sz w:val="30"/>
          <w:szCs w:val="30"/>
        </w:rPr>
        <w:t>XXX</w:t>
      </w:r>
      <w:r>
        <w:rPr>
          <w:rFonts w:hint="eastAsia" w:ascii="仿宋_GB2312" w:hAnsi="宋体" w:eastAsia="仿宋_GB2312"/>
          <w:color w:val="000000"/>
          <w:sz w:val="30"/>
          <w:szCs w:val="30"/>
        </w:rPr>
        <w:t>股份有限公司为他人提供担保</w:t>
      </w:r>
      <w:r>
        <w:rPr>
          <w:rFonts w:hint="eastAsia" w:ascii="仿宋_GB2312" w:hAnsi="宋体" w:eastAsia="仿宋_GB2312" w:cs="黑体-WinCharSetFFFF-H"/>
          <w:kern w:val="0"/>
          <w:sz w:val="30"/>
          <w:szCs w:val="30"/>
        </w:rPr>
        <w:t>公告</w:t>
      </w:r>
    </w:p>
    <w:p w14:paraId="4538607A">
      <w:pPr>
        <w:snapToGrid w:val="0"/>
        <w:spacing w:line="560" w:lineRule="exact"/>
        <w:jc w:val="center"/>
        <w:rPr>
          <w:rFonts w:ascii="仿宋_GB2312" w:hAnsi="宋体" w:eastAsia="仿宋_GB2312"/>
          <w:color w:val="000000"/>
          <w:sz w:val="30"/>
          <w:szCs w:val="30"/>
        </w:rPr>
      </w:pPr>
    </w:p>
    <w:p w14:paraId="2D72C639">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本公司董事会及全体董事保证本公告内容不存在任何虚假记载、误导性陈述或者重大遗漏，并对其内容的真实性、准确性和完整性承担法律责任。</w:t>
      </w:r>
    </w:p>
    <w:p w14:paraId="53688500">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如有董事对临时公告内容的真实性、准确性和完整性无法保证或存在异议的，公司应当在公告中作特别提示。</w:t>
      </w:r>
    </w:p>
    <w:p w14:paraId="266189C4">
      <w:pPr>
        <w:adjustRightInd w:val="0"/>
        <w:snapToGrid w:val="0"/>
        <w:spacing w:line="560" w:lineRule="exact"/>
        <w:rPr>
          <w:rFonts w:ascii="仿宋_GB2312" w:hAnsi="宋体" w:eastAsia="仿宋_GB2312"/>
          <w:sz w:val="30"/>
          <w:szCs w:val="30"/>
        </w:rPr>
      </w:pPr>
    </w:p>
    <w:p w14:paraId="3CEFD838">
      <w:pPr>
        <w:adjustRightInd w:val="0"/>
        <w:snapToGrid w:val="0"/>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重要内容提示：</w:t>
      </w:r>
    </w:p>
    <w:p w14:paraId="1F0F89EF">
      <w:pPr>
        <w:pStyle w:val="12"/>
        <w:numPr>
          <w:ilvl w:val="0"/>
          <w:numId w:val="1"/>
        </w:numPr>
        <w:adjustRightInd w:val="0"/>
        <w:snapToGrid w:val="0"/>
        <w:spacing w:line="560" w:lineRule="exact"/>
        <w:ind w:firstLineChars="0"/>
        <w:rPr>
          <w:rFonts w:ascii="仿宋_GB2312" w:hAnsi="宋体" w:eastAsia="仿宋_GB2312"/>
          <w:sz w:val="30"/>
          <w:szCs w:val="30"/>
        </w:rPr>
      </w:pPr>
      <w:r>
        <w:rPr>
          <w:rFonts w:hint="eastAsia" w:ascii="仿宋_GB2312" w:eastAsia="仿宋_GB2312"/>
          <w:color w:val="000000"/>
          <w:sz w:val="30"/>
          <w:szCs w:val="30"/>
        </w:rPr>
        <w:t>被担保人名称及是否为上市公司关联人</w:t>
      </w:r>
    </w:p>
    <w:p w14:paraId="254A5E06">
      <w:pPr>
        <w:pStyle w:val="12"/>
        <w:numPr>
          <w:ilvl w:val="0"/>
          <w:numId w:val="1"/>
        </w:numPr>
        <w:adjustRightInd w:val="0"/>
        <w:snapToGrid w:val="0"/>
        <w:spacing w:line="560" w:lineRule="exact"/>
        <w:ind w:firstLineChars="0"/>
        <w:rPr>
          <w:rFonts w:ascii="仿宋_GB2312" w:hAnsi="宋体" w:eastAsia="仿宋_GB2312"/>
          <w:sz w:val="30"/>
          <w:szCs w:val="30"/>
        </w:rPr>
      </w:pPr>
      <w:r>
        <w:rPr>
          <w:rFonts w:hint="eastAsia" w:ascii="仿宋_GB2312" w:eastAsia="仿宋_GB2312"/>
          <w:color w:val="000000"/>
          <w:sz w:val="30"/>
          <w:szCs w:val="30"/>
        </w:rPr>
        <w:t>本次担保金额及已实际为其提供的担保余额</w:t>
      </w:r>
    </w:p>
    <w:p w14:paraId="6B8EF8C4">
      <w:pPr>
        <w:pStyle w:val="12"/>
        <w:numPr>
          <w:ilvl w:val="0"/>
          <w:numId w:val="1"/>
        </w:numPr>
        <w:adjustRightInd w:val="0"/>
        <w:snapToGrid w:val="0"/>
        <w:spacing w:line="560" w:lineRule="exact"/>
        <w:ind w:firstLineChars="0"/>
        <w:rPr>
          <w:rFonts w:ascii="仿宋_GB2312" w:hAnsi="宋体" w:eastAsia="仿宋_GB2312"/>
          <w:sz w:val="30"/>
          <w:szCs w:val="30"/>
        </w:rPr>
      </w:pPr>
      <w:r>
        <w:rPr>
          <w:rFonts w:hint="eastAsia" w:ascii="仿宋_GB2312" w:eastAsia="仿宋_GB2312"/>
          <w:color w:val="000000"/>
          <w:sz w:val="30"/>
          <w:szCs w:val="30"/>
        </w:rPr>
        <w:t>本次担保是否有反担保</w:t>
      </w:r>
    </w:p>
    <w:p w14:paraId="01EBF97B">
      <w:pPr>
        <w:pStyle w:val="12"/>
        <w:numPr>
          <w:ilvl w:val="0"/>
          <w:numId w:val="1"/>
        </w:numPr>
        <w:adjustRightInd w:val="0"/>
        <w:snapToGrid w:val="0"/>
        <w:spacing w:line="560" w:lineRule="exact"/>
        <w:ind w:firstLineChars="0"/>
        <w:rPr>
          <w:rFonts w:ascii="仿宋_GB2312" w:hAnsi="宋体" w:eastAsia="仿宋_GB2312"/>
          <w:sz w:val="30"/>
          <w:szCs w:val="30"/>
        </w:rPr>
      </w:pPr>
      <w:r>
        <w:rPr>
          <w:rFonts w:hint="eastAsia" w:ascii="仿宋_GB2312" w:eastAsia="仿宋_GB2312"/>
          <w:color w:val="000000"/>
          <w:sz w:val="30"/>
          <w:szCs w:val="30"/>
        </w:rPr>
        <w:t>对外担保逾期的累计数量</w:t>
      </w:r>
    </w:p>
    <w:p w14:paraId="152F17E9">
      <w:pPr>
        <w:pStyle w:val="12"/>
        <w:numPr>
          <w:ilvl w:val="0"/>
          <w:numId w:val="1"/>
        </w:numPr>
        <w:adjustRightInd w:val="0"/>
        <w:snapToGrid w:val="0"/>
        <w:spacing w:line="560" w:lineRule="exact"/>
        <w:ind w:firstLineChars="0"/>
        <w:rPr>
          <w:rFonts w:ascii="仿宋_GB2312" w:hAnsi="宋体" w:eastAsia="仿宋_GB2312"/>
          <w:sz w:val="30"/>
          <w:szCs w:val="30"/>
        </w:rPr>
      </w:pPr>
      <w:r>
        <w:rPr>
          <w:rFonts w:hint="eastAsia" w:ascii="仿宋_GB2312" w:hAnsi="宋体" w:eastAsia="仿宋_GB2312"/>
          <w:sz w:val="30"/>
          <w:szCs w:val="30"/>
        </w:rPr>
        <w:t>特别风险提示：上市公司及控股子公司对外担保总额超过最近一期经审计净资产</w:t>
      </w:r>
      <w:r>
        <w:rPr>
          <w:rFonts w:ascii="仿宋_GB2312" w:hAnsi="宋体" w:eastAsia="仿宋_GB2312"/>
          <w:sz w:val="30"/>
          <w:szCs w:val="30"/>
        </w:rPr>
        <w:t>100%</w:t>
      </w:r>
      <w:r>
        <w:rPr>
          <w:rFonts w:hint="eastAsia" w:ascii="仿宋_GB2312" w:hAnsi="宋体" w:eastAsia="仿宋_GB2312"/>
          <w:sz w:val="30"/>
          <w:szCs w:val="30"/>
        </w:rPr>
        <w:t>、对资产负债率超过</w:t>
      </w:r>
      <w:r>
        <w:rPr>
          <w:rFonts w:ascii="仿宋_GB2312" w:hAnsi="宋体" w:eastAsia="仿宋_GB2312"/>
          <w:sz w:val="30"/>
          <w:szCs w:val="30"/>
        </w:rPr>
        <w:t>70%</w:t>
      </w:r>
      <w:r>
        <w:rPr>
          <w:rFonts w:hint="eastAsia" w:ascii="仿宋_GB2312" w:hAnsi="宋体" w:eastAsia="仿宋_GB2312"/>
          <w:sz w:val="30"/>
          <w:szCs w:val="30"/>
        </w:rPr>
        <w:t>的单位提供担保、担保金额超过上市公司最近一期经审计净资产</w:t>
      </w:r>
      <w:r>
        <w:rPr>
          <w:rFonts w:ascii="仿宋_GB2312" w:hAnsi="宋体" w:eastAsia="仿宋_GB2312"/>
          <w:sz w:val="30"/>
          <w:szCs w:val="30"/>
        </w:rPr>
        <w:t>50%</w:t>
      </w:r>
      <w:r>
        <w:rPr>
          <w:rFonts w:hint="eastAsia" w:ascii="仿宋_GB2312" w:hAnsi="宋体" w:eastAsia="仿宋_GB2312"/>
          <w:sz w:val="30"/>
          <w:szCs w:val="30"/>
        </w:rPr>
        <w:t>，以及对合并报表外单位担保金额达到或超过最近一期经审计净资产</w:t>
      </w:r>
      <w:r>
        <w:rPr>
          <w:rFonts w:ascii="仿宋_GB2312" w:hAnsi="宋体" w:eastAsia="仿宋_GB2312"/>
          <w:sz w:val="30"/>
          <w:szCs w:val="30"/>
        </w:rPr>
        <w:t>30%</w:t>
      </w:r>
      <w:r>
        <w:rPr>
          <w:rFonts w:hint="eastAsia" w:ascii="仿宋_GB2312" w:hAnsi="宋体" w:eastAsia="仿宋_GB2312"/>
          <w:sz w:val="30"/>
          <w:szCs w:val="30"/>
        </w:rPr>
        <w:t>的情况下，应当提醒投资者充分关注担保风险。</w:t>
      </w:r>
    </w:p>
    <w:p w14:paraId="6D0B551B">
      <w:pPr>
        <w:autoSpaceDE w:val="0"/>
        <w:autoSpaceDN w:val="0"/>
        <w:adjustRightInd w:val="0"/>
        <w:snapToGrid w:val="0"/>
        <w:spacing w:line="560" w:lineRule="exact"/>
        <w:ind w:firstLine="602" w:firstLineChars="200"/>
        <w:rPr>
          <w:rFonts w:ascii="黑体" w:hAnsi="黑体" w:eastAsia="黑体"/>
          <w:b/>
          <w:sz w:val="30"/>
          <w:szCs w:val="30"/>
        </w:rPr>
      </w:pPr>
    </w:p>
    <w:p w14:paraId="5F0FB93C">
      <w:pPr>
        <w:autoSpaceDE w:val="0"/>
        <w:autoSpaceDN w:val="0"/>
        <w:adjustRightInd w:val="0"/>
        <w:spacing w:line="560" w:lineRule="exact"/>
        <w:ind w:firstLine="578" w:firstLineChars="192"/>
        <w:rPr>
          <w:rFonts w:ascii="黑体" w:hAnsi="黑体" w:eastAsia="黑体"/>
          <w:b/>
          <w:sz w:val="30"/>
          <w:szCs w:val="30"/>
        </w:rPr>
      </w:pPr>
      <w:r>
        <w:rPr>
          <w:rFonts w:hint="eastAsia" w:ascii="黑体" w:hAnsi="黑体" w:eastAsia="黑体"/>
          <w:b/>
          <w:sz w:val="30"/>
          <w:szCs w:val="30"/>
        </w:rPr>
        <w:t>一、担保情况概述</w:t>
      </w:r>
    </w:p>
    <w:p w14:paraId="188B6FB9">
      <w:pPr>
        <w:autoSpaceDE w:val="0"/>
        <w:autoSpaceDN w:val="0"/>
        <w:adjustRightInd w:val="0"/>
        <w:spacing w:line="560" w:lineRule="exact"/>
        <w:ind w:firstLine="576" w:firstLineChars="192"/>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（一）简要</w:t>
      </w:r>
      <w:r>
        <w:rPr>
          <w:rFonts w:ascii="仿宋_GB2312" w:hAnsi="宋体" w:eastAsia="仿宋_GB2312"/>
          <w:color w:val="000000"/>
          <w:kern w:val="0"/>
          <w:sz w:val="30"/>
          <w:szCs w:val="30"/>
        </w:rPr>
        <w:t>介绍担保基本</w:t>
      </w:r>
      <w:r>
        <w:rPr>
          <w:rFonts w:hint="eastAsia" w:ascii="仿宋_GB2312" w:hAnsi="宋体" w:eastAsia="仿宋_GB2312"/>
          <w:color w:val="000000"/>
          <w:kern w:val="0"/>
          <w:sz w:val="30"/>
          <w:szCs w:val="30"/>
        </w:rPr>
        <w:t>情况</w:t>
      </w:r>
      <w:r>
        <w:rPr>
          <w:rFonts w:ascii="仿宋_GB2312" w:hAnsi="宋体" w:eastAsia="仿宋_GB2312"/>
          <w:color w:val="000000"/>
          <w:kern w:val="0"/>
          <w:sz w:val="30"/>
          <w:szCs w:val="30"/>
        </w:rPr>
        <w:t>，</w:t>
      </w:r>
      <w:r>
        <w:rPr>
          <w:rFonts w:hint="eastAsia" w:ascii="仿宋_GB2312" w:hAnsi="宋体" w:eastAsia="仿宋_GB2312"/>
          <w:color w:val="000000"/>
          <w:kern w:val="0"/>
          <w:sz w:val="30"/>
          <w:szCs w:val="30"/>
        </w:rPr>
        <w:t>例如</w:t>
      </w:r>
      <w:r>
        <w:rPr>
          <w:rFonts w:ascii="仿宋_GB2312" w:hAnsi="宋体" w:eastAsia="仿宋_GB2312"/>
          <w:color w:val="000000"/>
          <w:kern w:val="0"/>
          <w:sz w:val="30"/>
          <w:szCs w:val="30"/>
        </w:rPr>
        <w:t>协议签署日期、被担保人和债权人的名称、担保金额</w:t>
      </w:r>
      <w:r>
        <w:rPr>
          <w:rFonts w:hint="eastAsia" w:ascii="仿宋_GB2312" w:hAnsi="宋体" w:eastAsia="仿宋_GB2312"/>
          <w:color w:val="000000"/>
          <w:kern w:val="0"/>
          <w:sz w:val="30"/>
          <w:szCs w:val="30"/>
        </w:rPr>
        <w:t>、</w:t>
      </w:r>
      <w:r>
        <w:rPr>
          <w:rFonts w:ascii="仿宋_GB2312" w:hAnsi="宋体" w:eastAsia="仿宋_GB2312"/>
          <w:color w:val="000000"/>
          <w:kern w:val="0"/>
          <w:sz w:val="30"/>
          <w:szCs w:val="30"/>
        </w:rPr>
        <w:t>担保方式、担保期限、担保原因及范围</w:t>
      </w:r>
      <w:r>
        <w:rPr>
          <w:rFonts w:hint="eastAsia" w:ascii="仿宋_GB2312" w:hAnsi="宋体" w:eastAsia="仿宋_GB2312"/>
          <w:color w:val="000000"/>
          <w:kern w:val="0"/>
          <w:sz w:val="30"/>
          <w:szCs w:val="30"/>
        </w:rPr>
        <w:t>、</w:t>
      </w:r>
      <w:r>
        <w:rPr>
          <w:rFonts w:ascii="仿宋_GB2312" w:hAnsi="宋体" w:eastAsia="仿宋_GB2312"/>
          <w:color w:val="000000"/>
          <w:kern w:val="0"/>
          <w:sz w:val="30"/>
          <w:szCs w:val="30"/>
        </w:rPr>
        <w:t>是否有反担保等</w:t>
      </w:r>
      <w:r>
        <w:rPr>
          <w:rFonts w:hint="eastAsia" w:ascii="仿宋_GB2312" w:hAnsi="宋体" w:eastAsia="仿宋_GB2312"/>
          <w:color w:val="000000"/>
          <w:kern w:val="0"/>
          <w:sz w:val="30"/>
          <w:szCs w:val="30"/>
        </w:rPr>
        <w:t>。</w:t>
      </w:r>
      <w:r>
        <w:rPr>
          <w:rFonts w:hint="eastAsia" w:ascii="仿宋_GB2312" w:hAnsi="宋体" w:eastAsia="仿宋_GB2312"/>
          <w:sz w:val="30"/>
          <w:szCs w:val="30"/>
        </w:rPr>
        <w:t>如为控股子公司或参股公司提供担保，说明其他股东提供担保的情况。</w:t>
      </w:r>
    </w:p>
    <w:p w14:paraId="09717852">
      <w:pPr>
        <w:autoSpaceDE w:val="0"/>
        <w:autoSpaceDN w:val="0"/>
        <w:adjustRightInd w:val="0"/>
        <w:spacing w:line="560" w:lineRule="exact"/>
        <w:ind w:firstLine="576" w:firstLineChars="192"/>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（二）上市公司就本次担保事项履行的内部决策程序及</w:t>
      </w:r>
      <w:r>
        <w:rPr>
          <w:rFonts w:hint="eastAsia" w:ascii="仿宋_GB2312" w:eastAsia="仿宋_GB2312"/>
          <w:color w:val="000000"/>
          <w:sz w:val="30"/>
          <w:szCs w:val="30"/>
        </w:rPr>
        <w:t>尚需履行的决策程序</w:t>
      </w:r>
      <w:r>
        <w:rPr>
          <w:rFonts w:hint="eastAsia" w:ascii="仿宋_GB2312" w:hAnsi="宋体" w:eastAsia="仿宋_GB2312"/>
          <w:color w:val="000000"/>
          <w:kern w:val="0"/>
          <w:sz w:val="30"/>
          <w:szCs w:val="30"/>
        </w:rPr>
        <w:t>。</w:t>
      </w:r>
    </w:p>
    <w:p w14:paraId="1A252394">
      <w:pPr>
        <w:spacing w:line="560" w:lineRule="exact"/>
        <w:ind w:firstLine="480" w:firstLineChars="200"/>
        <w:jc w:val="left"/>
        <w:rPr>
          <w:rFonts w:ascii="仿宋_GB2312" w:hAnsi="宋体" w:eastAsia="仿宋_GB2312"/>
          <w:color w:val="000000"/>
          <w:kern w:val="0"/>
          <w:sz w:val="30"/>
          <w:szCs w:val="30"/>
        </w:rPr>
      </w:pPr>
      <w:r>
        <w:rPr>
          <w:rFonts w:hint="eastAsia" w:ascii="楷体" w:hAnsi="楷体" w:eastAsia="楷体" w:cs="宋体-WinCharSetFFFF-H"/>
          <w:color w:val="000000"/>
          <w:kern w:val="0"/>
          <w:sz w:val="24"/>
          <w:szCs w:val="24"/>
        </w:rPr>
        <w:t xml:space="preserve">（编制提醒： </w:t>
      </w:r>
    </w:p>
    <w:p w14:paraId="52745D0E">
      <w:pPr>
        <w:autoSpaceDE w:val="0"/>
        <w:autoSpaceDN w:val="0"/>
        <w:adjustRightInd w:val="0"/>
        <w:spacing w:line="560" w:lineRule="exact"/>
        <w:ind w:firstLine="460" w:firstLineChars="192"/>
        <w:rPr>
          <w:rFonts w:ascii="楷体" w:hAnsi="楷体" w:eastAsia="楷体" w:cs="宋体-WinCharSetFFFF-H"/>
          <w:color w:val="000000"/>
          <w:kern w:val="0"/>
          <w:sz w:val="24"/>
          <w:szCs w:val="24"/>
        </w:rPr>
      </w:pPr>
      <w:r>
        <w:rPr>
          <w:rFonts w:ascii="楷体" w:hAnsi="楷体" w:eastAsia="楷体" w:cs="宋体-WinCharSetFFFF-H"/>
          <w:color w:val="000000"/>
          <w:kern w:val="0"/>
          <w:sz w:val="24"/>
          <w:szCs w:val="24"/>
        </w:rPr>
        <w:t>1.对于</w:t>
      </w:r>
      <w:r>
        <w:rPr>
          <w:rFonts w:hint="eastAsia" w:ascii="楷体" w:hAnsi="楷体" w:eastAsia="楷体" w:cs="宋体-WinCharSetFFFF-H"/>
          <w:color w:val="000000"/>
          <w:kern w:val="0"/>
          <w:sz w:val="24"/>
          <w:szCs w:val="24"/>
        </w:rPr>
        <w:t>非</w:t>
      </w:r>
      <w:r>
        <w:rPr>
          <w:rFonts w:ascii="楷体" w:hAnsi="楷体" w:eastAsia="楷体" w:cs="宋体-WinCharSetFFFF-H"/>
          <w:color w:val="000000"/>
          <w:kern w:val="0"/>
          <w:sz w:val="24"/>
          <w:szCs w:val="24"/>
        </w:rPr>
        <w:t>关联担保，</w:t>
      </w:r>
      <w:r>
        <w:rPr>
          <w:rFonts w:hint="eastAsia" w:ascii="楷体" w:hAnsi="楷体" w:eastAsia="楷体" w:cs="宋体-WinCharSetFFFF-H"/>
          <w:color w:val="000000"/>
          <w:kern w:val="0"/>
          <w:sz w:val="24"/>
          <w:szCs w:val="24"/>
        </w:rPr>
        <w:t>担保事项除应当经全体董事的过半数审议通过外，还应当经出席董事会会议的三分之二以上董事审议通过。对达到</w:t>
      </w:r>
      <w:r>
        <w:rPr>
          <w:rFonts w:ascii="楷体" w:hAnsi="楷体" w:eastAsia="楷体" w:cs="宋体-WinCharSetFFFF-H"/>
          <w:color w:val="000000"/>
          <w:kern w:val="0"/>
          <w:sz w:val="24"/>
          <w:szCs w:val="24"/>
        </w:rPr>
        <w:t>《</w:t>
      </w:r>
      <w:r>
        <w:rPr>
          <w:rFonts w:hint="eastAsia" w:ascii="楷体" w:hAnsi="楷体" w:eastAsia="楷体" w:cs="宋体-WinCharSetFFFF-H"/>
          <w:color w:val="000000"/>
          <w:kern w:val="0"/>
          <w:sz w:val="24"/>
          <w:szCs w:val="24"/>
        </w:rPr>
        <w:t>股票</w:t>
      </w:r>
      <w:r>
        <w:rPr>
          <w:rFonts w:ascii="楷体" w:hAnsi="楷体" w:eastAsia="楷体" w:cs="宋体-WinCharSetFFFF-H"/>
          <w:color w:val="000000"/>
          <w:kern w:val="0"/>
          <w:sz w:val="24"/>
          <w:szCs w:val="24"/>
        </w:rPr>
        <w:t>上市规则》</w:t>
      </w:r>
      <w:r>
        <w:rPr>
          <w:rFonts w:hint="eastAsia" w:ascii="楷体" w:hAnsi="楷体" w:eastAsia="楷体" w:cs="宋体-WinCharSetFFFF-H"/>
          <w:color w:val="000000"/>
          <w:kern w:val="0"/>
          <w:sz w:val="24"/>
          <w:szCs w:val="24"/>
        </w:rPr>
        <w:t>规定</w:t>
      </w:r>
      <w:r>
        <w:rPr>
          <w:rFonts w:ascii="楷体" w:hAnsi="楷体" w:eastAsia="楷体" w:cs="宋体-WinCharSetFFFF-H"/>
          <w:color w:val="000000"/>
          <w:kern w:val="0"/>
          <w:sz w:val="24"/>
          <w:szCs w:val="24"/>
        </w:rPr>
        <w:t>情形的担保，应在</w:t>
      </w:r>
      <w:r>
        <w:rPr>
          <w:rFonts w:hint="eastAsia" w:ascii="楷体" w:hAnsi="楷体" w:eastAsia="楷体" w:cs="宋体-WinCharSetFFFF-H"/>
          <w:color w:val="000000"/>
          <w:kern w:val="0"/>
          <w:sz w:val="24"/>
          <w:szCs w:val="24"/>
        </w:rPr>
        <w:t>董事会</w:t>
      </w:r>
      <w:r>
        <w:rPr>
          <w:rFonts w:ascii="楷体" w:hAnsi="楷体" w:eastAsia="楷体" w:cs="宋体-WinCharSetFFFF-H"/>
          <w:color w:val="000000"/>
          <w:kern w:val="0"/>
          <w:sz w:val="24"/>
          <w:szCs w:val="24"/>
        </w:rPr>
        <w:t>审议后提交股东会审议。</w:t>
      </w:r>
    </w:p>
    <w:p w14:paraId="2E965152">
      <w:pPr>
        <w:autoSpaceDE w:val="0"/>
        <w:autoSpaceDN w:val="0"/>
        <w:adjustRightInd w:val="0"/>
        <w:spacing w:line="560" w:lineRule="exact"/>
        <w:ind w:firstLine="460" w:firstLineChars="192"/>
        <w:rPr>
          <w:rFonts w:ascii="楷体" w:hAnsi="楷体" w:eastAsia="楷体" w:cs="宋体-WinCharSetFFFF-H"/>
          <w:color w:val="000000"/>
          <w:kern w:val="0"/>
          <w:sz w:val="24"/>
          <w:szCs w:val="24"/>
        </w:rPr>
      </w:pPr>
      <w:r>
        <w:rPr>
          <w:rFonts w:ascii="楷体" w:hAnsi="楷体" w:eastAsia="楷体" w:cs="宋体-WinCharSetFFFF-H"/>
          <w:color w:val="000000"/>
          <w:kern w:val="0"/>
          <w:sz w:val="24"/>
          <w:szCs w:val="24"/>
        </w:rPr>
        <w:t>2.对于关联担保，</w:t>
      </w:r>
      <w:r>
        <w:rPr>
          <w:rFonts w:hint="eastAsia" w:ascii="楷体" w:hAnsi="楷体" w:eastAsia="楷体" w:cs="宋体-WinCharSetFFFF-H"/>
          <w:color w:val="000000"/>
          <w:kern w:val="0"/>
          <w:sz w:val="24"/>
          <w:szCs w:val="24"/>
        </w:rPr>
        <w:t>应当经独立董事专门会议审议通过后，提交董事会、股东会审议。董事会作出决议时，</w:t>
      </w:r>
      <w:r>
        <w:rPr>
          <w:rFonts w:ascii="楷体" w:hAnsi="楷体" w:eastAsia="楷体" w:cs="宋体-WinCharSetFFFF-H"/>
          <w:color w:val="000000"/>
          <w:kern w:val="0"/>
          <w:sz w:val="24"/>
          <w:szCs w:val="24"/>
        </w:rPr>
        <w:t>除应当经全体非关联董事的过半数审议通过外，还应当经出席董事会会议的非关联董事的三分之二以上董事审议同意</w:t>
      </w:r>
      <w:r>
        <w:rPr>
          <w:rFonts w:hint="eastAsia" w:ascii="楷体" w:hAnsi="楷体" w:eastAsia="楷体" w:cs="宋体-WinCharSetFFFF-H"/>
          <w:color w:val="000000"/>
          <w:kern w:val="0"/>
          <w:sz w:val="24"/>
          <w:szCs w:val="24"/>
        </w:rPr>
        <w:t>。</w:t>
      </w:r>
    </w:p>
    <w:p w14:paraId="13A7A94B">
      <w:pPr>
        <w:autoSpaceDE w:val="0"/>
        <w:autoSpaceDN w:val="0"/>
        <w:adjustRightInd w:val="0"/>
        <w:spacing w:line="560" w:lineRule="exact"/>
        <w:ind w:firstLine="460" w:firstLineChars="192"/>
        <w:rPr>
          <w:rFonts w:ascii="楷体" w:hAnsi="楷体" w:eastAsia="楷体" w:cs="宋体-WinCharSetFFFF-H"/>
          <w:color w:val="000000"/>
          <w:kern w:val="0"/>
          <w:sz w:val="24"/>
          <w:szCs w:val="24"/>
        </w:rPr>
      </w:pPr>
      <w:r>
        <w:rPr>
          <w:rFonts w:ascii="楷体" w:hAnsi="楷体" w:eastAsia="楷体" w:cs="宋体-WinCharSetFFFF-H"/>
          <w:color w:val="000000"/>
          <w:kern w:val="0"/>
          <w:sz w:val="24"/>
          <w:szCs w:val="24"/>
        </w:rPr>
        <w:t>3</w:t>
      </w:r>
      <w:r>
        <w:rPr>
          <w:rFonts w:hint="eastAsia" w:ascii="楷体" w:hAnsi="楷体" w:eastAsia="楷体" w:cs="宋体-WinCharSetFFFF-H"/>
          <w:color w:val="000000"/>
          <w:kern w:val="0"/>
          <w:sz w:val="24"/>
          <w:szCs w:val="24"/>
        </w:rPr>
        <w:t>.公司因交易或者关联交易导致被担保方成为公司的关联人，在实施该交易或者关联交易的同时，应当就存续的关联担保履行相应审议程序和信息披露义务。</w:t>
      </w:r>
    </w:p>
    <w:p w14:paraId="4654ADD3">
      <w:pPr>
        <w:autoSpaceDE w:val="0"/>
        <w:autoSpaceDN w:val="0"/>
        <w:adjustRightInd w:val="0"/>
        <w:spacing w:line="560" w:lineRule="exact"/>
        <w:ind w:firstLine="460" w:firstLineChars="192"/>
        <w:rPr>
          <w:rFonts w:ascii="楷体" w:hAnsi="楷体" w:eastAsia="楷体" w:cs="宋体-WinCharSetFFFF-H"/>
          <w:color w:val="000000"/>
          <w:kern w:val="0"/>
          <w:sz w:val="24"/>
          <w:szCs w:val="24"/>
        </w:rPr>
      </w:pPr>
      <w:r>
        <w:rPr>
          <w:rFonts w:ascii="楷体" w:hAnsi="楷体" w:eastAsia="楷体" w:cs="宋体-WinCharSetFFFF-H"/>
          <w:color w:val="000000"/>
          <w:kern w:val="0"/>
          <w:sz w:val="24"/>
          <w:szCs w:val="24"/>
        </w:rPr>
        <w:t>4</w:t>
      </w:r>
      <w:r>
        <w:rPr>
          <w:rFonts w:hint="eastAsia" w:ascii="楷体" w:hAnsi="楷体" w:eastAsia="楷体" w:cs="宋体-WinCharSetFFFF-H"/>
          <w:color w:val="000000"/>
          <w:kern w:val="0"/>
          <w:sz w:val="24"/>
          <w:szCs w:val="24"/>
        </w:rPr>
        <w:t>.董事会或者股东会未审议通过前款规定的关联担保事项的，交易各方应当采取提前终止担保等有效措施。）</w:t>
      </w:r>
    </w:p>
    <w:p w14:paraId="12C5547F">
      <w:pPr>
        <w:autoSpaceDE w:val="0"/>
        <w:autoSpaceDN w:val="0"/>
        <w:adjustRightInd w:val="0"/>
        <w:spacing w:line="560" w:lineRule="exact"/>
        <w:ind w:firstLine="576" w:firstLineChars="192"/>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（三）担保预计基本情况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718"/>
        <w:gridCol w:w="886"/>
        <w:gridCol w:w="883"/>
        <w:gridCol w:w="911"/>
        <w:gridCol w:w="950"/>
        <w:gridCol w:w="943"/>
        <w:gridCol w:w="986"/>
        <w:gridCol w:w="693"/>
        <w:gridCol w:w="656"/>
        <w:gridCol w:w="87"/>
      </w:tblGrid>
      <w:tr w14:paraId="33088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7" w:type="dxa"/>
        </w:trPr>
        <w:tc>
          <w:tcPr>
            <w:tcW w:w="696" w:type="dxa"/>
            <w:vAlign w:val="center"/>
          </w:tcPr>
          <w:p w14:paraId="37B1455A">
            <w:pPr>
              <w:autoSpaceDE w:val="0"/>
              <w:autoSpaceDN w:val="0"/>
              <w:adjustRightInd w:val="0"/>
              <w:spacing w:line="560" w:lineRule="exact"/>
              <w:jc w:val="center"/>
              <w:rPr>
                <w:rFonts w:ascii="仿宋_GB2312" w:hAnsi="宋体" w:eastAsia="仿宋_GB2312"/>
                <w:b/>
                <w:color w:val="000000"/>
                <w:kern w:val="0"/>
                <w:sz w:val="24"/>
                <w:szCs w:val="30"/>
              </w:rPr>
            </w:pPr>
            <w:r>
              <w:rPr>
                <w:rFonts w:hint="eastAsia" w:ascii="仿宋_GB2312" w:hAnsi="宋体" w:eastAsia="仿宋_GB2312"/>
                <w:b/>
                <w:color w:val="000000"/>
                <w:kern w:val="0"/>
                <w:sz w:val="24"/>
                <w:szCs w:val="30"/>
              </w:rPr>
              <w:t>担保方</w:t>
            </w:r>
          </w:p>
        </w:tc>
        <w:tc>
          <w:tcPr>
            <w:tcW w:w="718" w:type="dxa"/>
            <w:vAlign w:val="center"/>
          </w:tcPr>
          <w:p w14:paraId="3D2F2102">
            <w:pPr>
              <w:autoSpaceDE w:val="0"/>
              <w:autoSpaceDN w:val="0"/>
              <w:adjustRightInd w:val="0"/>
              <w:spacing w:line="560" w:lineRule="exact"/>
              <w:jc w:val="center"/>
              <w:rPr>
                <w:rFonts w:ascii="仿宋_GB2312" w:hAnsi="宋体" w:eastAsia="仿宋_GB2312"/>
                <w:b/>
                <w:color w:val="000000"/>
                <w:kern w:val="0"/>
                <w:sz w:val="24"/>
                <w:szCs w:val="30"/>
              </w:rPr>
            </w:pPr>
            <w:r>
              <w:rPr>
                <w:rFonts w:hint="eastAsia" w:ascii="仿宋_GB2312" w:hAnsi="宋体" w:eastAsia="仿宋_GB2312"/>
                <w:b/>
                <w:color w:val="000000"/>
                <w:kern w:val="0"/>
                <w:sz w:val="24"/>
                <w:szCs w:val="30"/>
              </w:rPr>
              <w:t>被担保方</w:t>
            </w:r>
          </w:p>
        </w:tc>
        <w:tc>
          <w:tcPr>
            <w:tcW w:w="886" w:type="dxa"/>
            <w:vAlign w:val="center"/>
          </w:tcPr>
          <w:p w14:paraId="47280010">
            <w:pPr>
              <w:autoSpaceDE w:val="0"/>
              <w:autoSpaceDN w:val="0"/>
              <w:adjustRightInd w:val="0"/>
              <w:spacing w:line="560" w:lineRule="exact"/>
              <w:jc w:val="center"/>
              <w:rPr>
                <w:rFonts w:ascii="仿宋_GB2312" w:hAnsi="宋体" w:eastAsia="仿宋_GB2312"/>
                <w:b/>
                <w:color w:val="000000"/>
                <w:kern w:val="0"/>
                <w:sz w:val="24"/>
                <w:szCs w:val="30"/>
              </w:rPr>
            </w:pPr>
            <w:r>
              <w:rPr>
                <w:rFonts w:hint="eastAsia" w:ascii="仿宋_GB2312" w:hAnsi="宋体" w:eastAsia="仿宋_GB2312"/>
                <w:b/>
                <w:color w:val="000000"/>
                <w:kern w:val="0"/>
                <w:sz w:val="24"/>
                <w:szCs w:val="30"/>
              </w:rPr>
              <w:t>担保方</w:t>
            </w:r>
            <w:r>
              <w:rPr>
                <w:rFonts w:ascii="仿宋_GB2312" w:hAnsi="宋体" w:eastAsia="仿宋_GB2312"/>
                <w:b/>
                <w:color w:val="000000"/>
                <w:kern w:val="0"/>
                <w:sz w:val="24"/>
                <w:szCs w:val="30"/>
              </w:rPr>
              <w:t>持股比例</w:t>
            </w:r>
          </w:p>
        </w:tc>
        <w:tc>
          <w:tcPr>
            <w:tcW w:w="883" w:type="dxa"/>
            <w:vAlign w:val="center"/>
          </w:tcPr>
          <w:p w14:paraId="747375C0">
            <w:pPr>
              <w:autoSpaceDE w:val="0"/>
              <w:autoSpaceDN w:val="0"/>
              <w:adjustRightInd w:val="0"/>
              <w:spacing w:line="560" w:lineRule="exact"/>
              <w:jc w:val="center"/>
              <w:rPr>
                <w:rFonts w:ascii="仿宋_GB2312" w:hAnsi="宋体" w:eastAsia="仿宋_GB2312"/>
                <w:b/>
                <w:color w:val="000000"/>
                <w:kern w:val="0"/>
                <w:sz w:val="24"/>
                <w:szCs w:val="30"/>
              </w:rPr>
            </w:pPr>
            <w:r>
              <w:rPr>
                <w:rFonts w:hint="eastAsia" w:ascii="仿宋_GB2312" w:hAnsi="宋体" w:eastAsia="仿宋_GB2312"/>
                <w:b/>
                <w:color w:val="000000"/>
                <w:kern w:val="0"/>
                <w:sz w:val="24"/>
                <w:szCs w:val="30"/>
              </w:rPr>
              <w:t>被担保方</w:t>
            </w:r>
            <w:r>
              <w:rPr>
                <w:rFonts w:ascii="仿宋_GB2312" w:hAnsi="宋体" w:eastAsia="仿宋_GB2312"/>
                <w:b/>
                <w:color w:val="000000"/>
                <w:kern w:val="0"/>
                <w:sz w:val="24"/>
                <w:szCs w:val="30"/>
              </w:rPr>
              <w:t>最近一期资产负债率</w:t>
            </w:r>
          </w:p>
        </w:tc>
        <w:tc>
          <w:tcPr>
            <w:tcW w:w="911" w:type="dxa"/>
            <w:vAlign w:val="center"/>
          </w:tcPr>
          <w:p w14:paraId="35E5C715">
            <w:pPr>
              <w:autoSpaceDE w:val="0"/>
              <w:autoSpaceDN w:val="0"/>
              <w:adjustRightInd w:val="0"/>
              <w:spacing w:line="560" w:lineRule="exact"/>
              <w:jc w:val="center"/>
              <w:rPr>
                <w:rFonts w:ascii="仿宋_GB2312" w:hAnsi="宋体" w:eastAsia="仿宋_GB2312"/>
                <w:b/>
                <w:color w:val="000000"/>
                <w:kern w:val="0"/>
                <w:sz w:val="24"/>
                <w:szCs w:val="30"/>
              </w:rPr>
            </w:pPr>
            <w:r>
              <w:rPr>
                <w:rFonts w:hint="eastAsia" w:ascii="仿宋_GB2312" w:hAnsi="宋体" w:eastAsia="仿宋_GB2312"/>
                <w:b/>
                <w:color w:val="000000"/>
                <w:kern w:val="0"/>
                <w:sz w:val="24"/>
                <w:szCs w:val="30"/>
              </w:rPr>
              <w:t>截至</w:t>
            </w:r>
            <w:r>
              <w:rPr>
                <w:rFonts w:ascii="仿宋_GB2312" w:hAnsi="宋体" w:eastAsia="仿宋_GB2312"/>
                <w:b/>
                <w:color w:val="000000"/>
                <w:kern w:val="0"/>
                <w:sz w:val="24"/>
                <w:szCs w:val="30"/>
              </w:rPr>
              <w:t>目前</w:t>
            </w:r>
            <w:r>
              <w:rPr>
                <w:rFonts w:hint="eastAsia" w:ascii="仿宋_GB2312" w:hAnsi="宋体" w:eastAsia="仿宋_GB2312"/>
                <w:b/>
                <w:color w:val="000000"/>
                <w:kern w:val="0"/>
                <w:sz w:val="24"/>
                <w:szCs w:val="30"/>
              </w:rPr>
              <w:t>担保</w:t>
            </w:r>
            <w:r>
              <w:rPr>
                <w:rFonts w:ascii="仿宋_GB2312" w:hAnsi="宋体" w:eastAsia="仿宋_GB2312"/>
                <w:b/>
                <w:color w:val="000000"/>
                <w:kern w:val="0"/>
                <w:sz w:val="24"/>
                <w:szCs w:val="30"/>
              </w:rPr>
              <w:t>余额</w:t>
            </w:r>
          </w:p>
        </w:tc>
        <w:tc>
          <w:tcPr>
            <w:tcW w:w="950" w:type="dxa"/>
            <w:vAlign w:val="center"/>
          </w:tcPr>
          <w:p w14:paraId="528D58FA">
            <w:pPr>
              <w:autoSpaceDE w:val="0"/>
              <w:autoSpaceDN w:val="0"/>
              <w:adjustRightInd w:val="0"/>
              <w:spacing w:line="560" w:lineRule="exact"/>
              <w:jc w:val="center"/>
              <w:rPr>
                <w:rFonts w:ascii="仿宋_GB2312" w:hAnsi="宋体" w:eastAsia="仿宋_GB2312"/>
                <w:b/>
                <w:color w:val="000000"/>
                <w:kern w:val="0"/>
                <w:sz w:val="24"/>
                <w:szCs w:val="30"/>
              </w:rPr>
            </w:pPr>
            <w:r>
              <w:rPr>
                <w:rFonts w:hint="eastAsia" w:ascii="仿宋_GB2312" w:hAnsi="宋体" w:eastAsia="仿宋_GB2312"/>
                <w:b/>
                <w:color w:val="000000"/>
                <w:kern w:val="0"/>
                <w:sz w:val="24"/>
                <w:szCs w:val="30"/>
              </w:rPr>
              <w:t>本次</w:t>
            </w:r>
            <w:r>
              <w:rPr>
                <w:rFonts w:ascii="仿宋_GB2312" w:hAnsi="宋体" w:eastAsia="仿宋_GB2312"/>
                <w:b/>
                <w:color w:val="000000"/>
                <w:kern w:val="0"/>
                <w:sz w:val="24"/>
                <w:szCs w:val="30"/>
              </w:rPr>
              <w:t>新增担保额度</w:t>
            </w:r>
          </w:p>
        </w:tc>
        <w:tc>
          <w:tcPr>
            <w:tcW w:w="943" w:type="dxa"/>
            <w:vAlign w:val="center"/>
          </w:tcPr>
          <w:p w14:paraId="06666BD4">
            <w:pPr>
              <w:autoSpaceDE w:val="0"/>
              <w:autoSpaceDN w:val="0"/>
              <w:adjustRightInd w:val="0"/>
              <w:spacing w:line="560" w:lineRule="exact"/>
              <w:jc w:val="center"/>
              <w:rPr>
                <w:rFonts w:ascii="仿宋_GB2312" w:hAnsi="宋体" w:eastAsia="仿宋_GB2312"/>
                <w:b/>
                <w:color w:val="000000"/>
                <w:kern w:val="0"/>
                <w:sz w:val="24"/>
                <w:szCs w:val="30"/>
              </w:rPr>
            </w:pPr>
            <w:r>
              <w:rPr>
                <w:rFonts w:hint="eastAsia" w:ascii="仿宋_GB2312" w:hAnsi="宋体" w:eastAsia="仿宋_GB2312"/>
                <w:b/>
                <w:color w:val="000000"/>
                <w:kern w:val="0"/>
                <w:sz w:val="24"/>
                <w:szCs w:val="30"/>
              </w:rPr>
              <w:t>担保</w:t>
            </w:r>
            <w:r>
              <w:rPr>
                <w:rFonts w:ascii="仿宋_GB2312" w:hAnsi="宋体" w:eastAsia="仿宋_GB2312"/>
                <w:b/>
                <w:color w:val="000000"/>
                <w:kern w:val="0"/>
                <w:sz w:val="24"/>
                <w:szCs w:val="30"/>
              </w:rPr>
              <w:t>额度占上市公司最近一期净资产比例</w:t>
            </w:r>
          </w:p>
        </w:tc>
        <w:tc>
          <w:tcPr>
            <w:tcW w:w="986" w:type="dxa"/>
            <w:vAlign w:val="center"/>
          </w:tcPr>
          <w:p w14:paraId="3B6E2C06">
            <w:pPr>
              <w:autoSpaceDE w:val="0"/>
              <w:autoSpaceDN w:val="0"/>
              <w:adjustRightInd w:val="0"/>
              <w:spacing w:line="560" w:lineRule="exact"/>
              <w:jc w:val="center"/>
              <w:rPr>
                <w:rFonts w:ascii="仿宋_GB2312" w:hAnsi="宋体" w:eastAsia="仿宋_GB2312"/>
                <w:b/>
                <w:color w:val="000000"/>
                <w:kern w:val="0"/>
                <w:sz w:val="24"/>
                <w:szCs w:val="30"/>
              </w:rPr>
            </w:pPr>
            <w:r>
              <w:rPr>
                <w:rFonts w:hint="eastAsia" w:ascii="仿宋_GB2312" w:hAnsi="宋体" w:eastAsia="仿宋_GB2312"/>
                <w:b/>
                <w:color w:val="000000"/>
                <w:kern w:val="0"/>
                <w:sz w:val="24"/>
                <w:szCs w:val="30"/>
              </w:rPr>
              <w:t>担保预计有效期</w:t>
            </w:r>
          </w:p>
        </w:tc>
        <w:tc>
          <w:tcPr>
            <w:tcW w:w="693" w:type="dxa"/>
            <w:vAlign w:val="center"/>
          </w:tcPr>
          <w:p w14:paraId="003083DC">
            <w:pPr>
              <w:autoSpaceDE w:val="0"/>
              <w:autoSpaceDN w:val="0"/>
              <w:adjustRightInd w:val="0"/>
              <w:spacing w:line="560" w:lineRule="exact"/>
              <w:jc w:val="center"/>
              <w:rPr>
                <w:rFonts w:ascii="仿宋_GB2312" w:hAnsi="宋体" w:eastAsia="仿宋_GB2312"/>
                <w:b/>
                <w:color w:val="000000"/>
                <w:kern w:val="0"/>
                <w:sz w:val="24"/>
                <w:szCs w:val="30"/>
              </w:rPr>
            </w:pPr>
            <w:r>
              <w:rPr>
                <w:rFonts w:hint="eastAsia" w:ascii="仿宋_GB2312" w:hAnsi="宋体" w:eastAsia="仿宋_GB2312"/>
                <w:b/>
                <w:color w:val="000000"/>
                <w:kern w:val="0"/>
                <w:sz w:val="24"/>
                <w:szCs w:val="30"/>
              </w:rPr>
              <w:t>是否</w:t>
            </w:r>
            <w:r>
              <w:rPr>
                <w:rFonts w:ascii="仿宋_GB2312" w:hAnsi="宋体" w:eastAsia="仿宋_GB2312"/>
                <w:b/>
                <w:color w:val="000000"/>
                <w:kern w:val="0"/>
                <w:sz w:val="24"/>
                <w:szCs w:val="30"/>
              </w:rPr>
              <w:t>关联担保</w:t>
            </w:r>
          </w:p>
        </w:tc>
        <w:tc>
          <w:tcPr>
            <w:tcW w:w="656" w:type="dxa"/>
            <w:vAlign w:val="center"/>
          </w:tcPr>
          <w:p w14:paraId="26AB66B1">
            <w:pPr>
              <w:autoSpaceDE w:val="0"/>
              <w:autoSpaceDN w:val="0"/>
              <w:adjustRightInd w:val="0"/>
              <w:spacing w:line="560" w:lineRule="exact"/>
              <w:jc w:val="center"/>
              <w:rPr>
                <w:rFonts w:ascii="仿宋_GB2312" w:hAnsi="宋体" w:eastAsia="仿宋_GB2312"/>
                <w:b/>
                <w:color w:val="000000"/>
                <w:kern w:val="0"/>
                <w:sz w:val="24"/>
                <w:szCs w:val="30"/>
              </w:rPr>
            </w:pPr>
            <w:r>
              <w:rPr>
                <w:rFonts w:hint="eastAsia" w:ascii="仿宋_GB2312" w:hAnsi="宋体" w:eastAsia="仿宋_GB2312"/>
                <w:b/>
                <w:color w:val="000000"/>
                <w:kern w:val="0"/>
                <w:sz w:val="24"/>
                <w:szCs w:val="30"/>
              </w:rPr>
              <w:t>是否有</w:t>
            </w:r>
            <w:r>
              <w:rPr>
                <w:rFonts w:ascii="仿宋_GB2312" w:hAnsi="宋体" w:eastAsia="仿宋_GB2312"/>
                <w:b/>
                <w:color w:val="000000"/>
                <w:kern w:val="0"/>
                <w:sz w:val="24"/>
                <w:szCs w:val="30"/>
              </w:rPr>
              <w:t>反担保</w:t>
            </w:r>
          </w:p>
        </w:tc>
      </w:tr>
      <w:tr w14:paraId="550B4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7" w:type="dxa"/>
        </w:trPr>
        <w:tc>
          <w:tcPr>
            <w:tcW w:w="8322" w:type="dxa"/>
            <w:gridSpan w:val="10"/>
          </w:tcPr>
          <w:p w14:paraId="022663C5">
            <w:pPr>
              <w:autoSpaceDE w:val="0"/>
              <w:autoSpaceDN w:val="0"/>
              <w:adjustRightInd w:val="0"/>
              <w:spacing w:line="560" w:lineRule="exact"/>
              <w:rPr>
                <w:rFonts w:ascii="仿宋_GB2312" w:hAnsi="宋体" w:eastAsia="仿宋_GB2312"/>
                <w:color w:val="000000"/>
                <w:kern w:val="0"/>
                <w:sz w:val="24"/>
                <w:szCs w:val="30"/>
              </w:rPr>
            </w:pPr>
            <w:r>
              <w:rPr>
                <w:rFonts w:hint="eastAsia" w:ascii="仿宋_GB2312" w:hAnsi="宋体" w:eastAsia="仿宋_GB2312"/>
                <w:color w:val="000000"/>
                <w:kern w:val="0"/>
                <w:sz w:val="24"/>
                <w:szCs w:val="30"/>
              </w:rPr>
              <w:t>一、对控股子公司的担保预计</w:t>
            </w:r>
          </w:p>
        </w:tc>
      </w:tr>
      <w:tr w14:paraId="55E8F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9" w:type="dxa"/>
            <w:gridSpan w:val="11"/>
          </w:tcPr>
          <w:p w14:paraId="5F191D51">
            <w:pPr>
              <w:autoSpaceDE w:val="0"/>
              <w:autoSpaceDN w:val="0"/>
              <w:adjustRightInd w:val="0"/>
              <w:spacing w:line="560" w:lineRule="exact"/>
              <w:rPr>
                <w:rFonts w:ascii="仿宋_GB2312" w:hAnsi="宋体" w:eastAsia="仿宋_GB2312"/>
                <w:color w:val="000000"/>
                <w:kern w:val="0"/>
                <w:sz w:val="24"/>
                <w:szCs w:val="30"/>
              </w:rPr>
            </w:pPr>
            <w:r>
              <w:rPr>
                <w:rFonts w:hint="eastAsia" w:ascii="仿宋_GB2312" w:hAnsi="宋体" w:eastAsia="仿宋_GB2312"/>
                <w:color w:val="000000"/>
                <w:kern w:val="0"/>
                <w:sz w:val="24"/>
                <w:szCs w:val="30"/>
              </w:rPr>
              <w:t>1</w:t>
            </w:r>
            <w:r>
              <w:rPr>
                <w:rFonts w:ascii="仿宋_GB2312" w:hAnsi="宋体" w:eastAsia="仿宋_GB2312"/>
                <w:color w:val="000000"/>
                <w:kern w:val="0"/>
                <w:sz w:val="24"/>
                <w:szCs w:val="30"/>
              </w:rPr>
              <w:t>.</w:t>
            </w:r>
            <w:r>
              <w:rPr>
                <w:rFonts w:hint="eastAsia" w:ascii="仿宋_GB2312" w:hAnsi="宋体" w:eastAsia="仿宋_GB2312"/>
                <w:color w:val="000000"/>
                <w:kern w:val="0"/>
                <w:sz w:val="24"/>
                <w:szCs w:val="30"/>
              </w:rPr>
              <w:t>资产负债率为</w:t>
            </w:r>
            <w:r>
              <w:rPr>
                <w:rFonts w:ascii="仿宋_GB2312" w:hAnsi="宋体" w:eastAsia="仿宋_GB2312"/>
                <w:color w:val="000000"/>
                <w:kern w:val="0"/>
                <w:sz w:val="24"/>
                <w:szCs w:val="30"/>
              </w:rPr>
              <w:t>70%</w:t>
            </w:r>
            <w:r>
              <w:rPr>
                <w:rFonts w:hint="eastAsia" w:ascii="仿宋_GB2312" w:hAnsi="宋体" w:eastAsia="仿宋_GB2312"/>
                <w:color w:val="000000"/>
                <w:kern w:val="0"/>
                <w:sz w:val="24"/>
                <w:szCs w:val="30"/>
              </w:rPr>
              <w:t>以上的控股子公司</w:t>
            </w:r>
          </w:p>
        </w:tc>
      </w:tr>
      <w:tr w14:paraId="125ED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6" w:type="dxa"/>
          </w:tcPr>
          <w:p w14:paraId="469E008A">
            <w:pPr>
              <w:autoSpaceDE w:val="0"/>
              <w:autoSpaceDN w:val="0"/>
              <w:adjustRightInd w:val="0"/>
              <w:spacing w:line="560" w:lineRule="exact"/>
              <w:rPr>
                <w:rFonts w:ascii="仿宋_GB2312" w:hAnsi="宋体" w:eastAsia="仿宋_GB2312"/>
                <w:color w:val="000000"/>
                <w:kern w:val="0"/>
                <w:sz w:val="24"/>
                <w:szCs w:val="30"/>
              </w:rPr>
            </w:pPr>
          </w:p>
        </w:tc>
        <w:tc>
          <w:tcPr>
            <w:tcW w:w="718" w:type="dxa"/>
          </w:tcPr>
          <w:p w14:paraId="69AD5329">
            <w:pPr>
              <w:autoSpaceDE w:val="0"/>
              <w:autoSpaceDN w:val="0"/>
              <w:adjustRightInd w:val="0"/>
              <w:spacing w:line="560" w:lineRule="exact"/>
              <w:rPr>
                <w:rFonts w:ascii="仿宋_GB2312" w:hAnsi="宋体" w:eastAsia="仿宋_GB2312"/>
                <w:color w:val="000000"/>
                <w:kern w:val="0"/>
                <w:sz w:val="24"/>
                <w:szCs w:val="30"/>
              </w:rPr>
            </w:pPr>
          </w:p>
        </w:tc>
        <w:tc>
          <w:tcPr>
            <w:tcW w:w="886" w:type="dxa"/>
          </w:tcPr>
          <w:p w14:paraId="30E0CC82">
            <w:pPr>
              <w:autoSpaceDE w:val="0"/>
              <w:autoSpaceDN w:val="0"/>
              <w:adjustRightInd w:val="0"/>
              <w:spacing w:line="560" w:lineRule="exact"/>
              <w:rPr>
                <w:rFonts w:ascii="仿宋_GB2312" w:hAnsi="宋体" w:eastAsia="仿宋_GB2312"/>
                <w:color w:val="000000"/>
                <w:kern w:val="0"/>
                <w:sz w:val="24"/>
                <w:szCs w:val="30"/>
              </w:rPr>
            </w:pPr>
          </w:p>
        </w:tc>
        <w:tc>
          <w:tcPr>
            <w:tcW w:w="883" w:type="dxa"/>
          </w:tcPr>
          <w:p w14:paraId="4043EE42">
            <w:pPr>
              <w:autoSpaceDE w:val="0"/>
              <w:autoSpaceDN w:val="0"/>
              <w:adjustRightInd w:val="0"/>
              <w:spacing w:line="560" w:lineRule="exact"/>
              <w:rPr>
                <w:rFonts w:ascii="仿宋_GB2312" w:hAnsi="宋体" w:eastAsia="仿宋_GB2312"/>
                <w:color w:val="000000"/>
                <w:kern w:val="0"/>
                <w:sz w:val="24"/>
                <w:szCs w:val="30"/>
              </w:rPr>
            </w:pPr>
          </w:p>
        </w:tc>
        <w:tc>
          <w:tcPr>
            <w:tcW w:w="911" w:type="dxa"/>
          </w:tcPr>
          <w:p w14:paraId="7474DCE4">
            <w:pPr>
              <w:autoSpaceDE w:val="0"/>
              <w:autoSpaceDN w:val="0"/>
              <w:adjustRightInd w:val="0"/>
              <w:spacing w:line="560" w:lineRule="exact"/>
              <w:rPr>
                <w:rFonts w:ascii="仿宋_GB2312" w:hAnsi="宋体" w:eastAsia="仿宋_GB2312"/>
                <w:color w:val="000000"/>
                <w:kern w:val="0"/>
                <w:sz w:val="24"/>
                <w:szCs w:val="30"/>
              </w:rPr>
            </w:pPr>
          </w:p>
        </w:tc>
        <w:tc>
          <w:tcPr>
            <w:tcW w:w="950" w:type="dxa"/>
          </w:tcPr>
          <w:p w14:paraId="092E547A">
            <w:pPr>
              <w:autoSpaceDE w:val="0"/>
              <w:autoSpaceDN w:val="0"/>
              <w:adjustRightInd w:val="0"/>
              <w:spacing w:line="560" w:lineRule="exact"/>
              <w:rPr>
                <w:rFonts w:ascii="仿宋_GB2312" w:hAnsi="宋体" w:eastAsia="仿宋_GB2312"/>
                <w:color w:val="000000"/>
                <w:kern w:val="0"/>
                <w:sz w:val="24"/>
                <w:szCs w:val="30"/>
              </w:rPr>
            </w:pPr>
          </w:p>
        </w:tc>
        <w:tc>
          <w:tcPr>
            <w:tcW w:w="943" w:type="dxa"/>
          </w:tcPr>
          <w:p w14:paraId="0FC96E3C">
            <w:pPr>
              <w:autoSpaceDE w:val="0"/>
              <w:autoSpaceDN w:val="0"/>
              <w:adjustRightInd w:val="0"/>
              <w:spacing w:line="560" w:lineRule="exact"/>
              <w:rPr>
                <w:rFonts w:ascii="仿宋_GB2312" w:hAnsi="宋体" w:eastAsia="仿宋_GB2312"/>
                <w:color w:val="000000"/>
                <w:kern w:val="0"/>
                <w:sz w:val="24"/>
                <w:szCs w:val="30"/>
              </w:rPr>
            </w:pPr>
          </w:p>
        </w:tc>
        <w:tc>
          <w:tcPr>
            <w:tcW w:w="986" w:type="dxa"/>
          </w:tcPr>
          <w:p w14:paraId="6E14E6ED">
            <w:pPr>
              <w:autoSpaceDE w:val="0"/>
              <w:autoSpaceDN w:val="0"/>
              <w:adjustRightInd w:val="0"/>
              <w:spacing w:line="560" w:lineRule="exact"/>
              <w:rPr>
                <w:rFonts w:ascii="仿宋_GB2312" w:hAnsi="宋体" w:eastAsia="仿宋_GB2312"/>
                <w:color w:val="000000"/>
                <w:kern w:val="0"/>
                <w:sz w:val="24"/>
                <w:szCs w:val="30"/>
              </w:rPr>
            </w:pPr>
          </w:p>
        </w:tc>
        <w:tc>
          <w:tcPr>
            <w:tcW w:w="693" w:type="dxa"/>
          </w:tcPr>
          <w:p w14:paraId="52A48B93">
            <w:pPr>
              <w:autoSpaceDE w:val="0"/>
              <w:autoSpaceDN w:val="0"/>
              <w:adjustRightInd w:val="0"/>
              <w:spacing w:line="560" w:lineRule="exact"/>
              <w:rPr>
                <w:rFonts w:ascii="仿宋_GB2312" w:hAnsi="宋体" w:eastAsia="仿宋_GB2312"/>
                <w:color w:val="000000"/>
                <w:kern w:val="0"/>
                <w:sz w:val="24"/>
                <w:szCs w:val="30"/>
              </w:rPr>
            </w:pPr>
          </w:p>
        </w:tc>
        <w:tc>
          <w:tcPr>
            <w:tcW w:w="743" w:type="dxa"/>
            <w:gridSpan w:val="2"/>
          </w:tcPr>
          <w:p w14:paraId="1C9113D6">
            <w:pPr>
              <w:autoSpaceDE w:val="0"/>
              <w:autoSpaceDN w:val="0"/>
              <w:adjustRightInd w:val="0"/>
              <w:spacing w:line="560" w:lineRule="exact"/>
              <w:rPr>
                <w:rFonts w:ascii="仿宋_GB2312" w:hAnsi="宋体" w:eastAsia="仿宋_GB2312"/>
                <w:color w:val="000000"/>
                <w:kern w:val="0"/>
                <w:sz w:val="24"/>
                <w:szCs w:val="30"/>
              </w:rPr>
            </w:pPr>
          </w:p>
        </w:tc>
      </w:tr>
      <w:tr w14:paraId="6F415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9" w:type="dxa"/>
            <w:gridSpan w:val="11"/>
          </w:tcPr>
          <w:p w14:paraId="03C7F52E">
            <w:pPr>
              <w:autoSpaceDE w:val="0"/>
              <w:autoSpaceDN w:val="0"/>
              <w:adjustRightInd w:val="0"/>
              <w:spacing w:line="560" w:lineRule="exact"/>
              <w:rPr>
                <w:rFonts w:ascii="仿宋_GB2312" w:hAnsi="宋体" w:eastAsia="仿宋_GB2312"/>
                <w:color w:val="000000"/>
                <w:kern w:val="0"/>
                <w:sz w:val="24"/>
                <w:szCs w:val="30"/>
              </w:rPr>
            </w:pPr>
            <w:r>
              <w:rPr>
                <w:rFonts w:hint="eastAsia" w:ascii="仿宋_GB2312" w:hAnsi="宋体" w:eastAsia="仿宋_GB2312"/>
                <w:color w:val="000000"/>
                <w:kern w:val="0"/>
                <w:sz w:val="24"/>
                <w:szCs w:val="30"/>
              </w:rPr>
              <w:t>2</w:t>
            </w:r>
            <w:r>
              <w:rPr>
                <w:rFonts w:ascii="仿宋_GB2312" w:hAnsi="宋体" w:eastAsia="仿宋_GB2312"/>
                <w:color w:val="000000"/>
                <w:kern w:val="0"/>
                <w:sz w:val="24"/>
                <w:szCs w:val="30"/>
              </w:rPr>
              <w:t>.</w:t>
            </w:r>
            <w:r>
              <w:rPr>
                <w:rFonts w:hint="eastAsia" w:ascii="仿宋_GB2312" w:hAnsi="宋体" w:eastAsia="仿宋_GB2312"/>
                <w:color w:val="000000"/>
                <w:kern w:val="0"/>
                <w:sz w:val="24"/>
                <w:szCs w:val="30"/>
              </w:rPr>
              <w:t>资产负债率为7</w:t>
            </w:r>
            <w:r>
              <w:rPr>
                <w:rFonts w:ascii="仿宋_GB2312" w:hAnsi="宋体" w:eastAsia="仿宋_GB2312"/>
                <w:color w:val="000000"/>
                <w:kern w:val="0"/>
                <w:sz w:val="24"/>
                <w:szCs w:val="30"/>
              </w:rPr>
              <w:t>0%</w:t>
            </w:r>
            <w:r>
              <w:rPr>
                <w:rFonts w:hint="eastAsia" w:ascii="仿宋_GB2312" w:hAnsi="宋体" w:eastAsia="仿宋_GB2312"/>
                <w:color w:val="000000"/>
                <w:kern w:val="0"/>
                <w:sz w:val="24"/>
                <w:szCs w:val="30"/>
              </w:rPr>
              <w:t>以下的控股子公司</w:t>
            </w:r>
          </w:p>
        </w:tc>
      </w:tr>
      <w:tr w14:paraId="41A2A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14:paraId="2E43CD2B">
            <w:pPr>
              <w:autoSpaceDE w:val="0"/>
              <w:autoSpaceDN w:val="0"/>
              <w:adjustRightInd w:val="0"/>
              <w:spacing w:line="560" w:lineRule="exact"/>
              <w:rPr>
                <w:rFonts w:ascii="仿宋_GB2312" w:hAnsi="宋体" w:eastAsia="仿宋_GB2312"/>
                <w:color w:val="000000"/>
                <w:kern w:val="0"/>
                <w:sz w:val="24"/>
                <w:szCs w:val="30"/>
              </w:rPr>
            </w:pPr>
          </w:p>
        </w:tc>
        <w:tc>
          <w:tcPr>
            <w:tcW w:w="718" w:type="dxa"/>
          </w:tcPr>
          <w:p w14:paraId="68A61DC3">
            <w:pPr>
              <w:autoSpaceDE w:val="0"/>
              <w:autoSpaceDN w:val="0"/>
              <w:adjustRightInd w:val="0"/>
              <w:spacing w:line="560" w:lineRule="exact"/>
              <w:rPr>
                <w:rFonts w:ascii="仿宋_GB2312" w:hAnsi="宋体" w:eastAsia="仿宋_GB2312"/>
                <w:color w:val="000000"/>
                <w:kern w:val="0"/>
                <w:sz w:val="24"/>
                <w:szCs w:val="30"/>
              </w:rPr>
            </w:pPr>
          </w:p>
        </w:tc>
        <w:tc>
          <w:tcPr>
            <w:tcW w:w="886" w:type="dxa"/>
          </w:tcPr>
          <w:p w14:paraId="61E0D9AF">
            <w:pPr>
              <w:autoSpaceDE w:val="0"/>
              <w:autoSpaceDN w:val="0"/>
              <w:adjustRightInd w:val="0"/>
              <w:spacing w:line="560" w:lineRule="exact"/>
              <w:rPr>
                <w:rFonts w:ascii="仿宋_GB2312" w:hAnsi="宋体" w:eastAsia="仿宋_GB2312"/>
                <w:color w:val="000000"/>
                <w:kern w:val="0"/>
                <w:sz w:val="24"/>
                <w:szCs w:val="30"/>
              </w:rPr>
            </w:pPr>
          </w:p>
        </w:tc>
        <w:tc>
          <w:tcPr>
            <w:tcW w:w="883" w:type="dxa"/>
          </w:tcPr>
          <w:p w14:paraId="72D98859">
            <w:pPr>
              <w:autoSpaceDE w:val="0"/>
              <w:autoSpaceDN w:val="0"/>
              <w:adjustRightInd w:val="0"/>
              <w:spacing w:line="560" w:lineRule="exact"/>
              <w:rPr>
                <w:rFonts w:ascii="仿宋_GB2312" w:hAnsi="宋体" w:eastAsia="仿宋_GB2312"/>
                <w:color w:val="000000"/>
                <w:kern w:val="0"/>
                <w:sz w:val="24"/>
                <w:szCs w:val="30"/>
              </w:rPr>
            </w:pPr>
          </w:p>
        </w:tc>
        <w:tc>
          <w:tcPr>
            <w:tcW w:w="911" w:type="dxa"/>
          </w:tcPr>
          <w:p w14:paraId="7200E8B0">
            <w:pPr>
              <w:autoSpaceDE w:val="0"/>
              <w:autoSpaceDN w:val="0"/>
              <w:adjustRightInd w:val="0"/>
              <w:spacing w:line="560" w:lineRule="exact"/>
              <w:rPr>
                <w:rFonts w:ascii="仿宋_GB2312" w:hAnsi="宋体" w:eastAsia="仿宋_GB2312"/>
                <w:color w:val="000000"/>
                <w:kern w:val="0"/>
                <w:sz w:val="24"/>
                <w:szCs w:val="30"/>
              </w:rPr>
            </w:pPr>
          </w:p>
        </w:tc>
        <w:tc>
          <w:tcPr>
            <w:tcW w:w="950" w:type="dxa"/>
          </w:tcPr>
          <w:p w14:paraId="55366224">
            <w:pPr>
              <w:autoSpaceDE w:val="0"/>
              <w:autoSpaceDN w:val="0"/>
              <w:adjustRightInd w:val="0"/>
              <w:spacing w:line="560" w:lineRule="exact"/>
              <w:rPr>
                <w:rFonts w:ascii="仿宋_GB2312" w:hAnsi="宋体" w:eastAsia="仿宋_GB2312"/>
                <w:color w:val="000000"/>
                <w:kern w:val="0"/>
                <w:sz w:val="24"/>
                <w:szCs w:val="30"/>
              </w:rPr>
            </w:pPr>
          </w:p>
        </w:tc>
        <w:tc>
          <w:tcPr>
            <w:tcW w:w="943" w:type="dxa"/>
          </w:tcPr>
          <w:p w14:paraId="691542D4">
            <w:pPr>
              <w:autoSpaceDE w:val="0"/>
              <w:autoSpaceDN w:val="0"/>
              <w:adjustRightInd w:val="0"/>
              <w:spacing w:line="560" w:lineRule="exact"/>
              <w:rPr>
                <w:rFonts w:ascii="仿宋_GB2312" w:hAnsi="宋体" w:eastAsia="仿宋_GB2312"/>
                <w:color w:val="000000"/>
                <w:kern w:val="0"/>
                <w:sz w:val="24"/>
                <w:szCs w:val="30"/>
              </w:rPr>
            </w:pPr>
          </w:p>
        </w:tc>
        <w:tc>
          <w:tcPr>
            <w:tcW w:w="986" w:type="dxa"/>
          </w:tcPr>
          <w:p w14:paraId="22F55B58">
            <w:pPr>
              <w:autoSpaceDE w:val="0"/>
              <w:autoSpaceDN w:val="0"/>
              <w:adjustRightInd w:val="0"/>
              <w:spacing w:line="560" w:lineRule="exact"/>
              <w:rPr>
                <w:rFonts w:ascii="仿宋_GB2312" w:hAnsi="宋体" w:eastAsia="仿宋_GB2312"/>
                <w:color w:val="000000"/>
                <w:kern w:val="0"/>
                <w:sz w:val="24"/>
                <w:szCs w:val="30"/>
              </w:rPr>
            </w:pPr>
          </w:p>
        </w:tc>
        <w:tc>
          <w:tcPr>
            <w:tcW w:w="693" w:type="dxa"/>
          </w:tcPr>
          <w:p w14:paraId="5D726F00">
            <w:pPr>
              <w:autoSpaceDE w:val="0"/>
              <w:autoSpaceDN w:val="0"/>
              <w:adjustRightInd w:val="0"/>
              <w:spacing w:line="560" w:lineRule="exact"/>
              <w:rPr>
                <w:rFonts w:ascii="仿宋_GB2312" w:hAnsi="宋体" w:eastAsia="仿宋_GB2312"/>
                <w:color w:val="000000"/>
                <w:kern w:val="0"/>
                <w:sz w:val="24"/>
                <w:szCs w:val="30"/>
              </w:rPr>
            </w:pPr>
          </w:p>
        </w:tc>
        <w:tc>
          <w:tcPr>
            <w:tcW w:w="743" w:type="dxa"/>
            <w:gridSpan w:val="2"/>
          </w:tcPr>
          <w:p w14:paraId="0950B5F6">
            <w:pPr>
              <w:autoSpaceDE w:val="0"/>
              <w:autoSpaceDN w:val="0"/>
              <w:adjustRightInd w:val="0"/>
              <w:spacing w:line="560" w:lineRule="exact"/>
              <w:rPr>
                <w:rFonts w:ascii="仿宋_GB2312" w:hAnsi="宋体" w:eastAsia="仿宋_GB2312"/>
                <w:color w:val="000000"/>
                <w:kern w:val="0"/>
                <w:sz w:val="24"/>
                <w:szCs w:val="30"/>
              </w:rPr>
            </w:pPr>
          </w:p>
        </w:tc>
      </w:tr>
      <w:tr w14:paraId="56C0C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9" w:type="dxa"/>
            <w:gridSpan w:val="11"/>
          </w:tcPr>
          <w:p w14:paraId="6885872E">
            <w:pPr>
              <w:autoSpaceDE w:val="0"/>
              <w:autoSpaceDN w:val="0"/>
              <w:adjustRightInd w:val="0"/>
              <w:spacing w:line="560" w:lineRule="exact"/>
              <w:rPr>
                <w:rFonts w:ascii="仿宋_GB2312" w:hAnsi="宋体" w:eastAsia="仿宋_GB2312"/>
                <w:color w:val="000000"/>
                <w:kern w:val="0"/>
                <w:sz w:val="24"/>
                <w:szCs w:val="30"/>
              </w:rPr>
            </w:pPr>
            <w:r>
              <w:rPr>
                <w:rFonts w:hint="eastAsia" w:ascii="仿宋_GB2312" w:hAnsi="宋体" w:eastAsia="仿宋_GB2312"/>
                <w:color w:val="000000"/>
                <w:kern w:val="0"/>
                <w:sz w:val="24"/>
                <w:szCs w:val="30"/>
              </w:rPr>
              <w:t>二、对合营、联营企业的担保预计</w:t>
            </w:r>
          </w:p>
        </w:tc>
      </w:tr>
      <w:tr w14:paraId="65098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09" w:type="dxa"/>
            <w:gridSpan w:val="11"/>
          </w:tcPr>
          <w:p w14:paraId="14976743">
            <w:pPr>
              <w:autoSpaceDE w:val="0"/>
              <w:autoSpaceDN w:val="0"/>
              <w:adjustRightInd w:val="0"/>
              <w:spacing w:line="560" w:lineRule="exact"/>
              <w:rPr>
                <w:rFonts w:ascii="仿宋_GB2312" w:hAnsi="宋体" w:eastAsia="仿宋_GB2312"/>
                <w:color w:val="000000"/>
                <w:kern w:val="0"/>
                <w:sz w:val="24"/>
                <w:szCs w:val="30"/>
              </w:rPr>
            </w:pPr>
            <w:r>
              <w:rPr>
                <w:rFonts w:hint="eastAsia" w:ascii="仿宋_GB2312" w:hAnsi="宋体" w:eastAsia="仿宋_GB2312"/>
                <w:color w:val="000000"/>
                <w:kern w:val="0"/>
                <w:sz w:val="24"/>
                <w:szCs w:val="30"/>
              </w:rPr>
              <w:t>1</w:t>
            </w:r>
            <w:r>
              <w:rPr>
                <w:rFonts w:ascii="仿宋_GB2312" w:hAnsi="宋体" w:eastAsia="仿宋_GB2312"/>
                <w:color w:val="000000"/>
                <w:kern w:val="0"/>
                <w:sz w:val="24"/>
                <w:szCs w:val="30"/>
              </w:rPr>
              <w:t>.</w:t>
            </w:r>
            <w:r>
              <w:rPr>
                <w:rFonts w:hint="eastAsia" w:ascii="仿宋_GB2312" w:hAnsi="宋体" w:eastAsia="仿宋_GB2312"/>
                <w:color w:val="000000"/>
                <w:kern w:val="0"/>
                <w:sz w:val="24"/>
                <w:szCs w:val="30"/>
              </w:rPr>
              <w:t>资产负债率为</w:t>
            </w:r>
            <w:r>
              <w:rPr>
                <w:rFonts w:ascii="仿宋_GB2312" w:hAnsi="宋体" w:eastAsia="仿宋_GB2312"/>
                <w:color w:val="000000"/>
                <w:kern w:val="0"/>
                <w:sz w:val="24"/>
                <w:szCs w:val="30"/>
              </w:rPr>
              <w:t>70%</w:t>
            </w:r>
            <w:r>
              <w:rPr>
                <w:rFonts w:hint="eastAsia" w:ascii="仿宋_GB2312" w:hAnsi="宋体" w:eastAsia="仿宋_GB2312"/>
                <w:color w:val="000000"/>
                <w:kern w:val="0"/>
                <w:sz w:val="24"/>
                <w:szCs w:val="30"/>
              </w:rPr>
              <w:t>以上的合营、联营企业</w:t>
            </w:r>
          </w:p>
        </w:tc>
      </w:tr>
      <w:tr w14:paraId="08DFB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14:paraId="2BD60B43">
            <w:pPr>
              <w:autoSpaceDE w:val="0"/>
              <w:autoSpaceDN w:val="0"/>
              <w:adjustRightInd w:val="0"/>
              <w:spacing w:line="560" w:lineRule="exact"/>
              <w:rPr>
                <w:rFonts w:ascii="仿宋_GB2312" w:hAnsi="宋体" w:eastAsia="仿宋_GB2312"/>
                <w:color w:val="000000"/>
                <w:kern w:val="0"/>
                <w:sz w:val="24"/>
                <w:szCs w:val="30"/>
              </w:rPr>
            </w:pPr>
          </w:p>
        </w:tc>
        <w:tc>
          <w:tcPr>
            <w:tcW w:w="718" w:type="dxa"/>
          </w:tcPr>
          <w:p w14:paraId="4CA6C224">
            <w:pPr>
              <w:autoSpaceDE w:val="0"/>
              <w:autoSpaceDN w:val="0"/>
              <w:adjustRightInd w:val="0"/>
              <w:spacing w:line="560" w:lineRule="exact"/>
              <w:rPr>
                <w:rFonts w:ascii="仿宋_GB2312" w:hAnsi="宋体" w:eastAsia="仿宋_GB2312"/>
                <w:color w:val="000000"/>
                <w:kern w:val="0"/>
                <w:sz w:val="24"/>
                <w:szCs w:val="30"/>
              </w:rPr>
            </w:pPr>
          </w:p>
        </w:tc>
        <w:tc>
          <w:tcPr>
            <w:tcW w:w="886" w:type="dxa"/>
          </w:tcPr>
          <w:p w14:paraId="4426FBBE">
            <w:pPr>
              <w:autoSpaceDE w:val="0"/>
              <w:autoSpaceDN w:val="0"/>
              <w:adjustRightInd w:val="0"/>
              <w:spacing w:line="560" w:lineRule="exact"/>
              <w:rPr>
                <w:rFonts w:ascii="仿宋_GB2312" w:hAnsi="宋体" w:eastAsia="仿宋_GB2312"/>
                <w:color w:val="000000"/>
                <w:kern w:val="0"/>
                <w:sz w:val="24"/>
                <w:szCs w:val="30"/>
              </w:rPr>
            </w:pPr>
          </w:p>
        </w:tc>
        <w:tc>
          <w:tcPr>
            <w:tcW w:w="883" w:type="dxa"/>
          </w:tcPr>
          <w:p w14:paraId="63BE2CA2">
            <w:pPr>
              <w:autoSpaceDE w:val="0"/>
              <w:autoSpaceDN w:val="0"/>
              <w:adjustRightInd w:val="0"/>
              <w:spacing w:line="560" w:lineRule="exact"/>
              <w:rPr>
                <w:rFonts w:ascii="仿宋_GB2312" w:hAnsi="宋体" w:eastAsia="仿宋_GB2312"/>
                <w:color w:val="000000"/>
                <w:kern w:val="0"/>
                <w:sz w:val="24"/>
                <w:szCs w:val="30"/>
              </w:rPr>
            </w:pPr>
          </w:p>
        </w:tc>
        <w:tc>
          <w:tcPr>
            <w:tcW w:w="911" w:type="dxa"/>
          </w:tcPr>
          <w:p w14:paraId="2132325E">
            <w:pPr>
              <w:autoSpaceDE w:val="0"/>
              <w:autoSpaceDN w:val="0"/>
              <w:adjustRightInd w:val="0"/>
              <w:spacing w:line="560" w:lineRule="exact"/>
              <w:rPr>
                <w:rFonts w:ascii="仿宋_GB2312" w:hAnsi="宋体" w:eastAsia="仿宋_GB2312"/>
                <w:color w:val="000000"/>
                <w:kern w:val="0"/>
                <w:sz w:val="24"/>
                <w:szCs w:val="30"/>
              </w:rPr>
            </w:pPr>
          </w:p>
        </w:tc>
        <w:tc>
          <w:tcPr>
            <w:tcW w:w="950" w:type="dxa"/>
          </w:tcPr>
          <w:p w14:paraId="3033C63A">
            <w:pPr>
              <w:autoSpaceDE w:val="0"/>
              <w:autoSpaceDN w:val="0"/>
              <w:adjustRightInd w:val="0"/>
              <w:spacing w:line="560" w:lineRule="exact"/>
              <w:rPr>
                <w:rFonts w:ascii="仿宋_GB2312" w:hAnsi="宋体" w:eastAsia="仿宋_GB2312"/>
                <w:color w:val="000000"/>
                <w:kern w:val="0"/>
                <w:sz w:val="24"/>
                <w:szCs w:val="30"/>
              </w:rPr>
            </w:pPr>
          </w:p>
        </w:tc>
        <w:tc>
          <w:tcPr>
            <w:tcW w:w="943" w:type="dxa"/>
          </w:tcPr>
          <w:p w14:paraId="4F582164">
            <w:pPr>
              <w:autoSpaceDE w:val="0"/>
              <w:autoSpaceDN w:val="0"/>
              <w:adjustRightInd w:val="0"/>
              <w:spacing w:line="560" w:lineRule="exact"/>
              <w:rPr>
                <w:rFonts w:ascii="仿宋_GB2312" w:hAnsi="宋体" w:eastAsia="仿宋_GB2312"/>
                <w:color w:val="000000"/>
                <w:kern w:val="0"/>
                <w:sz w:val="24"/>
                <w:szCs w:val="30"/>
              </w:rPr>
            </w:pPr>
          </w:p>
        </w:tc>
        <w:tc>
          <w:tcPr>
            <w:tcW w:w="986" w:type="dxa"/>
          </w:tcPr>
          <w:p w14:paraId="1BD7781D">
            <w:pPr>
              <w:autoSpaceDE w:val="0"/>
              <w:autoSpaceDN w:val="0"/>
              <w:adjustRightInd w:val="0"/>
              <w:spacing w:line="560" w:lineRule="exact"/>
              <w:rPr>
                <w:rFonts w:ascii="仿宋_GB2312" w:hAnsi="宋体" w:eastAsia="仿宋_GB2312"/>
                <w:color w:val="000000"/>
                <w:kern w:val="0"/>
                <w:sz w:val="24"/>
                <w:szCs w:val="30"/>
              </w:rPr>
            </w:pPr>
          </w:p>
        </w:tc>
        <w:tc>
          <w:tcPr>
            <w:tcW w:w="693" w:type="dxa"/>
          </w:tcPr>
          <w:p w14:paraId="76E5BCF7">
            <w:pPr>
              <w:autoSpaceDE w:val="0"/>
              <w:autoSpaceDN w:val="0"/>
              <w:adjustRightInd w:val="0"/>
              <w:spacing w:line="560" w:lineRule="exact"/>
              <w:rPr>
                <w:rFonts w:ascii="仿宋_GB2312" w:hAnsi="宋体" w:eastAsia="仿宋_GB2312"/>
                <w:color w:val="000000"/>
                <w:kern w:val="0"/>
                <w:sz w:val="24"/>
                <w:szCs w:val="30"/>
              </w:rPr>
            </w:pPr>
          </w:p>
        </w:tc>
        <w:tc>
          <w:tcPr>
            <w:tcW w:w="743" w:type="dxa"/>
            <w:gridSpan w:val="2"/>
          </w:tcPr>
          <w:p w14:paraId="45DA0D08">
            <w:pPr>
              <w:autoSpaceDE w:val="0"/>
              <w:autoSpaceDN w:val="0"/>
              <w:adjustRightInd w:val="0"/>
              <w:spacing w:line="560" w:lineRule="exact"/>
              <w:rPr>
                <w:rFonts w:ascii="仿宋_GB2312" w:hAnsi="宋体" w:eastAsia="仿宋_GB2312"/>
                <w:color w:val="000000"/>
                <w:kern w:val="0"/>
                <w:sz w:val="24"/>
                <w:szCs w:val="30"/>
              </w:rPr>
            </w:pPr>
          </w:p>
        </w:tc>
      </w:tr>
      <w:tr w14:paraId="1A611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9" w:type="dxa"/>
            <w:gridSpan w:val="11"/>
          </w:tcPr>
          <w:p w14:paraId="29A66A4D">
            <w:pPr>
              <w:autoSpaceDE w:val="0"/>
              <w:autoSpaceDN w:val="0"/>
              <w:adjustRightInd w:val="0"/>
              <w:spacing w:line="560" w:lineRule="exact"/>
              <w:rPr>
                <w:rFonts w:ascii="仿宋_GB2312" w:hAnsi="宋体" w:eastAsia="仿宋_GB2312"/>
                <w:color w:val="000000"/>
                <w:kern w:val="0"/>
                <w:sz w:val="24"/>
                <w:szCs w:val="30"/>
              </w:rPr>
            </w:pPr>
            <w:r>
              <w:rPr>
                <w:rFonts w:ascii="仿宋_GB2312" w:hAnsi="宋体" w:eastAsia="仿宋_GB2312"/>
                <w:color w:val="000000"/>
                <w:kern w:val="0"/>
                <w:sz w:val="24"/>
                <w:szCs w:val="30"/>
              </w:rPr>
              <w:t>2.</w:t>
            </w:r>
            <w:r>
              <w:rPr>
                <w:rFonts w:hint="eastAsia" w:ascii="仿宋_GB2312" w:hAnsi="宋体" w:eastAsia="仿宋_GB2312"/>
                <w:color w:val="000000"/>
                <w:kern w:val="0"/>
                <w:sz w:val="24"/>
                <w:szCs w:val="30"/>
              </w:rPr>
              <w:t>资产负债率为</w:t>
            </w:r>
            <w:r>
              <w:rPr>
                <w:rFonts w:ascii="仿宋_GB2312" w:hAnsi="宋体" w:eastAsia="仿宋_GB2312"/>
                <w:color w:val="000000"/>
                <w:kern w:val="0"/>
                <w:sz w:val="24"/>
                <w:szCs w:val="30"/>
              </w:rPr>
              <w:t>70%</w:t>
            </w:r>
            <w:r>
              <w:rPr>
                <w:rFonts w:hint="eastAsia" w:ascii="仿宋_GB2312" w:hAnsi="宋体" w:eastAsia="仿宋_GB2312"/>
                <w:color w:val="000000"/>
                <w:kern w:val="0"/>
                <w:sz w:val="24"/>
                <w:szCs w:val="30"/>
              </w:rPr>
              <w:t>以下的合营、联营企业</w:t>
            </w:r>
          </w:p>
        </w:tc>
      </w:tr>
      <w:tr w14:paraId="0457E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14:paraId="782BB261">
            <w:pPr>
              <w:autoSpaceDE w:val="0"/>
              <w:autoSpaceDN w:val="0"/>
              <w:adjustRightInd w:val="0"/>
              <w:spacing w:line="560" w:lineRule="exact"/>
              <w:rPr>
                <w:rFonts w:ascii="仿宋_GB2312" w:hAnsi="宋体" w:eastAsia="仿宋_GB2312"/>
                <w:color w:val="000000"/>
                <w:kern w:val="0"/>
                <w:sz w:val="24"/>
                <w:szCs w:val="30"/>
              </w:rPr>
            </w:pPr>
          </w:p>
        </w:tc>
        <w:tc>
          <w:tcPr>
            <w:tcW w:w="718" w:type="dxa"/>
          </w:tcPr>
          <w:p w14:paraId="6A0C0CA9">
            <w:pPr>
              <w:autoSpaceDE w:val="0"/>
              <w:autoSpaceDN w:val="0"/>
              <w:adjustRightInd w:val="0"/>
              <w:spacing w:line="560" w:lineRule="exact"/>
              <w:rPr>
                <w:rFonts w:ascii="仿宋_GB2312" w:hAnsi="宋体" w:eastAsia="仿宋_GB2312"/>
                <w:color w:val="000000"/>
                <w:kern w:val="0"/>
                <w:sz w:val="24"/>
                <w:szCs w:val="30"/>
              </w:rPr>
            </w:pPr>
          </w:p>
        </w:tc>
        <w:tc>
          <w:tcPr>
            <w:tcW w:w="886" w:type="dxa"/>
          </w:tcPr>
          <w:p w14:paraId="4D912952">
            <w:pPr>
              <w:autoSpaceDE w:val="0"/>
              <w:autoSpaceDN w:val="0"/>
              <w:adjustRightInd w:val="0"/>
              <w:spacing w:line="560" w:lineRule="exact"/>
              <w:rPr>
                <w:rFonts w:ascii="仿宋_GB2312" w:hAnsi="宋体" w:eastAsia="仿宋_GB2312"/>
                <w:color w:val="000000"/>
                <w:kern w:val="0"/>
                <w:sz w:val="24"/>
                <w:szCs w:val="30"/>
              </w:rPr>
            </w:pPr>
          </w:p>
        </w:tc>
        <w:tc>
          <w:tcPr>
            <w:tcW w:w="883" w:type="dxa"/>
          </w:tcPr>
          <w:p w14:paraId="2E917FA6">
            <w:pPr>
              <w:autoSpaceDE w:val="0"/>
              <w:autoSpaceDN w:val="0"/>
              <w:adjustRightInd w:val="0"/>
              <w:spacing w:line="560" w:lineRule="exact"/>
              <w:rPr>
                <w:rFonts w:ascii="仿宋_GB2312" w:hAnsi="宋体" w:eastAsia="仿宋_GB2312"/>
                <w:color w:val="000000"/>
                <w:kern w:val="0"/>
                <w:sz w:val="24"/>
                <w:szCs w:val="30"/>
              </w:rPr>
            </w:pPr>
          </w:p>
        </w:tc>
        <w:tc>
          <w:tcPr>
            <w:tcW w:w="911" w:type="dxa"/>
          </w:tcPr>
          <w:p w14:paraId="0BFE0B0B">
            <w:pPr>
              <w:autoSpaceDE w:val="0"/>
              <w:autoSpaceDN w:val="0"/>
              <w:adjustRightInd w:val="0"/>
              <w:spacing w:line="560" w:lineRule="exact"/>
              <w:rPr>
                <w:rFonts w:ascii="仿宋_GB2312" w:hAnsi="宋体" w:eastAsia="仿宋_GB2312"/>
                <w:color w:val="000000"/>
                <w:kern w:val="0"/>
                <w:sz w:val="24"/>
                <w:szCs w:val="30"/>
              </w:rPr>
            </w:pPr>
          </w:p>
        </w:tc>
        <w:tc>
          <w:tcPr>
            <w:tcW w:w="950" w:type="dxa"/>
          </w:tcPr>
          <w:p w14:paraId="44622895">
            <w:pPr>
              <w:autoSpaceDE w:val="0"/>
              <w:autoSpaceDN w:val="0"/>
              <w:adjustRightInd w:val="0"/>
              <w:spacing w:line="560" w:lineRule="exact"/>
              <w:rPr>
                <w:rFonts w:ascii="仿宋_GB2312" w:hAnsi="宋体" w:eastAsia="仿宋_GB2312"/>
                <w:color w:val="000000"/>
                <w:kern w:val="0"/>
                <w:sz w:val="24"/>
                <w:szCs w:val="30"/>
              </w:rPr>
            </w:pPr>
          </w:p>
        </w:tc>
        <w:tc>
          <w:tcPr>
            <w:tcW w:w="943" w:type="dxa"/>
          </w:tcPr>
          <w:p w14:paraId="35A864DF">
            <w:pPr>
              <w:autoSpaceDE w:val="0"/>
              <w:autoSpaceDN w:val="0"/>
              <w:adjustRightInd w:val="0"/>
              <w:spacing w:line="560" w:lineRule="exact"/>
              <w:rPr>
                <w:rFonts w:ascii="仿宋_GB2312" w:hAnsi="宋体" w:eastAsia="仿宋_GB2312"/>
                <w:color w:val="000000"/>
                <w:kern w:val="0"/>
                <w:sz w:val="24"/>
                <w:szCs w:val="30"/>
              </w:rPr>
            </w:pPr>
          </w:p>
        </w:tc>
        <w:tc>
          <w:tcPr>
            <w:tcW w:w="986" w:type="dxa"/>
          </w:tcPr>
          <w:p w14:paraId="14DB55FC">
            <w:pPr>
              <w:autoSpaceDE w:val="0"/>
              <w:autoSpaceDN w:val="0"/>
              <w:adjustRightInd w:val="0"/>
              <w:spacing w:line="560" w:lineRule="exact"/>
              <w:rPr>
                <w:rFonts w:ascii="仿宋_GB2312" w:hAnsi="宋体" w:eastAsia="仿宋_GB2312"/>
                <w:color w:val="000000"/>
                <w:kern w:val="0"/>
                <w:sz w:val="24"/>
                <w:szCs w:val="30"/>
              </w:rPr>
            </w:pPr>
          </w:p>
        </w:tc>
        <w:tc>
          <w:tcPr>
            <w:tcW w:w="693" w:type="dxa"/>
          </w:tcPr>
          <w:p w14:paraId="32A88EB5">
            <w:pPr>
              <w:autoSpaceDE w:val="0"/>
              <w:autoSpaceDN w:val="0"/>
              <w:adjustRightInd w:val="0"/>
              <w:spacing w:line="560" w:lineRule="exact"/>
              <w:rPr>
                <w:rFonts w:ascii="仿宋_GB2312" w:hAnsi="宋体" w:eastAsia="仿宋_GB2312"/>
                <w:color w:val="000000"/>
                <w:kern w:val="0"/>
                <w:sz w:val="24"/>
                <w:szCs w:val="30"/>
              </w:rPr>
            </w:pPr>
          </w:p>
        </w:tc>
        <w:tc>
          <w:tcPr>
            <w:tcW w:w="743" w:type="dxa"/>
            <w:gridSpan w:val="2"/>
          </w:tcPr>
          <w:p w14:paraId="28102A6B">
            <w:pPr>
              <w:autoSpaceDE w:val="0"/>
              <w:autoSpaceDN w:val="0"/>
              <w:adjustRightInd w:val="0"/>
              <w:spacing w:line="560" w:lineRule="exact"/>
              <w:rPr>
                <w:rFonts w:ascii="仿宋_GB2312" w:hAnsi="宋体" w:eastAsia="仿宋_GB2312"/>
                <w:color w:val="000000"/>
                <w:kern w:val="0"/>
                <w:sz w:val="24"/>
                <w:szCs w:val="30"/>
              </w:rPr>
            </w:pPr>
          </w:p>
        </w:tc>
      </w:tr>
    </w:tbl>
    <w:p w14:paraId="4808D9EA">
      <w:pPr>
        <w:autoSpaceDE w:val="0"/>
        <w:autoSpaceDN w:val="0"/>
        <w:adjustRightInd w:val="0"/>
        <w:spacing w:line="560" w:lineRule="exact"/>
        <w:ind w:firstLine="576" w:firstLineChars="192"/>
        <w:rPr>
          <w:rFonts w:ascii="仿宋_GB2312" w:hAnsi="宋体" w:eastAsia="仿宋_GB2312"/>
          <w:color w:val="000000"/>
          <w:kern w:val="0"/>
          <w:sz w:val="30"/>
          <w:szCs w:val="30"/>
        </w:rPr>
      </w:pPr>
      <w:r>
        <w:rPr>
          <w:rFonts w:ascii="仿宋_GB2312" w:hAnsi="宋体" w:eastAsia="仿宋_GB2312"/>
          <w:color w:val="000000"/>
          <w:kern w:val="0"/>
          <w:sz w:val="30"/>
          <w:szCs w:val="30"/>
        </w:rPr>
        <w:t>已审议额度内的担保实际发生时，除</w:t>
      </w:r>
      <w:r>
        <w:rPr>
          <w:rFonts w:hint="eastAsia" w:ascii="仿宋_GB2312" w:hAnsi="宋体" w:eastAsia="仿宋_GB2312"/>
          <w:color w:val="000000"/>
          <w:kern w:val="0"/>
          <w:sz w:val="30"/>
          <w:szCs w:val="30"/>
        </w:rPr>
        <w:t>参照</w:t>
      </w:r>
      <w:r>
        <w:rPr>
          <w:rFonts w:ascii="仿宋_GB2312" w:hAnsi="宋体" w:eastAsia="仿宋_GB2312"/>
          <w:color w:val="000000"/>
          <w:kern w:val="0"/>
          <w:sz w:val="30"/>
          <w:szCs w:val="30"/>
        </w:rPr>
        <w:t>本公告格式披露相关内容外，还应当在相关公告中明确披露对被担保方相关担保额度的审议情况，包括审议过程、审议时间、审议的担保额度以及本次担保前后对被担保方的担保余额（已提供且尚在担保期限内的担保余额，下同）、可用担保额度等。</w:t>
      </w:r>
    </w:p>
    <w:p w14:paraId="730F3F73">
      <w:pPr>
        <w:autoSpaceDE w:val="0"/>
        <w:autoSpaceDN w:val="0"/>
        <w:adjustRightInd w:val="0"/>
        <w:spacing w:line="560" w:lineRule="exact"/>
        <w:ind w:firstLine="576" w:firstLineChars="192"/>
        <w:rPr>
          <w:rFonts w:ascii="仿宋_GB2312" w:hAnsi="宋体" w:eastAsia="仿宋_GB2312"/>
          <w:color w:val="000000"/>
          <w:kern w:val="0"/>
          <w:sz w:val="30"/>
          <w:szCs w:val="30"/>
        </w:rPr>
      </w:pPr>
      <w:r>
        <w:rPr>
          <w:rFonts w:ascii="仿宋_GB2312" w:hAnsi="宋体" w:eastAsia="仿宋_GB2312"/>
          <w:color w:val="000000"/>
          <w:kern w:val="0"/>
          <w:sz w:val="30"/>
          <w:szCs w:val="30"/>
        </w:rPr>
        <w:t>担保调剂事项发生时，应当</w:t>
      </w:r>
      <w:r>
        <w:rPr>
          <w:rFonts w:hint="eastAsia" w:ascii="仿宋_GB2312" w:hAnsi="宋体" w:eastAsia="仿宋_GB2312"/>
          <w:color w:val="000000"/>
          <w:kern w:val="0"/>
          <w:sz w:val="30"/>
          <w:szCs w:val="30"/>
        </w:rPr>
        <w:t>披露调剂的相关情况，例如</w:t>
      </w:r>
      <w:r>
        <w:rPr>
          <w:rFonts w:ascii="仿宋_GB2312" w:hAnsi="宋体" w:eastAsia="仿宋_GB2312"/>
          <w:color w:val="000000"/>
          <w:kern w:val="0"/>
          <w:sz w:val="30"/>
          <w:szCs w:val="30"/>
        </w:rPr>
        <w:t>调出方及调入方名称、担保额度以及本次调剂前后对各方的担保余额、可用担保额度等</w:t>
      </w:r>
      <w:r>
        <w:rPr>
          <w:rFonts w:hint="eastAsia" w:ascii="仿宋_GB2312" w:hAnsi="宋体" w:eastAsia="仿宋_GB2312"/>
          <w:color w:val="000000"/>
          <w:kern w:val="0"/>
          <w:sz w:val="30"/>
          <w:szCs w:val="30"/>
        </w:rPr>
        <w:t>。</w:t>
      </w:r>
    </w:p>
    <w:p w14:paraId="0FB36FFF">
      <w:pPr>
        <w:autoSpaceDE w:val="0"/>
        <w:autoSpaceDN w:val="0"/>
        <w:adjustRightInd w:val="0"/>
        <w:spacing w:line="560" w:lineRule="exact"/>
        <w:ind w:firstLine="460" w:firstLineChars="192"/>
        <w:rPr>
          <w:rFonts w:ascii="楷体" w:hAnsi="楷体" w:eastAsia="楷体" w:cs="宋体-WinCharSetFFFF-H"/>
          <w:color w:val="000000"/>
          <w:kern w:val="0"/>
          <w:sz w:val="24"/>
          <w:szCs w:val="24"/>
        </w:rPr>
      </w:pPr>
      <w:r>
        <w:rPr>
          <w:rFonts w:hint="eastAsia" w:ascii="楷体" w:hAnsi="楷体" w:eastAsia="楷体" w:cs="宋体-WinCharSetFFFF-H"/>
          <w:color w:val="000000"/>
          <w:kern w:val="0"/>
          <w:sz w:val="24"/>
          <w:szCs w:val="24"/>
        </w:rPr>
        <w:t>（编制提醒：</w:t>
      </w:r>
    </w:p>
    <w:p w14:paraId="0CED251D">
      <w:pPr>
        <w:autoSpaceDE w:val="0"/>
        <w:autoSpaceDN w:val="0"/>
        <w:adjustRightInd w:val="0"/>
        <w:spacing w:line="560" w:lineRule="exact"/>
        <w:ind w:firstLine="460" w:firstLineChars="192"/>
        <w:rPr>
          <w:rFonts w:ascii="楷体" w:hAnsi="楷体" w:eastAsia="楷体" w:cs="宋体-WinCharSetFFFF-H"/>
          <w:color w:val="000000"/>
          <w:kern w:val="0"/>
          <w:sz w:val="24"/>
          <w:szCs w:val="24"/>
        </w:rPr>
      </w:pPr>
      <w:r>
        <w:rPr>
          <w:rFonts w:hint="eastAsia" w:ascii="楷体" w:hAnsi="楷体" w:eastAsia="楷体" w:cs="宋体-WinCharSetFFFF-H"/>
          <w:color w:val="000000"/>
          <w:kern w:val="0"/>
          <w:sz w:val="24"/>
          <w:szCs w:val="24"/>
        </w:rPr>
        <w:t>1</w:t>
      </w:r>
      <w:r>
        <w:rPr>
          <w:rFonts w:ascii="楷体" w:hAnsi="楷体" w:eastAsia="楷体" w:cs="宋体-WinCharSetFFFF-H"/>
          <w:color w:val="000000"/>
          <w:kern w:val="0"/>
          <w:sz w:val="24"/>
          <w:szCs w:val="24"/>
        </w:rPr>
        <w:t>.</w:t>
      </w:r>
      <w:r>
        <w:rPr>
          <w:rFonts w:hint="eastAsia" w:ascii="楷体" w:hAnsi="楷体" w:eastAsia="楷体" w:cs="宋体-WinCharSetFFFF-H"/>
          <w:color w:val="000000"/>
          <w:kern w:val="0"/>
          <w:sz w:val="24"/>
          <w:szCs w:val="24"/>
        </w:rPr>
        <w:t>上市</w:t>
      </w:r>
      <w:r>
        <w:rPr>
          <w:rFonts w:ascii="楷体" w:hAnsi="楷体" w:eastAsia="楷体" w:cs="宋体-WinCharSetFFFF-H"/>
          <w:color w:val="000000"/>
          <w:kern w:val="0"/>
          <w:sz w:val="24"/>
          <w:szCs w:val="24"/>
        </w:rPr>
        <w:t>公司对控股子公司提供担保，</w:t>
      </w:r>
      <w:r>
        <w:rPr>
          <w:rFonts w:hint="eastAsia" w:ascii="楷体" w:hAnsi="楷体" w:eastAsia="楷体" w:cs="宋体-WinCharSetFFFF-H"/>
          <w:color w:val="000000"/>
          <w:kern w:val="0"/>
          <w:sz w:val="24"/>
          <w:szCs w:val="24"/>
        </w:rPr>
        <w:t>可</w:t>
      </w:r>
      <w:r>
        <w:rPr>
          <w:rFonts w:ascii="楷体" w:hAnsi="楷体" w:eastAsia="楷体" w:cs="宋体-WinCharSetFFFF-H"/>
          <w:color w:val="000000"/>
          <w:kern w:val="0"/>
          <w:sz w:val="24"/>
          <w:szCs w:val="24"/>
        </w:rPr>
        <w:t>对资产负债率为70%</w:t>
      </w:r>
      <w:r>
        <w:rPr>
          <w:rFonts w:hint="eastAsia" w:ascii="楷体" w:hAnsi="楷体" w:eastAsia="楷体" w:cs="宋体-WinCharSetFFFF-H"/>
          <w:color w:val="000000"/>
          <w:kern w:val="0"/>
          <w:sz w:val="24"/>
          <w:szCs w:val="24"/>
        </w:rPr>
        <w:t>以上</w:t>
      </w:r>
      <w:r>
        <w:rPr>
          <w:rFonts w:ascii="楷体" w:hAnsi="楷体" w:eastAsia="楷体" w:cs="宋体-WinCharSetFFFF-H"/>
          <w:color w:val="000000"/>
          <w:kern w:val="0"/>
          <w:sz w:val="24"/>
          <w:szCs w:val="24"/>
        </w:rPr>
        <w:t>和70%以下的两类子公司分别预计未来12个月的新增担保总额度，并提交股东会审议；</w:t>
      </w:r>
    </w:p>
    <w:p w14:paraId="70AF2859">
      <w:pPr>
        <w:autoSpaceDE w:val="0"/>
        <w:autoSpaceDN w:val="0"/>
        <w:adjustRightInd w:val="0"/>
        <w:spacing w:line="560" w:lineRule="exact"/>
        <w:ind w:firstLine="460" w:firstLineChars="192"/>
        <w:rPr>
          <w:rFonts w:ascii="楷体" w:hAnsi="楷体" w:eastAsia="楷体" w:cs="宋体-WinCharSetFFFF-H"/>
          <w:color w:val="000000"/>
          <w:kern w:val="0"/>
          <w:sz w:val="24"/>
          <w:szCs w:val="24"/>
        </w:rPr>
      </w:pPr>
      <w:r>
        <w:rPr>
          <w:rFonts w:ascii="楷体" w:hAnsi="楷体" w:eastAsia="楷体" w:cs="宋体-WinCharSetFFFF-H"/>
          <w:color w:val="000000"/>
          <w:kern w:val="0"/>
          <w:sz w:val="24"/>
          <w:szCs w:val="24"/>
        </w:rPr>
        <w:t>2.</w:t>
      </w:r>
      <w:r>
        <w:rPr>
          <w:rFonts w:hint="eastAsia" w:ascii="楷体" w:hAnsi="楷体" w:eastAsia="楷体" w:cs="宋体-WinCharSetFFFF-H"/>
          <w:color w:val="000000"/>
          <w:kern w:val="0"/>
          <w:sz w:val="24"/>
          <w:szCs w:val="24"/>
        </w:rPr>
        <w:t>上市公司</w:t>
      </w:r>
      <w:r>
        <w:rPr>
          <w:rFonts w:ascii="楷体" w:hAnsi="楷体" w:eastAsia="楷体" w:cs="宋体-WinCharSetFFFF-H"/>
          <w:color w:val="000000"/>
          <w:kern w:val="0"/>
          <w:sz w:val="24"/>
          <w:szCs w:val="24"/>
        </w:rPr>
        <w:t>向合营或联营企业提供担保，且被担保方不是上市公司董事、高级管理人员、持股5%以上股东、控股股东或实际控制人的关联人</w:t>
      </w:r>
      <w:r>
        <w:rPr>
          <w:rFonts w:hint="eastAsia" w:ascii="楷体" w:hAnsi="楷体" w:eastAsia="楷体" w:cs="宋体-WinCharSetFFFF-H"/>
          <w:color w:val="000000"/>
          <w:kern w:val="0"/>
          <w:sz w:val="24"/>
          <w:szCs w:val="24"/>
        </w:rPr>
        <w:t>，公司</w:t>
      </w:r>
      <w:r>
        <w:rPr>
          <w:rFonts w:ascii="楷体" w:hAnsi="楷体" w:eastAsia="楷体" w:cs="宋体-WinCharSetFFFF-H"/>
          <w:color w:val="000000"/>
          <w:kern w:val="0"/>
          <w:sz w:val="24"/>
          <w:szCs w:val="24"/>
        </w:rPr>
        <w:t>可</w:t>
      </w:r>
      <w:r>
        <w:rPr>
          <w:rFonts w:hint="eastAsia" w:ascii="楷体" w:hAnsi="楷体" w:eastAsia="楷体" w:cs="宋体-WinCharSetFFFF-H"/>
          <w:color w:val="000000"/>
          <w:kern w:val="0"/>
          <w:sz w:val="24"/>
          <w:szCs w:val="24"/>
        </w:rPr>
        <w:t>合理</w:t>
      </w:r>
      <w:r>
        <w:rPr>
          <w:rFonts w:ascii="楷体" w:hAnsi="楷体" w:eastAsia="楷体" w:cs="宋体-WinCharSetFFFF-H"/>
          <w:color w:val="000000"/>
          <w:kern w:val="0"/>
          <w:sz w:val="24"/>
          <w:szCs w:val="24"/>
        </w:rPr>
        <w:t>预计对未来12个月内拟提供担保的具体对象及新增担保额度</w:t>
      </w:r>
      <w:r>
        <w:rPr>
          <w:rFonts w:hint="eastAsia" w:ascii="楷体" w:hAnsi="楷体" w:eastAsia="楷体" w:cs="宋体-WinCharSetFFFF-H"/>
          <w:color w:val="000000"/>
          <w:kern w:val="0"/>
          <w:sz w:val="24"/>
          <w:szCs w:val="24"/>
        </w:rPr>
        <w:t>，</w:t>
      </w:r>
      <w:r>
        <w:rPr>
          <w:rFonts w:ascii="楷体" w:hAnsi="楷体" w:eastAsia="楷体" w:cs="宋体-WinCharSetFFFF-H"/>
          <w:color w:val="000000"/>
          <w:kern w:val="0"/>
          <w:sz w:val="24"/>
          <w:szCs w:val="24"/>
        </w:rPr>
        <w:t>并提交股东会审议</w:t>
      </w:r>
      <w:r>
        <w:rPr>
          <w:rFonts w:hint="eastAsia" w:ascii="楷体" w:hAnsi="楷体" w:eastAsia="楷体" w:cs="宋体-WinCharSetFFFF-H"/>
          <w:color w:val="000000"/>
          <w:kern w:val="0"/>
          <w:sz w:val="24"/>
          <w:szCs w:val="24"/>
        </w:rPr>
        <w:t>；</w:t>
      </w:r>
    </w:p>
    <w:p w14:paraId="136C9FEB">
      <w:pPr>
        <w:autoSpaceDE w:val="0"/>
        <w:autoSpaceDN w:val="0"/>
        <w:adjustRightInd w:val="0"/>
        <w:spacing w:line="560" w:lineRule="exact"/>
        <w:ind w:firstLine="460" w:firstLineChars="192"/>
        <w:rPr>
          <w:rFonts w:ascii="楷体" w:hAnsi="楷体" w:eastAsia="楷体" w:cs="宋体-WinCharSetFFFF-H"/>
          <w:color w:val="000000"/>
          <w:kern w:val="0"/>
          <w:sz w:val="24"/>
          <w:szCs w:val="24"/>
        </w:rPr>
      </w:pPr>
      <w:r>
        <w:rPr>
          <w:rFonts w:ascii="楷体" w:hAnsi="楷体" w:eastAsia="楷体" w:cs="宋体-WinCharSetFFFF-H"/>
          <w:color w:val="000000"/>
          <w:kern w:val="0"/>
          <w:sz w:val="24"/>
          <w:szCs w:val="24"/>
        </w:rPr>
        <w:t>3.</w:t>
      </w:r>
      <w:r>
        <w:rPr>
          <w:rFonts w:hint="eastAsia" w:ascii="楷体" w:hAnsi="楷体" w:eastAsia="楷体" w:cs="宋体-WinCharSetFFFF-H"/>
          <w:color w:val="000000"/>
          <w:kern w:val="0"/>
          <w:sz w:val="24"/>
          <w:szCs w:val="24"/>
        </w:rPr>
        <w:t>上市公司</w:t>
      </w:r>
      <w:r>
        <w:rPr>
          <w:rFonts w:ascii="楷体" w:hAnsi="楷体" w:eastAsia="楷体" w:cs="宋体-WinCharSetFFFF-H"/>
          <w:color w:val="000000"/>
          <w:kern w:val="0"/>
          <w:sz w:val="24"/>
          <w:szCs w:val="24"/>
        </w:rPr>
        <w:t>控股子公司</w:t>
      </w:r>
      <w:r>
        <w:rPr>
          <w:rFonts w:hint="eastAsia" w:ascii="楷体" w:hAnsi="楷体" w:eastAsia="楷体" w:cs="宋体-WinCharSetFFFF-H"/>
          <w:color w:val="000000"/>
          <w:kern w:val="0"/>
          <w:sz w:val="24"/>
          <w:szCs w:val="24"/>
        </w:rPr>
        <w:t>内部可进行</w:t>
      </w:r>
      <w:r>
        <w:rPr>
          <w:rFonts w:ascii="楷体" w:hAnsi="楷体" w:eastAsia="楷体" w:cs="宋体-WinCharSetFFFF-H"/>
          <w:color w:val="000000"/>
          <w:kern w:val="0"/>
          <w:sz w:val="24"/>
          <w:szCs w:val="24"/>
        </w:rPr>
        <w:t>担保额度调剂，但</w:t>
      </w:r>
      <w:r>
        <w:rPr>
          <w:rFonts w:hint="eastAsia" w:ascii="楷体" w:hAnsi="楷体" w:eastAsia="楷体" w:cs="宋体-WinCharSetFFFF-H"/>
          <w:color w:val="000000"/>
          <w:kern w:val="0"/>
          <w:sz w:val="24"/>
          <w:szCs w:val="24"/>
        </w:rPr>
        <w:t>调剂</w:t>
      </w:r>
      <w:r>
        <w:rPr>
          <w:rFonts w:ascii="楷体" w:hAnsi="楷体" w:eastAsia="楷体" w:cs="宋体-WinCharSetFFFF-H"/>
          <w:color w:val="000000"/>
          <w:kern w:val="0"/>
          <w:sz w:val="24"/>
          <w:szCs w:val="24"/>
        </w:rPr>
        <w:t>发生时资产负债率为70%以上</w:t>
      </w:r>
      <w:r>
        <w:rPr>
          <w:rFonts w:hint="eastAsia" w:ascii="楷体" w:hAnsi="楷体" w:eastAsia="楷体" w:cs="宋体-WinCharSetFFFF-H"/>
          <w:color w:val="000000"/>
          <w:kern w:val="0"/>
          <w:sz w:val="24"/>
          <w:szCs w:val="24"/>
        </w:rPr>
        <w:t>的</w:t>
      </w:r>
      <w:r>
        <w:rPr>
          <w:rFonts w:ascii="楷体" w:hAnsi="楷体" w:eastAsia="楷体" w:cs="宋体-WinCharSetFFFF-H"/>
          <w:color w:val="000000"/>
          <w:kern w:val="0"/>
          <w:sz w:val="24"/>
          <w:szCs w:val="24"/>
        </w:rPr>
        <w:t>子公司仅能从</w:t>
      </w:r>
      <w:r>
        <w:rPr>
          <w:rFonts w:hint="eastAsia" w:ascii="楷体" w:hAnsi="楷体" w:eastAsia="楷体" w:cs="宋体-WinCharSetFFFF-H"/>
          <w:color w:val="000000"/>
          <w:kern w:val="0"/>
          <w:sz w:val="24"/>
          <w:szCs w:val="24"/>
        </w:rPr>
        <w:t>股东会</w:t>
      </w:r>
      <w:r>
        <w:rPr>
          <w:rFonts w:ascii="楷体" w:hAnsi="楷体" w:eastAsia="楷体" w:cs="宋体-WinCharSetFFFF-H"/>
          <w:color w:val="000000"/>
          <w:kern w:val="0"/>
          <w:sz w:val="24"/>
          <w:szCs w:val="24"/>
        </w:rPr>
        <w:t>审议时资产负债率为70%以上</w:t>
      </w:r>
      <w:r>
        <w:rPr>
          <w:rFonts w:hint="eastAsia" w:ascii="楷体" w:hAnsi="楷体" w:eastAsia="楷体" w:cs="宋体-WinCharSetFFFF-H"/>
          <w:color w:val="000000"/>
          <w:kern w:val="0"/>
          <w:sz w:val="24"/>
          <w:szCs w:val="24"/>
        </w:rPr>
        <w:t>的</w:t>
      </w:r>
      <w:r>
        <w:rPr>
          <w:rFonts w:ascii="楷体" w:hAnsi="楷体" w:eastAsia="楷体" w:cs="宋体-WinCharSetFFFF-H"/>
          <w:color w:val="000000"/>
          <w:kern w:val="0"/>
          <w:sz w:val="24"/>
          <w:szCs w:val="24"/>
        </w:rPr>
        <w:t>子公司处获得</w:t>
      </w:r>
      <w:r>
        <w:rPr>
          <w:rFonts w:hint="eastAsia" w:ascii="楷体" w:hAnsi="楷体" w:eastAsia="楷体" w:cs="宋体-WinCharSetFFFF-H"/>
          <w:color w:val="000000"/>
          <w:kern w:val="0"/>
          <w:sz w:val="24"/>
          <w:szCs w:val="24"/>
        </w:rPr>
        <w:t>担保</w:t>
      </w:r>
      <w:r>
        <w:rPr>
          <w:rFonts w:ascii="楷体" w:hAnsi="楷体" w:eastAsia="楷体" w:cs="宋体-WinCharSetFFFF-H"/>
          <w:color w:val="000000"/>
          <w:kern w:val="0"/>
          <w:sz w:val="24"/>
          <w:szCs w:val="24"/>
        </w:rPr>
        <w:t>额度；</w:t>
      </w:r>
    </w:p>
    <w:p w14:paraId="724649AC">
      <w:pPr>
        <w:autoSpaceDE w:val="0"/>
        <w:autoSpaceDN w:val="0"/>
        <w:adjustRightInd w:val="0"/>
        <w:spacing w:line="560" w:lineRule="exact"/>
        <w:ind w:firstLine="460" w:firstLineChars="192"/>
        <w:rPr>
          <w:rFonts w:ascii="楷体" w:hAnsi="楷体" w:eastAsia="楷体" w:cs="宋体-WinCharSetFFFF-H"/>
          <w:color w:val="000000"/>
          <w:kern w:val="0"/>
          <w:sz w:val="24"/>
          <w:szCs w:val="24"/>
        </w:rPr>
      </w:pPr>
      <w:r>
        <w:rPr>
          <w:rFonts w:ascii="楷体" w:hAnsi="楷体" w:eastAsia="楷体" w:cs="宋体-WinCharSetFFFF-H"/>
          <w:color w:val="000000"/>
          <w:kern w:val="0"/>
          <w:sz w:val="24"/>
          <w:szCs w:val="24"/>
        </w:rPr>
        <w:t>4.</w:t>
      </w:r>
      <w:r>
        <w:rPr>
          <w:rFonts w:hint="eastAsia" w:ascii="楷体" w:hAnsi="楷体" w:eastAsia="楷体" w:cs="宋体-WinCharSetFFFF-H"/>
          <w:color w:val="000000"/>
          <w:kern w:val="0"/>
          <w:sz w:val="24"/>
          <w:szCs w:val="24"/>
        </w:rPr>
        <w:t>上市公司对合营</w:t>
      </w:r>
      <w:r>
        <w:rPr>
          <w:rFonts w:ascii="楷体" w:hAnsi="楷体" w:eastAsia="楷体" w:cs="宋体-WinCharSetFFFF-H"/>
          <w:color w:val="000000"/>
          <w:kern w:val="0"/>
          <w:sz w:val="24"/>
          <w:szCs w:val="24"/>
        </w:rPr>
        <w:t>或联营企业</w:t>
      </w:r>
      <w:r>
        <w:rPr>
          <w:rFonts w:hint="eastAsia" w:ascii="楷体" w:hAnsi="楷体" w:eastAsia="楷体" w:cs="宋体-WinCharSetFFFF-H"/>
          <w:color w:val="000000"/>
          <w:kern w:val="0"/>
          <w:sz w:val="24"/>
          <w:szCs w:val="24"/>
        </w:rPr>
        <w:t>进行</w:t>
      </w:r>
      <w:r>
        <w:rPr>
          <w:rFonts w:ascii="楷体" w:hAnsi="楷体" w:eastAsia="楷体" w:cs="宋体-WinCharSetFFFF-H"/>
          <w:color w:val="000000"/>
          <w:kern w:val="0"/>
          <w:sz w:val="24"/>
          <w:szCs w:val="24"/>
        </w:rPr>
        <w:t>担保额度预计，同时满足以下条件的，可以在合营或联营企业内部进行担保额度调剂</w:t>
      </w:r>
      <w:r>
        <w:rPr>
          <w:rFonts w:hint="eastAsia" w:ascii="楷体" w:hAnsi="楷体" w:eastAsia="楷体" w:cs="宋体-WinCharSetFFFF-H"/>
          <w:color w:val="000000"/>
          <w:kern w:val="0"/>
          <w:sz w:val="24"/>
          <w:szCs w:val="24"/>
        </w:rPr>
        <w:t>，</w:t>
      </w:r>
      <w:r>
        <w:rPr>
          <w:rFonts w:ascii="楷体" w:hAnsi="楷体" w:eastAsia="楷体" w:cs="宋体-WinCharSetFFFF-H"/>
          <w:color w:val="000000"/>
          <w:kern w:val="0"/>
          <w:sz w:val="24"/>
          <w:szCs w:val="24"/>
        </w:rPr>
        <w:t>并应当参照本</w:t>
      </w:r>
      <w:r>
        <w:rPr>
          <w:rFonts w:hint="eastAsia" w:ascii="楷体" w:hAnsi="楷体" w:eastAsia="楷体" w:cs="宋体-WinCharSetFFFF-H"/>
          <w:color w:val="000000"/>
          <w:kern w:val="0"/>
          <w:sz w:val="24"/>
          <w:szCs w:val="24"/>
        </w:rPr>
        <w:t>公告格式</w:t>
      </w:r>
      <w:r>
        <w:rPr>
          <w:rFonts w:ascii="楷体" w:hAnsi="楷体" w:eastAsia="楷体" w:cs="宋体-WinCharSetFFFF-H"/>
          <w:color w:val="000000"/>
          <w:kern w:val="0"/>
          <w:sz w:val="24"/>
          <w:szCs w:val="24"/>
        </w:rPr>
        <w:t>及时披露：（1）单笔获调剂金额不超过上市公司最近一期经审计净资产的10%；（2）调剂</w:t>
      </w:r>
      <w:r>
        <w:rPr>
          <w:rFonts w:hint="eastAsia" w:ascii="楷体" w:hAnsi="楷体" w:eastAsia="楷体" w:cs="宋体-WinCharSetFFFF-H"/>
          <w:color w:val="000000"/>
          <w:kern w:val="0"/>
          <w:sz w:val="24"/>
          <w:szCs w:val="24"/>
        </w:rPr>
        <w:t>发生时</w:t>
      </w:r>
      <w:r>
        <w:rPr>
          <w:rFonts w:ascii="楷体" w:hAnsi="楷体" w:eastAsia="楷体" w:cs="宋体-WinCharSetFFFF-H"/>
          <w:color w:val="000000"/>
          <w:kern w:val="0"/>
          <w:sz w:val="24"/>
          <w:szCs w:val="24"/>
        </w:rPr>
        <w:t>资产负债率超过70%的担保对象</w:t>
      </w:r>
      <w:r>
        <w:rPr>
          <w:rFonts w:hint="eastAsia" w:ascii="楷体" w:hAnsi="楷体" w:eastAsia="楷体" w:cs="宋体-WinCharSetFFFF-H"/>
          <w:color w:val="000000"/>
          <w:kern w:val="0"/>
          <w:sz w:val="24"/>
          <w:szCs w:val="24"/>
        </w:rPr>
        <w:t>仅能从</w:t>
      </w:r>
      <w:r>
        <w:rPr>
          <w:rFonts w:ascii="楷体" w:hAnsi="楷体" w:eastAsia="楷体" w:cs="宋体-WinCharSetFFFF-H"/>
          <w:color w:val="000000"/>
          <w:kern w:val="0"/>
          <w:sz w:val="24"/>
          <w:szCs w:val="24"/>
        </w:rPr>
        <w:t>股东会审议时资产负债率为</w:t>
      </w:r>
      <w:r>
        <w:rPr>
          <w:rFonts w:hint="eastAsia" w:ascii="楷体" w:hAnsi="楷体" w:eastAsia="楷体" w:cs="宋体-WinCharSetFFFF-H"/>
          <w:color w:val="000000"/>
          <w:kern w:val="0"/>
          <w:sz w:val="24"/>
          <w:szCs w:val="24"/>
        </w:rPr>
        <w:t>7</w:t>
      </w:r>
      <w:r>
        <w:rPr>
          <w:rFonts w:ascii="楷体" w:hAnsi="楷体" w:eastAsia="楷体" w:cs="宋体-WinCharSetFFFF-H"/>
          <w:color w:val="000000"/>
          <w:kern w:val="0"/>
          <w:sz w:val="24"/>
          <w:szCs w:val="24"/>
        </w:rPr>
        <w:t>0%以上的担保对象</w:t>
      </w:r>
      <w:r>
        <w:rPr>
          <w:rFonts w:hint="eastAsia" w:ascii="楷体" w:hAnsi="楷体" w:eastAsia="楷体" w:cs="宋体-WinCharSetFFFF-H"/>
          <w:color w:val="000000"/>
          <w:kern w:val="0"/>
          <w:sz w:val="24"/>
          <w:szCs w:val="24"/>
        </w:rPr>
        <w:t>处</w:t>
      </w:r>
      <w:r>
        <w:rPr>
          <w:rFonts w:ascii="楷体" w:hAnsi="楷体" w:eastAsia="楷体" w:cs="宋体-WinCharSetFFFF-H"/>
          <w:color w:val="000000"/>
          <w:kern w:val="0"/>
          <w:sz w:val="24"/>
          <w:szCs w:val="24"/>
        </w:rPr>
        <w:t>获得担保额度</w:t>
      </w:r>
      <w:r>
        <w:rPr>
          <w:rFonts w:hint="eastAsia" w:ascii="楷体" w:hAnsi="楷体" w:eastAsia="楷体" w:cs="宋体-WinCharSetFFFF-H"/>
          <w:color w:val="000000"/>
          <w:kern w:val="0"/>
          <w:sz w:val="24"/>
          <w:szCs w:val="24"/>
        </w:rPr>
        <w:t>；（3）在调剂发生时，获调剂方不存在逾期未偿还负债等情况。）</w:t>
      </w:r>
    </w:p>
    <w:p w14:paraId="4187FBBE">
      <w:pPr>
        <w:autoSpaceDE w:val="0"/>
        <w:autoSpaceDN w:val="0"/>
        <w:adjustRightInd w:val="0"/>
        <w:spacing w:line="560" w:lineRule="exact"/>
        <w:ind w:firstLine="576" w:firstLineChars="192"/>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简要说明本次担保预计事项已履行的内部决策程序及</w:t>
      </w:r>
      <w:r>
        <w:rPr>
          <w:rFonts w:hint="eastAsia" w:ascii="仿宋_GB2312" w:eastAsia="仿宋_GB2312"/>
          <w:color w:val="000000"/>
          <w:sz w:val="30"/>
          <w:szCs w:val="30"/>
        </w:rPr>
        <w:t>尚需履行的决策程序</w:t>
      </w:r>
      <w:r>
        <w:rPr>
          <w:rFonts w:hint="eastAsia" w:ascii="仿宋_GB2312" w:hAnsi="宋体" w:eastAsia="仿宋_GB2312"/>
          <w:color w:val="000000"/>
          <w:kern w:val="0"/>
          <w:sz w:val="30"/>
          <w:szCs w:val="30"/>
        </w:rPr>
        <w:t>。上市公司</w:t>
      </w:r>
      <w:r>
        <w:rPr>
          <w:rFonts w:ascii="仿宋_GB2312" w:hAnsi="宋体" w:eastAsia="仿宋_GB2312"/>
          <w:color w:val="000000"/>
          <w:kern w:val="0"/>
          <w:sz w:val="30"/>
          <w:szCs w:val="30"/>
        </w:rPr>
        <w:t>进行担保额度预计的，应当</w:t>
      </w:r>
      <w:r>
        <w:rPr>
          <w:rFonts w:hint="eastAsia" w:ascii="仿宋_GB2312" w:hAnsi="宋体" w:eastAsia="仿宋_GB2312"/>
          <w:color w:val="000000"/>
          <w:kern w:val="0"/>
          <w:sz w:val="30"/>
          <w:szCs w:val="30"/>
        </w:rPr>
        <w:t>提交</w:t>
      </w:r>
      <w:r>
        <w:rPr>
          <w:rFonts w:ascii="仿宋_GB2312" w:hAnsi="宋体" w:eastAsia="仿宋_GB2312"/>
          <w:color w:val="000000"/>
          <w:kern w:val="0"/>
          <w:sz w:val="30"/>
          <w:szCs w:val="30"/>
        </w:rPr>
        <w:t>股东会审议。</w:t>
      </w:r>
    </w:p>
    <w:p w14:paraId="783BA078">
      <w:pPr>
        <w:autoSpaceDE w:val="0"/>
        <w:autoSpaceDN w:val="0"/>
        <w:adjustRightInd w:val="0"/>
        <w:spacing w:line="560" w:lineRule="exact"/>
        <w:ind w:firstLine="576" w:firstLineChars="192"/>
        <w:rPr>
          <w:rFonts w:ascii="仿宋_GB2312" w:hAnsi="宋体" w:eastAsia="仿宋_GB2312"/>
          <w:color w:val="000000"/>
          <w:kern w:val="0"/>
          <w:sz w:val="30"/>
          <w:szCs w:val="30"/>
        </w:rPr>
      </w:pPr>
    </w:p>
    <w:p w14:paraId="3C37FCFC">
      <w:pPr>
        <w:autoSpaceDE w:val="0"/>
        <w:autoSpaceDN w:val="0"/>
        <w:adjustRightInd w:val="0"/>
        <w:spacing w:line="560" w:lineRule="exact"/>
        <w:ind w:firstLine="578" w:firstLineChars="192"/>
        <w:rPr>
          <w:rFonts w:ascii="黑体" w:hAnsi="黑体" w:eastAsia="黑体"/>
          <w:b/>
          <w:sz w:val="30"/>
          <w:szCs w:val="30"/>
        </w:rPr>
      </w:pPr>
      <w:r>
        <w:rPr>
          <w:rFonts w:hint="eastAsia" w:ascii="黑体" w:hAnsi="黑体" w:eastAsia="黑体"/>
          <w:b/>
          <w:sz w:val="30"/>
          <w:szCs w:val="30"/>
        </w:rPr>
        <w:t>二、被担保人基本情况</w:t>
      </w:r>
    </w:p>
    <w:p w14:paraId="65D6E4EB">
      <w:pPr>
        <w:autoSpaceDE w:val="0"/>
        <w:autoSpaceDN w:val="0"/>
        <w:adjustRightInd w:val="0"/>
        <w:spacing w:line="560" w:lineRule="exact"/>
        <w:ind w:firstLine="576" w:firstLineChars="192"/>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（一）</w:t>
      </w:r>
      <w:r>
        <w:rPr>
          <w:rFonts w:hint="eastAsia" w:ascii="仿宋_GB2312" w:hAnsi="仿宋_GB2312" w:eastAsia="仿宋_GB2312" w:cs="仿宋_GB2312"/>
          <w:sz w:val="30"/>
          <w:szCs w:val="30"/>
        </w:rPr>
        <w:t>被担保人为法人或其他组织的，</w:t>
      </w:r>
      <w:r>
        <w:rPr>
          <w:rFonts w:hint="eastAsia" w:ascii="仿宋_GB2312" w:hAnsi="宋体" w:eastAsia="仿宋_GB2312"/>
          <w:color w:val="000000"/>
          <w:kern w:val="0"/>
          <w:sz w:val="30"/>
          <w:szCs w:val="30"/>
        </w:rPr>
        <w:t>说明被担保人的基本法人信息，例如</w:t>
      </w:r>
      <w:r>
        <w:rPr>
          <w:rFonts w:hint="eastAsia" w:ascii="仿宋_GB2312" w:eastAsia="仿宋_GB2312"/>
          <w:sz w:val="30"/>
          <w:szCs w:val="30"/>
        </w:rPr>
        <w:t>名称、统一社会信用代码、成立时间、注册地、主要办公地点、法定代表人、注册资本、主营业务、主要股东或实际控制人，</w:t>
      </w:r>
      <w:r>
        <w:rPr>
          <w:rFonts w:hint="eastAsia" w:ascii="仿宋_GB2312" w:hAnsi="宋体" w:eastAsia="仿宋_GB2312"/>
          <w:color w:val="000000"/>
          <w:kern w:val="0"/>
          <w:sz w:val="30"/>
          <w:szCs w:val="30"/>
        </w:rPr>
        <w:t>最近一年又一期财务报表的资产总额、负债总额、净资产、营业收入、净利润、</w:t>
      </w:r>
      <w:r>
        <w:rPr>
          <w:rFonts w:hint="eastAsia" w:ascii="仿宋_GB2312" w:hAnsi="宋体" w:eastAsia="仿宋_GB2312"/>
          <w:sz w:val="30"/>
          <w:szCs w:val="30"/>
        </w:rPr>
        <w:t>影响被担保人偿债能力的重大或有事项（包括担保、抵押、诉讼与仲裁事项）等</w:t>
      </w:r>
      <w:r>
        <w:rPr>
          <w:rFonts w:hint="eastAsia" w:ascii="仿宋_GB2312" w:hAnsi="宋体" w:eastAsia="仿宋_GB2312"/>
          <w:color w:val="000000"/>
          <w:kern w:val="0"/>
          <w:sz w:val="30"/>
          <w:szCs w:val="30"/>
        </w:rPr>
        <w:t>。</w:t>
      </w:r>
    </w:p>
    <w:p w14:paraId="56893C2F">
      <w:pPr>
        <w:autoSpaceDE w:val="0"/>
        <w:autoSpaceDN w:val="0"/>
        <w:adjustRightInd w:val="0"/>
        <w:spacing w:line="560" w:lineRule="exact"/>
        <w:ind w:firstLine="576" w:firstLineChars="192"/>
        <w:rPr>
          <w:rFonts w:ascii="仿宋_GB2312" w:hAnsi="宋体" w:eastAsia="仿宋_GB2312"/>
          <w:color w:val="000000"/>
          <w:kern w:val="0"/>
          <w:sz w:val="30"/>
          <w:szCs w:val="30"/>
        </w:rPr>
      </w:pPr>
      <w:r>
        <w:rPr>
          <w:rFonts w:hint="eastAsia" w:ascii="仿宋_GB2312" w:eastAsia="仿宋_GB2312"/>
          <w:sz w:val="30"/>
          <w:szCs w:val="30"/>
        </w:rPr>
        <w:t>被担保人为自然人的，披露其姓名</w:t>
      </w:r>
      <w:r>
        <w:rPr>
          <w:rFonts w:hint="eastAsia" w:ascii="仿宋_GB2312" w:hAnsi="仿宋_GB2312" w:eastAsia="仿宋_GB2312" w:cs="仿宋_GB2312"/>
          <w:sz w:val="30"/>
          <w:szCs w:val="30"/>
        </w:rPr>
        <w:t>、主要</w:t>
      </w:r>
      <w:r>
        <w:rPr>
          <w:rFonts w:hint="eastAsia" w:ascii="仿宋_GB2312" w:eastAsia="仿宋_GB2312"/>
          <w:color w:val="000000"/>
          <w:sz w:val="30"/>
          <w:szCs w:val="30"/>
        </w:rPr>
        <w:t>就职单位</w:t>
      </w:r>
      <w:r>
        <w:rPr>
          <w:rFonts w:hint="eastAsia" w:ascii="仿宋_GB2312" w:eastAsia="仿宋_GB2312"/>
          <w:sz w:val="30"/>
          <w:szCs w:val="30"/>
        </w:rPr>
        <w:t>等基本情况，</w:t>
      </w:r>
      <w:r>
        <w:rPr>
          <w:rFonts w:hint="eastAsia" w:ascii="仿宋_GB2312" w:eastAsia="仿宋_GB2312"/>
          <w:color w:val="000000"/>
          <w:sz w:val="30"/>
          <w:szCs w:val="30"/>
        </w:rPr>
        <w:t>以及具有偿债能力的证明</w:t>
      </w:r>
      <w:r>
        <w:rPr>
          <w:rFonts w:hint="eastAsia" w:ascii="仿宋_GB2312" w:hAnsi="宋体" w:eastAsia="仿宋_GB2312"/>
          <w:color w:val="000000"/>
          <w:kern w:val="0"/>
          <w:sz w:val="30"/>
          <w:szCs w:val="30"/>
        </w:rPr>
        <w:t>。</w:t>
      </w:r>
    </w:p>
    <w:p w14:paraId="7495E767">
      <w:pPr>
        <w:autoSpaceDE w:val="0"/>
        <w:autoSpaceDN w:val="0"/>
        <w:adjustRightInd w:val="0"/>
        <w:spacing w:line="560" w:lineRule="exact"/>
        <w:ind w:firstLine="576" w:firstLineChars="192"/>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（二）详细说明被担保人与上市公司关联关系，</w:t>
      </w:r>
      <w:r>
        <w:rPr>
          <w:rFonts w:hint="eastAsia" w:ascii="仿宋_GB2312" w:hAnsi="宋体" w:eastAsia="仿宋_GB2312"/>
          <w:sz w:val="30"/>
          <w:szCs w:val="30"/>
        </w:rPr>
        <w:t>或在产权、业务、资产、债权债务、人员等方面的其他关系</w:t>
      </w:r>
      <w:r>
        <w:rPr>
          <w:rFonts w:ascii="仿宋_GB2312" w:hAnsi="宋体" w:eastAsia="仿宋_GB2312"/>
          <w:sz w:val="30"/>
          <w:szCs w:val="30"/>
        </w:rPr>
        <w:t>。</w:t>
      </w:r>
      <w:r>
        <w:rPr>
          <w:rFonts w:hint="eastAsia" w:ascii="仿宋_GB2312" w:hAnsi="宋体" w:eastAsia="仿宋_GB2312"/>
          <w:color w:val="000000"/>
          <w:kern w:val="0"/>
          <w:sz w:val="30"/>
          <w:szCs w:val="30"/>
        </w:rPr>
        <w:t>为关联人提供担保的，披露关联人的股权结构（包括直接和间接股东至最终股东）；为控股子公司或参股公司提供担保，说明该控股或参股公司的股东及持股比例。</w:t>
      </w:r>
    </w:p>
    <w:p w14:paraId="356BEE5B">
      <w:pPr>
        <w:autoSpaceDE w:val="0"/>
        <w:autoSpaceDN w:val="0"/>
        <w:adjustRightInd w:val="0"/>
        <w:spacing w:line="560" w:lineRule="exact"/>
        <w:ind w:firstLine="600" w:firstLineChars="200"/>
        <w:rPr>
          <w:rFonts w:ascii="仿宋_GB2312" w:hAnsi="仿宋_GB2312" w:eastAsia="仿宋_GB2312"/>
          <w:sz w:val="30"/>
          <w:szCs w:val="30"/>
        </w:rPr>
      </w:pPr>
      <w:r>
        <w:rPr>
          <w:rFonts w:hint="eastAsia" w:ascii="仿宋_GB2312" w:hAnsi="仿宋_GB2312" w:eastAsia="仿宋_GB2312"/>
          <w:sz w:val="30"/>
          <w:szCs w:val="30"/>
        </w:rPr>
        <w:t>（三</w:t>
      </w:r>
      <w:r>
        <w:rPr>
          <w:rFonts w:ascii="仿宋_GB2312" w:hAnsi="仿宋_GB2312" w:eastAsia="仿宋_GB2312"/>
          <w:sz w:val="30"/>
          <w:szCs w:val="30"/>
        </w:rPr>
        <w:t>）</w:t>
      </w:r>
      <w:r>
        <w:rPr>
          <w:rFonts w:hint="eastAsia" w:ascii="仿宋_GB2312" w:hAnsi="仿宋_GB2312" w:eastAsia="仿宋_GB2312"/>
          <w:sz w:val="30"/>
          <w:szCs w:val="30"/>
        </w:rPr>
        <w:t>被担保方</w:t>
      </w:r>
      <w:r>
        <w:rPr>
          <w:rFonts w:ascii="仿宋_GB2312" w:hAnsi="仿宋_GB2312" w:eastAsia="仿宋_GB2312"/>
          <w:sz w:val="30"/>
          <w:szCs w:val="30"/>
        </w:rPr>
        <w:t>为</w:t>
      </w:r>
      <w:r>
        <w:rPr>
          <w:rFonts w:hint="eastAsia" w:ascii="仿宋_GB2312" w:hAnsi="仿宋_GB2312" w:eastAsia="仿宋_GB2312"/>
          <w:sz w:val="30"/>
          <w:szCs w:val="30"/>
        </w:rPr>
        <w:t>失信</w:t>
      </w:r>
      <w:r>
        <w:rPr>
          <w:rFonts w:ascii="仿宋_GB2312" w:hAnsi="仿宋_GB2312" w:eastAsia="仿宋_GB2312"/>
          <w:sz w:val="30"/>
          <w:szCs w:val="30"/>
        </w:rPr>
        <w:t>被执行人</w:t>
      </w:r>
      <w:r>
        <w:rPr>
          <w:rFonts w:hint="eastAsia" w:ascii="仿宋_GB2312" w:hAnsi="仿宋_GB2312" w:eastAsia="仿宋_GB2312"/>
          <w:sz w:val="30"/>
          <w:szCs w:val="30"/>
        </w:rPr>
        <w:t>的</w:t>
      </w:r>
      <w:r>
        <w:rPr>
          <w:rFonts w:ascii="仿宋_GB2312" w:hAnsi="仿宋_GB2312" w:eastAsia="仿宋_GB2312"/>
          <w:sz w:val="30"/>
          <w:szCs w:val="30"/>
        </w:rPr>
        <w:t>，进一步披露其</w:t>
      </w:r>
      <w:r>
        <w:rPr>
          <w:rFonts w:hint="eastAsia" w:ascii="仿宋_GB2312" w:hAnsi="仿宋_GB2312" w:eastAsia="仿宋_GB2312"/>
          <w:sz w:val="30"/>
          <w:szCs w:val="30"/>
        </w:rPr>
        <w:t>失信</w:t>
      </w:r>
      <w:r>
        <w:rPr>
          <w:rFonts w:ascii="仿宋_GB2312" w:hAnsi="仿宋_GB2312" w:eastAsia="仿宋_GB2312"/>
          <w:sz w:val="30"/>
          <w:szCs w:val="30"/>
        </w:rPr>
        <w:t>情况、受到的惩戒措施，对本次</w:t>
      </w:r>
      <w:r>
        <w:rPr>
          <w:rFonts w:hint="eastAsia" w:ascii="仿宋_GB2312" w:hAnsi="仿宋_GB2312" w:eastAsia="仿宋_GB2312"/>
          <w:sz w:val="30"/>
          <w:szCs w:val="30"/>
        </w:rPr>
        <w:t>担保</w:t>
      </w:r>
      <w:r>
        <w:rPr>
          <w:rFonts w:ascii="仿宋_GB2312" w:hAnsi="仿宋_GB2312" w:eastAsia="仿宋_GB2312"/>
          <w:sz w:val="30"/>
          <w:szCs w:val="30"/>
        </w:rPr>
        <w:t>的影响，</w:t>
      </w:r>
      <w:r>
        <w:rPr>
          <w:rFonts w:hint="eastAsia" w:ascii="仿宋_GB2312" w:hAnsi="仿宋_GB2312" w:eastAsia="仿宋_GB2312"/>
          <w:sz w:val="30"/>
          <w:szCs w:val="30"/>
        </w:rPr>
        <w:t>以及</w:t>
      </w:r>
      <w:r>
        <w:rPr>
          <w:rFonts w:ascii="仿宋_GB2312" w:hAnsi="仿宋_GB2312" w:eastAsia="仿宋_GB2312"/>
          <w:sz w:val="30"/>
          <w:szCs w:val="30"/>
        </w:rPr>
        <w:t>公司所采取的应对措施等。</w:t>
      </w:r>
    </w:p>
    <w:p w14:paraId="3D1FCAB6">
      <w:pPr>
        <w:autoSpaceDE w:val="0"/>
        <w:autoSpaceDN w:val="0"/>
        <w:adjustRightInd w:val="0"/>
        <w:spacing w:line="560" w:lineRule="exact"/>
        <w:ind w:firstLine="600" w:firstLineChars="200"/>
        <w:rPr>
          <w:rFonts w:ascii="仿宋_GB2312" w:hAnsi="仿宋_GB2312" w:eastAsia="仿宋_GB2312"/>
          <w:sz w:val="30"/>
          <w:szCs w:val="30"/>
        </w:rPr>
      </w:pPr>
    </w:p>
    <w:p w14:paraId="17AF7457">
      <w:pPr>
        <w:autoSpaceDE w:val="0"/>
        <w:autoSpaceDN w:val="0"/>
        <w:adjustRightInd w:val="0"/>
        <w:spacing w:line="560" w:lineRule="exact"/>
        <w:ind w:firstLine="578" w:firstLineChars="192"/>
        <w:rPr>
          <w:rFonts w:ascii="黑体" w:hAnsi="黑体" w:eastAsia="黑体"/>
          <w:b/>
          <w:color w:val="000000"/>
          <w:kern w:val="0"/>
          <w:sz w:val="30"/>
          <w:szCs w:val="30"/>
        </w:rPr>
      </w:pPr>
      <w:r>
        <w:rPr>
          <w:rFonts w:hint="eastAsia" w:ascii="黑体" w:hAnsi="黑体" w:eastAsia="黑体"/>
          <w:b/>
          <w:color w:val="000000"/>
          <w:kern w:val="0"/>
          <w:sz w:val="30"/>
          <w:szCs w:val="30"/>
        </w:rPr>
        <w:t>三</w:t>
      </w:r>
      <w:r>
        <w:rPr>
          <w:rFonts w:ascii="黑体" w:hAnsi="黑体" w:eastAsia="黑体"/>
          <w:b/>
          <w:color w:val="000000"/>
          <w:kern w:val="0"/>
          <w:sz w:val="30"/>
          <w:szCs w:val="30"/>
        </w:rPr>
        <w:t>、担保协议的主要内容</w:t>
      </w:r>
    </w:p>
    <w:p w14:paraId="7451ABC4">
      <w:pPr>
        <w:autoSpaceDE w:val="0"/>
        <w:autoSpaceDN w:val="0"/>
        <w:adjustRightInd w:val="0"/>
        <w:spacing w:line="560" w:lineRule="exact"/>
        <w:ind w:firstLine="576" w:firstLineChars="192"/>
        <w:rPr>
          <w:rFonts w:ascii="仿宋_GB2312" w:hAnsi="仿宋_GB2312" w:eastAsia="仿宋_GB2312"/>
          <w:color w:val="000000"/>
          <w:kern w:val="0"/>
          <w:sz w:val="30"/>
          <w:szCs w:val="30"/>
        </w:rPr>
      </w:pPr>
      <w:r>
        <w:rPr>
          <w:rFonts w:ascii="仿宋_GB2312" w:hAnsi="仿宋_GB2312" w:eastAsia="仿宋_GB2312"/>
          <w:color w:val="000000"/>
          <w:kern w:val="0"/>
          <w:sz w:val="30"/>
          <w:szCs w:val="30"/>
        </w:rPr>
        <w:t>主要介绍担保的方式、期限、金额、其他股东方是否提供担保及担保形式、反担保情况及形式，以及担保协议中的其他重要条款。如通过资产等标的提供担保的，参照上市公司</w:t>
      </w:r>
      <w:r>
        <w:rPr>
          <w:rFonts w:hint="eastAsia" w:ascii="仿宋_GB2312" w:hAnsi="仿宋_GB2312" w:eastAsia="仿宋_GB2312"/>
          <w:color w:val="000000"/>
          <w:kern w:val="0"/>
          <w:sz w:val="30"/>
          <w:szCs w:val="30"/>
        </w:rPr>
        <w:t>对外投资相关</w:t>
      </w:r>
      <w:r>
        <w:rPr>
          <w:rFonts w:ascii="仿宋_GB2312" w:hAnsi="仿宋_GB2312" w:eastAsia="仿宋_GB2312"/>
          <w:color w:val="000000"/>
          <w:kern w:val="0"/>
          <w:sz w:val="30"/>
          <w:szCs w:val="30"/>
        </w:rPr>
        <w:t>公告格式介绍资产等标的的基本情况。</w:t>
      </w:r>
    </w:p>
    <w:p w14:paraId="2B3C3A6C">
      <w:pPr>
        <w:autoSpaceDE w:val="0"/>
        <w:autoSpaceDN w:val="0"/>
        <w:adjustRightInd w:val="0"/>
        <w:spacing w:line="560" w:lineRule="exact"/>
        <w:ind w:firstLine="576" w:firstLineChars="192"/>
        <w:rPr>
          <w:rFonts w:ascii="仿宋_GB2312" w:hAnsi="仿宋_GB2312" w:eastAsia="仿宋_GB2312"/>
          <w:color w:val="000000"/>
          <w:kern w:val="0"/>
          <w:sz w:val="30"/>
          <w:szCs w:val="30"/>
        </w:rPr>
      </w:pPr>
    </w:p>
    <w:p w14:paraId="43CA3EDF">
      <w:pPr>
        <w:autoSpaceDE w:val="0"/>
        <w:autoSpaceDN w:val="0"/>
        <w:adjustRightInd w:val="0"/>
        <w:spacing w:line="560" w:lineRule="exact"/>
        <w:ind w:firstLine="578" w:firstLineChars="192"/>
        <w:rPr>
          <w:rFonts w:ascii="黑体" w:hAnsi="黑体" w:eastAsia="黑体"/>
          <w:b/>
          <w:sz w:val="30"/>
          <w:szCs w:val="30"/>
        </w:rPr>
      </w:pPr>
      <w:r>
        <w:rPr>
          <w:rFonts w:hint="eastAsia" w:ascii="黑体" w:hAnsi="黑体" w:eastAsia="黑体"/>
          <w:b/>
          <w:sz w:val="30"/>
          <w:szCs w:val="30"/>
        </w:rPr>
        <w:t>四、担保的必要性和合理性</w:t>
      </w:r>
    </w:p>
    <w:p w14:paraId="052B0E2B">
      <w:pPr>
        <w:autoSpaceDE w:val="0"/>
        <w:autoSpaceDN w:val="0"/>
        <w:adjustRightInd w:val="0"/>
        <w:spacing w:line="560" w:lineRule="exact"/>
        <w:ind w:firstLine="576" w:firstLineChars="192"/>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1</w:t>
      </w:r>
      <w:r>
        <w:rPr>
          <w:rFonts w:ascii="仿宋_GB2312" w:hAnsi="宋体" w:eastAsia="仿宋_GB2312"/>
          <w:color w:val="000000"/>
          <w:kern w:val="0"/>
          <w:sz w:val="30"/>
          <w:szCs w:val="30"/>
        </w:rPr>
        <w:t>.</w:t>
      </w:r>
      <w:r>
        <w:rPr>
          <w:rFonts w:hint="eastAsia" w:ascii="仿宋_GB2312" w:hAnsi="宋体" w:eastAsia="仿宋_GB2312"/>
          <w:color w:val="000000"/>
          <w:kern w:val="0"/>
          <w:sz w:val="30"/>
          <w:szCs w:val="30"/>
        </w:rPr>
        <w:t>结合被担保人的资信状况披露该担保事项的利益和风险，包括董事会对被担保方偿还债务能力的判断。若被担保方存在较大的偿债风险，如有逾期债务、资产负债率超过70%等情形的，需进一步论证本次担保的必要性和合理性；反担保是否足以保障上市公司利益（如适用）。</w:t>
      </w:r>
    </w:p>
    <w:p w14:paraId="157D2CAB">
      <w:pPr>
        <w:autoSpaceDE w:val="0"/>
        <w:autoSpaceDN w:val="0"/>
        <w:adjustRightInd w:val="0"/>
        <w:spacing w:line="560" w:lineRule="exact"/>
        <w:ind w:firstLine="576" w:firstLineChars="192"/>
        <w:rPr>
          <w:rFonts w:ascii="仿宋_GB2312" w:hAnsi="宋体" w:eastAsia="仿宋_GB2312"/>
          <w:color w:val="000000"/>
          <w:kern w:val="0"/>
          <w:sz w:val="30"/>
          <w:szCs w:val="30"/>
        </w:rPr>
      </w:pPr>
      <w:r>
        <w:rPr>
          <w:rFonts w:ascii="仿宋_GB2312" w:hAnsi="宋体" w:eastAsia="仿宋_GB2312"/>
          <w:color w:val="000000"/>
          <w:kern w:val="0"/>
          <w:sz w:val="30"/>
          <w:szCs w:val="30"/>
        </w:rPr>
        <w:t>2.</w:t>
      </w:r>
      <w:r>
        <w:rPr>
          <w:rFonts w:hint="eastAsia" w:ascii="仿宋_GB2312" w:hAnsi="宋体" w:eastAsia="仿宋_GB2312"/>
          <w:color w:val="000000"/>
          <w:kern w:val="0"/>
          <w:sz w:val="30"/>
          <w:szCs w:val="30"/>
        </w:rPr>
        <w:t>若上市公司为参股或控股公司提供超出股权比例的担保，应当对该担保是否公平、对等、其他股东没有按比例提供担保等说明原因，并在分析担保对象经营情况、偿债能力的基础上，充分说明该笔担保风险控制措施及中小投资者利益保障安排。</w:t>
      </w:r>
    </w:p>
    <w:p w14:paraId="4DED5AED">
      <w:pPr>
        <w:autoSpaceDE w:val="0"/>
        <w:autoSpaceDN w:val="0"/>
        <w:adjustRightInd w:val="0"/>
        <w:spacing w:line="560" w:lineRule="exact"/>
        <w:ind w:firstLine="576" w:firstLineChars="192"/>
        <w:rPr>
          <w:rFonts w:ascii="仿宋_GB2312" w:hAnsi="宋体" w:eastAsia="仿宋_GB2312"/>
          <w:color w:val="000000"/>
          <w:kern w:val="0"/>
          <w:sz w:val="30"/>
          <w:szCs w:val="30"/>
        </w:rPr>
      </w:pPr>
      <w:r>
        <w:rPr>
          <w:rFonts w:ascii="仿宋_GB2312" w:hAnsi="宋体" w:eastAsia="仿宋_GB2312"/>
          <w:color w:val="000000"/>
          <w:kern w:val="0"/>
          <w:sz w:val="30"/>
          <w:szCs w:val="30"/>
        </w:rPr>
        <w:t>3.</w:t>
      </w:r>
      <w:r>
        <w:rPr>
          <w:rFonts w:hint="eastAsia" w:ascii="仿宋_GB2312" w:hAnsi="宋体" w:eastAsia="仿宋_GB2312"/>
          <w:color w:val="000000"/>
          <w:kern w:val="0"/>
          <w:sz w:val="30"/>
          <w:szCs w:val="30"/>
        </w:rPr>
        <w:t>上市公司为控股股东</w:t>
      </w:r>
      <w:r>
        <w:rPr>
          <w:rFonts w:ascii="仿宋_GB2312" w:hAnsi="宋体" w:eastAsia="仿宋_GB2312"/>
          <w:color w:val="000000"/>
          <w:kern w:val="0"/>
          <w:sz w:val="30"/>
          <w:szCs w:val="30"/>
        </w:rPr>
        <w:t>、实际控制人及其关联人</w:t>
      </w:r>
      <w:r>
        <w:rPr>
          <w:rFonts w:hint="eastAsia" w:ascii="仿宋_GB2312" w:hAnsi="宋体" w:eastAsia="仿宋_GB2312"/>
          <w:color w:val="000000"/>
          <w:kern w:val="0"/>
          <w:sz w:val="30"/>
          <w:szCs w:val="30"/>
        </w:rPr>
        <w:t>提供担保，应对是否具备合理的商业逻辑进行</w:t>
      </w:r>
      <w:r>
        <w:rPr>
          <w:rFonts w:ascii="仿宋_GB2312" w:hAnsi="宋体" w:eastAsia="仿宋_GB2312"/>
          <w:color w:val="000000"/>
          <w:kern w:val="0"/>
          <w:sz w:val="30"/>
          <w:szCs w:val="30"/>
        </w:rPr>
        <w:t>说明</w:t>
      </w:r>
      <w:r>
        <w:rPr>
          <w:rFonts w:hint="eastAsia" w:ascii="仿宋_GB2312" w:hAnsi="宋体" w:eastAsia="仿宋_GB2312"/>
          <w:color w:val="000000"/>
          <w:kern w:val="0"/>
          <w:sz w:val="30"/>
          <w:szCs w:val="30"/>
        </w:rPr>
        <w:t>，并要求</w:t>
      </w:r>
      <w:r>
        <w:rPr>
          <w:rFonts w:ascii="仿宋_GB2312" w:hAnsi="宋体" w:eastAsia="仿宋_GB2312"/>
          <w:color w:val="000000"/>
          <w:kern w:val="0"/>
          <w:sz w:val="30"/>
          <w:szCs w:val="30"/>
        </w:rPr>
        <w:t>对方提供反担保。</w:t>
      </w:r>
    </w:p>
    <w:p w14:paraId="1EE3CF22">
      <w:pPr>
        <w:autoSpaceDE w:val="0"/>
        <w:autoSpaceDN w:val="0"/>
        <w:adjustRightInd w:val="0"/>
        <w:spacing w:line="560" w:lineRule="exact"/>
        <w:ind w:firstLine="576" w:firstLineChars="192"/>
        <w:rPr>
          <w:rFonts w:ascii="仿宋_GB2312" w:hAnsi="宋体" w:eastAsia="仿宋_GB2312"/>
          <w:color w:val="000000"/>
          <w:kern w:val="0"/>
          <w:sz w:val="30"/>
          <w:szCs w:val="30"/>
        </w:rPr>
      </w:pPr>
    </w:p>
    <w:p w14:paraId="4D9096B2">
      <w:pPr>
        <w:autoSpaceDE w:val="0"/>
        <w:autoSpaceDN w:val="0"/>
        <w:adjustRightInd w:val="0"/>
        <w:spacing w:line="560" w:lineRule="exact"/>
        <w:ind w:firstLine="578" w:firstLineChars="192"/>
        <w:rPr>
          <w:rFonts w:ascii="黑体" w:hAnsi="黑体" w:eastAsia="黑体"/>
          <w:b/>
          <w:sz w:val="30"/>
          <w:szCs w:val="30"/>
        </w:rPr>
      </w:pPr>
      <w:r>
        <w:rPr>
          <w:rFonts w:hint="eastAsia" w:ascii="黑体" w:hAnsi="黑体" w:eastAsia="黑体"/>
          <w:b/>
          <w:sz w:val="30"/>
          <w:szCs w:val="30"/>
        </w:rPr>
        <w:t>五、董事会意见</w:t>
      </w:r>
    </w:p>
    <w:p w14:paraId="267563D4">
      <w:pPr>
        <w:tabs>
          <w:tab w:val="left" w:pos="3468"/>
        </w:tabs>
        <w:autoSpaceDE w:val="0"/>
        <w:autoSpaceDN w:val="0"/>
        <w:adjustRightInd w:val="0"/>
        <w:spacing w:line="560" w:lineRule="exact"/>
        <w:ind w:firstLine="576" w:firstLineChars="192"/>
        <w:rPr>
          <w:rFonts w:ascii="仿宋_GB2312" w:hAnsi="宋体" w:eastAsia="仿宋_GB2312"/>
          <w:sz w:val="30"/>
          <w:szCs w:val="30"/>
        </w:rPr>
      </w:pPr>
      <w:r>
        <w:rPr>
          <w:rFonts w:hint="eastAsia" w:ascii="仿宋_GB2312" w:eastAsia="仿宋_GB2312"/>
          <w:sz w:val="30"/>
          <w:szCs w:val="30"/>
        </w:rPr>
        <w:t>披露董事会的审议情况，董事反对或弃权的，应当披露反对或弃权理由；</w:t>
      </w:r>
      <w:r>
        <w:rPr>
          <w:rFonts w:hint="eastAsia" w:ascii="仿宋_GB2312" w:hAnsi="宋体" w:eastAsia="仿宋_GB2312"/>
          <w:sz w:val="30"/>
          <w:szCs w:val="30"/>
        </w:rPr>
        <w:t>存在反担保的，董事会应当就反担保是否足以保障上市公司利益发表意见。</w:t>
      </w:r>
    </w:p>
    <w:p w14:paraId="59670BD8">
      <w:pPr>
        <w:tabs>
          <w:tab w:val="left" w:pos="3468"/>
        </w:tabs>
        <w:autoSpaceDE w:val="0"/>
        <w:autoSpaceDN w:val="0"/>
        <w:adjustRightInd w:val="0"/>
        <w:spacing w:line="560" w:lineRule="exact"/>
        <w:ind w:firstLine="576" w:firstLineChars="192"/>
        <w:rPr>
          <w:rFonts w:ascii="仿宋_GB2312" w:hAnsi="宋体" w:eastAsia="仿宋_GB2312"/>
          <w:color w:val="000000"/>
          <w:kern w:val="0"/>
          <w:sz w:val="30"/>
          <w:szCs w:val="30"/>
        </w:rPr>
      </w:pPr>
    </w:p>
    <w:p w14:paraId="02E1E6CF">
      <w:pPr>
        <w:autoSpaceDE w:val="0"/>
        <w:autoSpaceDN w:val="0"/>
        <w:adjustRightInd w:val="0"/>
        <w:spacing w:line="560" w:lineRule="exact"/>
        <w:ind w:firstLine="578" w:firstLineChars="192"/>
        <w:rPr>
          <w:rFonts w:ascii="黑体" w:hAnsi="黑体" w:eastAsia="黑体"/>
          <w:b/>
          <w:sz w:val="30"/>
          <w:szCs w:val="30"/>
        </w:rPr>
      </w:pPr>
      <w:r>
        <w:rPr>
          <w:rFonts w:hint="eastAsia" w:ascii="黑体" w:hAnsi="黑体" w:eastAsia="黑体"/>
          <w:b/>
          <w:sz w:val="30"/>
          <w:szCs w:val="30"/>
        </w:rPr>
        <w:t>六、累计对外担保数量及逾期担保的数量</w:t>
      </w:r>
    </w:p>
    <w:p w14:paraId="6CC71DF2">
      <w:pPr>
        <w:autoSpaceDE w:val="0"/>
        <w:autoSpaceDN w:val="0"/>
        <w:adjustRightInd w:val="0"/>
        <w:spacing w:line="560" w:lineRule="exact"/>
        <w:ind w:firstLine="576" w:firstLineChars="192"/>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截至公告披露日上市公司及其控股子公司对外担保总额、上市公司对控股子公司提供的担保总额、上市公司对控股股东和实际控制人及其关联人提供的担保总额、上述数额分别占上市公司最近一期经审计净资产的比例、逾期担保累计数量。</w:t>
      </w:r>
    </w:p>
    <w:p w14:paraId="1D69ABFC">
      <w:pPr>
        <w:autoSpaceDE w:val="0"/>
        <w:autoSpaceDN w:val="0"/>
        <w:adjustRightInd w:val="0"/>
        <w:spacing w:line="560" w:lineRule="exact"/>
        <w:ind w:firstLine="460" w:firstLineChars="192"/>
        <w:rPr>
          <w:rFonts w:ascii="楷体" w:hAnsi="楷体" w:eastAsia="楷体" w:cs="宋体-WinCharSetFFFF-H"/>
          <w:color w:val="000000"/>
          <w:kern w:val="0"/>
          <w:sz w:val="24"/>
          <w:szCs w:val="24"/>
        </w:rPr>
      </w:pPr>
      <w:r>
        <w:rPr>
          <w:rFonts w:hint="eastAsia" w:ascii="楷体" w:hAnsi="楷体" w:eastAsia="楷体" w:cs="宋体-WinCharSetFFFF-H"/>
          <w:color w:val="000000"/>
          <w:kern w:val="0"/>
          <w:sz w:val="24"/>
          <w:szCs w:val="24"/>
        </w:rPr>
        <w:t>（编制提醒：</w:t>
      </w:r>
    </w:p>
    <w:p w14:paraId="1DBD405D">
      <w:pPr>
        <w:autoSpaceDE w:val="0"/>
        <w:autoSpaceDN w:val="0"/>
        <w:adjustRightInd w:val="0"/>
        <w:spacing w:line="560" w:lineRule="exact"/>
        <w:ind w:firstLine="460" w:firstLineChars="192"/>
        <w:rPr>
          <w:rFonts w:ascii="楷体" w:hAnsi="楷体" w:eastAsia="楷体" w:cs="宋体-WinCharSetFFFF-H"/>
          <w:color w:val="000000"/>
          <w:kern w:val="0"/>
          <w:sz w:val="24"/>
          <w:szCs w:val="24"/>
        </w:rPr>
      </w:pPr>
      <w:r>
        <w:rPr>
          <w:rFonts w:hint="eastAsia" w:ascii="楷体" w:hAnsi="楷体" w:eastAsia="楷体" w:cs="宋体-WinCharSetFFFF-H"/>
          <w:color w:val="000000"/>
          <w:kern w:val="0"/>
          <w:sz w:val="24"/>
          <w:szCs w:val="24"/>
        </w:rPr>
        <w:t>1.担保总额，包含已批准的担保额度内尚未使用额度与担保实际发生余额之和；</w:t>
      </w:r>
    </w:p>
    <w:p w14:paraId="55D511A1">
      <w:pPr>
        <w:autoSpaceDE w:val="0"/>
        <w:autoSpaceDN w:val="0"/>
        <w:adjustRightInd w:val="0"/>
        <w:spacing w:line="560" w:lineRule="exact"/>
        <w:ind w:firstLine="460" w:firstLineChars="192"/>
        <w:rPr>
          <w:rFonts w:ascii="楷体" w:hAnsi="楷体" w:eastAsia="楷体" w:cs="宋体-WinCharSetFFFF-H"/>
          <w:color w:val="000000"/>
          <w:kern w:val="0"/>
          <w:sz w:val="24"/>
          <w:szCs w:val="24"/>
        </w:rPr>
      </w:pPr>
      <w:r>
        <w:rPr>
          <w:rFonts w:hint="eastAsia" w:ascii="楷体" w:hAnsi="楷体" w:eastAsia="楷体" w:cs="宋体-WinCharSetFFFF-H"/>
          <w:color w:val="000000"/>
          <w:kern w:val="0"/>
          <w:sz w:val="24"/>
          <w:szCs w:val="24"/>
        </w:rPr>
        <w:t>2.</w:t>
      </w:r>
      <w:r>
        <w:rPr>
          <w:rFonts w:ascii="楷体" w:hAnsi="楷体" w:eastAsia="楷体" w:cs="宋体-WinCharSetFFFF-H"/>
          <w:color w:val="000000"/>
          <w:kern w:val="0"/>
          <w:sz w:val="24"/>
          <w:szCs w:val="24"/>
        </w:rPr>
        <w:t>上市公司及其控股子公司的对外担保总额，是指包括上市公司对控股子公司担保在内的上市公司对外担保总额与上市公司控股子公司对外担保总额之和。</w:t>
      </w:r>
      <w:r>
        <w:rPr>
          <w:rFonts w:hint="eastAsia" w:ascii="楷体" w:hAnsi="楷体" w:eastAsia="楷体" w:cs="宋体-WinCharSetFFFF-H"/>
          <w:color w:val="000000"/>
          <w:kern w:val="0"/>
          <w:sz w:val="24"/>
          <w:szCs w:val="24"/>
        </w:rPr>
        <w:t>）</w:t>
      </w:r>
    </w:p>
    <w:p w14:paraId="44548832">
      <w:pPr>
        <w:autoSpaceDE w:val="0"/>
        <w:autoSpaceDN w:val="0"/>
        <w:adjustRightInd w:val="0"/>
        <w:spacing w:line="560" w:lineRule="exact"/>
        <w:ind w:firstLine="576" w:firstLineChars="192"/>
        <w:rPr>
          <w:rFonts w:ascii="仿宋_GB2312" w:hAnsi="宋体" w:eastAsia="仿宋_GB2312"/>
          <w:color w:val="000000"/>
          <w:kern w:val="0"/>
          <w:sz w:val="30"/>
          <w:szCs w:val="30"/>
        </w:rPr>
      </w:pPr>
    </w:p>
    <w:p w14:paraId="69C87733">
      <w:pPr>
        <w:autoSpaceDE w:val="0"/>
        <w:autoSpaceDN w:val="0"/>
        <w:adjustRightInd w:val="0"/>
        <w:spacing w:line="560" w:lineRule="exact"/>
        <w:ind w:firstLine="576" w:firstLineChars="192"/>
        <w:rPr>
          <w:rFonts w:ascii="黑体" w:hAnsi="黑体" w:eastAsia="黑体"/>
          <w:b/>
          <w:sz w:val="30"/>
          <w:szCs w:val="30"/>
        </w:rPr>
      </w:pPr>
      <w:r>
        <w:rPr>
          <w:rFonts w:hint="eastAsia" w:ascii="仿宋_GB2312" w:hAnsi="宋体" w:eastAsia="仿宋_GB2312" w:cs="宋体-WinCharSetFFFF-H"/>
          <w:color w:val="000000"/>
          <w:kern w:val="0"/>
          <w:sz w:val="30"/>
          <w:szCs w:val="30"/>
        </w:rPr>
        <w:t>特此公告。</w:t>
      </w:r>
    </w:p>
    <w:p w14:paraId="0D8E815D">
      <w:pPr>
        <w:autoSpaceDE w:val="0"/>
        <w:autoSpaceDN w:val="0"/>
        <w:adjustRightInd w:val="0"/>
        <w:spacing w:line="560" w:lineRule="exact"/>
        <w:ind w:firstLine="576" w:firstLineChars="192"/>
        <w:jc w:val="left"/>
        <w:rPr>
          <w:rFonts w:ascii="仿宋_GB2312" w:hAnsi="宋体" w:eastAsia="仿宋_GB2312" w:cs="宋体-WinCharSetFFFF-H"/>
          <w:color w:val="000000"/>
          <w:kern w:val="0"/>
          <w:sz w:val="30"/>
          <w:szCs w:val="30"/>
        </w:rPr>
      </w:pPr>
    </w:p>
    <w:p w14:paraId="47C473A1">
      <w:pPr>
        <w:autoSpaceDE w:val="0"/>
        <w:autoSpaceDN w:val="0"/>
        <w:adjustRightInd w:val="0"/>
        <w:spacing w:line="560" w:lineRule="exact"/>
        <w:jc w:val="right"/>
        <w:rPr>
          <w:rFonts w:ascii="仿宋_GB2312" w:hAnsi="宋体" w:eastAsia="仿宋_GB2312" w:cs="宋体-WinCharSetFFFF-H"/>
          <w:color w:val="000000"/>
          <w:kern w:val="0"/>
          <w:sz w:val="30"/>
          <w:szCs w:val="30"/>
        </w:rPr>
      </w:pPr>
      <w:r>
        <w:rPr>
          <w:rFonts w:hint="eastAsia" w:ascii="仿宋_GB2312" w:hAnsi="宋体" w:eastAsia="仿宋_GB2312" w:cs="宋体"/>
          <w:color w:val="000000"/>
          <w:kern w:val="0"/>
          <w:sz w:val="30"/>
          <w:szCs w:val="30"/>
        </w:rPr>
        <w:t>××××</w:t>
      </w:r>
      <w:r>
        <w:rPr>
          <w:rFonts w:hint="eastAsia" w:ascii="仿宋_GB2312" w:hAnsi="宋体" w:eastAsia="仿宋_GB2312" w:cs="宋体-WinCharSetFFFF-H"/>
          <w:color w:val="000000"/>
          <w:kern w:val="0"/>
          <w:sz w:val="30"/>
          <w:szCs w:val="30"/>
        </w:rPr>
        <w:t>股份有限公司董事会</w:t>
      </w:r>
    </w:p>
    <w:p w14:paraId="52BD2C65">
      <w:pPr>
        <w:spacing w:line="560" w:lineRule="exact"/>
        <w:jc w:val="right"/>
        <w:rPr>
          <w:rFonts w:ascii="仿宋_GB2312" w:hAnsi="宋体" w:eastAsia="仿宋_GB2312" w:cs="宋体-WinCharSetFFFF-H"/>
          <w:color w:val="000000"/>
          <w:kern w:val="0"/>
          <w:sz w:val="30"/>
          <w:szCs w:val="30"/>
        </w:rPr>
      </w:pPr>
      <w:r>
        <w:rPr>
          <w:rFonts w:hint="eastAsia" w:ascii="仿宋_GB2312" w:hAnsi="宋体" w:eastAsia="仿宋_GB2312" w:cs="宋体-WinCharSetFFFF-H"/>
          <w:color w:val="000000"/>
          <w:kern w:val="0"/>
          <w:sz w:val="30"/>
          <w:szCs w:val="30"/>
        </w:rPr>
        <w:t xml:space="preserve"> 年  月  日</w:t>
      </w:r>
    </w:p>
    <w:p w14:paraId="460A10E8">
      <w:pPr>
        <w:spacing w:line="560" w:lineRule="exact"/>
        <w:jc w:val="right"/>
        <w:rPr>
          <w:rFonts w:ascii="仿宋_GB2312" w:hAnsi="宋体" w:eastAsia="仿宋_GB2312" w:cs="宋体-WinCharSetFFFF-H"/>
          <w:color w:val="000000"/>
          <w:kern w:val="0"/>
          <w:sz w:val="30"/>
          <w:szCs w:val="30"/>
        </w:rPr>
      </w:pPr>
    </w:p>
    <w:p w14:paraId="27C05E27">
      <w:pPr>
        <w:pStyle w:val="12"/>
        <w:numPr>
          <w:ilvl w:val="0"/>
          <w:numId w:val="2"/>
        </w:numPr>
        <w:autoSpaceDE w:val="0"/>
        <w:autoSpaceDN w:val="0"/>
        <w:adjustRightInd w:val="0"/>
        <w:snapToGrid w:val="0"/>
        <w:spacing w:line="560" w:lineRule="exact"/>
        <w:ind w:firstLineChars="0"/>
        <w:rPr>
          <w:rFonts w:ascii="仿宋_GB2312" w:hAnsi="宋体" w:eastAsia="仿宋_GB2312"/>
          <w:b/>
          <w:color w:val="000000"/>
          <w:sz w:val="30"/>
          <w:szCs w:val="30"/>
        </w:rPr>
      </w:pPr>
      <w:r>
        <w:rPr>
          <w:rFonts w:hint="eastAsia" w:ascii="仿宋_GB2312" w:hAnsi="宋体" w:eastAsia="仿宋_GB2312"/>
          <w:b/>
          <w:color w:val="000000"/>
          <w:sz w:val="30"/>
          <w:szCs w:val="30"/>
        </w:rPr>
        <w:t>报备文件</w:t>
      </w:r>
    </w:p>
    <w:p w14:paraId="28958646">
      <w:pPr>
        <w:autoSpaceDE w:val="0"/>
        <w:autoSpaceDN w:val="0"/>
        <w:adjustRightInd w:val="0"/>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担保协议</w:t>
      </w:r>
    </w:p>
    <w:p w14:paraId="6DEA6C84">
      <w:pPr>
        <w:autoSpaceDE w:val="0"/>
        <w:autoSpaceDN w:val="0"/>
        <w:adjustRightInd w:val="0"/>
        <w:snapToGrid w:val="0"/>
        <w:spacing w:line="560" w:lineRule="exact"/>
        <w:ind w:firstLine="600" w:firstLineChars="200"/>
        <w:rPr>
          <w:rFonts w:ascii="仿宋_GB2312" w:eastAsia="仿宋_GB2312"/>
          <w:sz w:val="30"/>
          <w:szCs w:val="30"/>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楷体_GB2312-WinCharSetFFFF-H">
    <w:altName w:val="楷体_GB2312"/>
    <w:panose1 w:val="00000000000000000000"/>
    <w:charset w:val="86"/>
    <w:family w:val="auto"/>
    <w:pitch w:val="default"/>
    <w:sig w:usb0="00000000" w:usb1="00000000" w:usb2="00000010" w:usb3="00000000" w:csb0="00040000" w:csb1="00000000"/>
  </w:font>
  <w:font w:name="楷体_GB2312">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黑体-WinCharSetFFFF-H">
    <w:altName w:val="黑体"/>
    <w:panose1 w:val="00000000000000000000"/>
    <w:charset w:val="86"/>
    <w:family w:val="auto"/>
    <w:pitch w:val="default"/>
    <w:sig w:usb0="00000000" w:usb1="00000000" w:usb2="0000001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宋体-WinCharSetFFFF-H">
    <w:altName w:val="宋体"/>
    <w:panose1 w:val="00000000000000000000"/>
    <w:charset w:val="86"/>
    <w:family w:val="auto"/>
    <w:pitch w:val="default"/>
    <w:sig w:usb0="00000000" w:usb1="00000000" w:usb2="00000010" w:usb3="00000000" w:csb0="0004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501252"/>
    </w:sdtPr>
    <w:sdtContent>
      <w:p w14:paraId="183ECE0C">
        <w:pPr>
          <w:pStyle w:val="4"/>
          <w:jc w:val="center"/>
        </w:pPr>
        <w:r>
          <w:fldChar w:fldCharType="begin"/>
        </w:r>
        <w:r>
          <w:instrText xml:space="preserve"> PAGE   \* MERGEFORMAT </w:instrText>
        </w:r>
        <w:r>
          <w:fldChar w:fldCharType="separate"/>
        </w:r>
        <w:r>
          <w:rPr>
            <w:lang w:val="zh-CN"/>
          </w:rPr>
          <w:t>7</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33E6F">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E561F7"/>
    <w:multiLevelType w:val="multilevel"/>
    <w:tmpl w:val="52E561F7"/>
    <w:lvl w:ilvl="0" w:tentative="0">
      <w:start w:val="1"/>
      <w:numFmt w:val="bullet"/>
      <w:lvlText w:val=""/>
      <w:lvlJc w:val="left"/>
      <w:pPr>
        <w:ind w:left="1022" w:hanging="420"/>
      </w:pPr>
      <w:rPr>
        <w:rFonts w:hint="default" w:ascii="Wingdings" w:hAnsi="Wingdings"/>
      </w:rPr>
    </w:lvl>
    <w:lvl w:ilvl="1" w:tentative="0">
      <w:start w:val="1"/>
      <w:numFmt w:val="bullet"/>
      <w:lvlText w:val=""/>
      <w:lvlJc w:val="left"/>
      <w:pPr>
        <w:ind w:left="1442" w:hanging="420"/>
      </w:pPr>
      <w:rPr>
        <w:rFonts w:hint="default" w:ascii="Wingdings" w:hAnsi="Wingdings"/>
      </w:rPr>
    </w:lvl>
    <w:lvl w:ilvl="2" w:tentative="0">
      <w:start w:val="1"/>
      <w:numFmt w:val="bullet"/>
      <w:lvlText w:val=""/>
      <w:lvlJc w:val="left"/>
      <w:pPr>
        <w:ind w:left="1862" w:hanging="420"/>
      </w:pPr>
      <w:rPr>
        <w:rFonts w:hint="default" w:ascii="Wingdings" w:hAnsi="Wingdings"/>
      </w:rPr>
    </w:lvl>
    <w:lvl w:ilvl="3" w:tentative="0">
      <w:start w:val="1"/>
      <w:numFmt w:val="bullet"/>
      <w:lvlText w:val=""/>
      <w:lvlJc w:val="left"/>
      <w:pPr>
        <w:ind w:left="2282" w:hanging="420"/>
      </w:pPr>
      <w:rPr>
        <w:rFonts w:hint="default" w:ascii="Wingdings" w:hAnsi="Wingdings"/>
      </w:rPr>
    </w:lvl>
    <w:lvl w:ilvl="4" w:tentative="0">
      <w:start w:val="1"/>
      <w:numFmt w:val="bullet"/>
      <w:lvlText w:val=""/>
      <w:lvlJc w:val="left"/>
      <w:pPr>
        <w:ind w:left="2702" w:hanging="420"/>
      </w:pPr>
      <w:rPr>
        <w:rFonts w:hint="default" w:ascii="Wingdings" w:hAnsi="Wingdings"/>
      </w:rPr>
    </w:lvl>
    <w:lvl w:ilvl="5" w:tentative="0">
      <w:start w:val="1"/>
      <w:numFmt w:val="bullet"/>
      <w:lvlText w:val=""/>
      <w:lvlJc w:val="left"/>
      <w:pPr>
        <w:ind w:left="3122" w:hanging="420"/>
      </w:pPr>
      <w:rPr>
        <w:rFonts w:hint="default" w:ascii="Wingdings" w:hAnsi="Wingdings"/>
      </w:rPr>
    </w:lvl>
    <w:lvl w:ilvl="6" w:tentative="0">
      <w:start w:val="1"/>
      <w:numFmt w:val="bullet"/>
      <w:lvlText w:val=""/>
      <w:lvlJc w:val="left"/>
      <w:pPr>
        <w:ind w:left="3542" w:hanging="420"/>
      </w:pPr>
      <w:rPr>
        <w:rFonts w:hint="default" w:ascii="Wingdings" w:hAnsi="Wingdings"/>
      </w:rPr>
    </w:lvl>
    <w:lvl w:ilvl="7" w:tentative="0">
      <w:start w:val="1"/>
      <w:numFmt w:val="bullet"/>
      <w:lvlText w:val=""/>
      <w:lvlJc w:val="left"/>
      <w:pPr>
        <w:ind w:left="3962" w:hanging="420"/>
      </w:pPr>
      <w:rPr>
        <w:rFonts w:hint="default" w:ascii="Wingdings" w:hAnsi="Wingdings"/>
      </w:rPr>
    </w:lvl>
    <w:lvl w:ilvl="8" w:tentative="0">
      <w:start w:val="1"/>
      <w:numFmt w:val="bullet"/>
      <w:lvlText w:val=""/>
      <w:lvlJc w:val="left"/>
      <w:pPr>
        <w:ind w:left="4382" w:hanging="420"/>
      </w:pPr>
      <w:rPr>
        <w:rFonts w:hint="default" w:ascii="Wingdings" w:hAnsi="Wingdings"/>
      </w:rPr>
    </w:lvl>
  </w:abstractNum>
  <w:abstractNum w:abstractNumId="1">
    <w:nsid w:val="74646B16"/>
    <w:multiLevelType w:val="multilevel"/>
    <w:tmpl w:val="74646B16"/>
    <w:lvl w:ilvl="0" w:tentative="0">
      <w:start w:val="1"/>
      <w:numFmt w:val="bullet"/>
      <w:lvlText w:val=""/>
      <w:lvlJc w:val="left"/>
      <w:pPr>
        <w:ind w:left="1020" w:hanging="420"/>
      </w:pPr>
      <w:rPr>
        <w:rFonts w:hint="default" w:ascii="Wingdings" w:hAnsi="Wingdings"/>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ECD"/>
    <w:rsid w:val="00000558"/>
    <w:rsid w:val="00000BC9"/>
    <w:rsid w:val="00037429"/>
    <w:rsid w:val="00044B7A"/>
    <w:rsid w:val="00050D8C"/>
    <w:rsid w:val="00051D15"/>
    <w:rsid w:val="00060DFA"/>
    <w:rsid w:val="00063AD0"/>
    <w:rsid w:val="00064333"/>
    <w:rsid w:val="000671F4"/>
    <w:rsid w:val="0007156E"/>
    <w:rsid w:val="000764C3"/>
    <w:rsid w:val="00082408"/>
    <w:rsid w:val="00095674"/>
    <w:rsid w:val="000B677B"/>
    <w:rsid w:val="00124FA5"/>
    <w:rsid w:val="00125C8C"/>
    <w:rsid w:val="00126188"/>
    <w:rsid w:val="001335CF"/>
    <w:rsid w:val="001368F4"/>
    <w:rsid w:val="00140CBA"/>
    <w:rsid w:val="00160270"/>
    <w:rsid w:val="001619B6"/>
    <w:rsid w:val="00161C50"/>
    <w:rsid w:val="001631B1"/>
    <w:rsid w:val="00177222"/>
    <w:rsid w:val="0018380C"/>
    <w:rsid w:val="001903B0"/>
    <w:rsid w:val="001B5730"/>
    <w:rsid w:val="001C165F"/>
    <w:rsid w:val="001D0405"/>
    <w:rsid w:val="001E7562"/>
    <w:rsid w:val="001F0293"/>
    <w:rsid w:val="001F3BAD"/>
    <w:rsid w:val="002032FC"/>
    <w:rsid w:val="00207506"/>
    <w:rsid w:val="002114BE"/>
    <w:rsid w:val="00224E96"/>
    <w:rsid w:val="00246976"/>
    <w:rsid w:val="00270263"/>
    <w:rsid w:val="00272D61"/>
    <w:rsid w:val="002878A7"/>
    <w:rsid w:val="00294DFB"/>
    <w:rsid w:val="002B1A65"/>
    <w:rsid w:val="002C32E2"/>
    <w:rsid w:val="002C3AF3"/>
    <w:rsid w:val="002C5387"/>
    <w:rsid w:val="002D6A43"/>
    <w:rsid w:val="002F1340"/>
    <w:rsid w:val="002F33C4"/>
    <w:rsid w:val="002F6DC2"/>
    <w:rsid w:val="0030115C"/>
    <w:rsid w:val="003051B5"/>
    <w:rsid w:val="00313A26"/>
    <w:rsid w:val="00335DCA"/>
    <w:rsid w:val="00342251"/>
    <w:rsid w:val="00343F60"/>
    <w:rsid w:val="00352F3F"/>
    <w:rsid w:val="003A3C4B"/>
    <w:rsid w:val="003A4934"/>
    <w:rsid w:val="003A6877"/>
    <w:rsid w:val="003B5E5C"/>
    <w:rsid w:val="003D1D39"/>
    <w:rsid w:val="003D4987"/>
    <w:rsid w:val="003D500E"/>
    <w:rsid w:val="003E399E"/>
    <w:rsid w:val="003F26EB"/>
    <w:rsid w:val="00412966"/>
    <w:rsid w:val="004166FA"/>
    <w:rsid w:val="00421FBB"/>
    <w:rsid w:val="00432414"/>
    <w:rsid w:val="004417CE"/>
    <w:rsid w:val="004617FD"/>
    <w:rsid w:val="004761D0"/>
    <w:rsid w:val="004A27BC"/>
    <w:rsid w:val="004B6940"/>
    <w:rsid w:val="004C3D35"/>
    <w:rsid w:val="004E11B1"/>
    <w:rsid w:val="004F4D81"/>
    <w:rsid w:val="004F792E"/>
    <w:rsid w:val="00501890"/>
    <w:rsid w:val="0050197F"/>
    <w:rsid w:val="005044BA"/>
    <w:rsid w:val="00507042"/>
    <w:rsid w:val="0052284A"/>
    <w:rsid w:val="0052751C"/>
    <w:rsid w:val="00563DEF"/>
    <w:rsid w:val="005763F5"/>
    <w:rsid w:val="00593D94"/>
    <w:rsid w:val="005950D7"/>
    <w:rsid w:val="005A5697"/>
    <w:rsid w:val="005B1790"/>
    <w:rsid w:val="005B1CE9"/>
    <w:rsid w:val="005E0D94"/>
    <w:rsid w:val="006004F3"/>
    <w:rsid w:val="0061300F"/>
    <w:rsid w:val="0061302E"/>
    <w:rsid w:val="00616B8A"/>
    <w:rsid w:val="00621D2E"/>
    <w:rsid w:val="00623320"/>
    <w:rsid w:val="006233E1"/>
    <w:rsid w:val="00631267"/>
    <w:rsid w:val="006414A6"/>
    <w:rsid w:val="006754DD"/>
    <w:rsid w:val="00692CB8"/>
    <w:rsid w:val="006B13DA"/>
    <w:rsid w:val="006B2315"/>
    <w:rsid w:val="006B45CE"/>
    <w:rsid w:val="006B6910"/>
    <w:rsid w:val="006C6811"/>
    <w:rsid w:val="006D1676"/>
    <w:rsid w:val="006D1B7E"/>
    <w:rsid w:val="006D6459"/>
    <w:rsid w:val="007041A1"/>
    <w:rsid w:val="00713C80"/>
    <w:rsid w:val="007175F2"/>
    <w:rsid w:val="0073774F"/>
    <w:rsid w:val="0076073C"/>
    <w:rsid w:val="00776B0C"/>
    <w:rsid w:val="007946B0"/>
    <w:rsid w:val="007A42EC"/>
    <w:rsid w:val="007A54FF"/>
    <w:rsid w:val="007B1A1F"/>
    <w:rsid w:val="007C343C"/>
    <w:rsid w:val="007C655F"/>
    <w:rsid w:val="00816C8F"/>
    <w:rsid w:val="00826B51"/>
    <w:rsid w:val="0083455D"/>
    <w:rsid w:val="008442E2"/>
    <w:rsid w:val="0084540A"/>
    <w:rsid w:val="008625FB"/>
    <w:rsid w:val="00866013"/>
    <w:rsid w:val="00885E01"/>
    <w:rsid w:val="00891EE8"/>
    <w:rsid w:val="008A76CD"/>
    <w:rsid w:val="008B360D"/>
    <w:rsid w:val="008B4652"/>
    <w:rsid w:val="008C75E8"/>
    <w:rsid w:val="008D10ED"/>
    <w:rsid w:val="008D489F"/>
    <w:rsid w:val="008D7908"/>
    <w:rsid w:val="008D7D16"/>
    <w:rsid w:val="008E2FF0"/>
    <w:rsid w:val="008F09B7"/>
    <w:rsid w:val="00912197"/>
    <w:rsid w:val="00913A1A"/>
    <w:rsid w:val="00914094"/>
    <w:rsid w:val="009238FB"/>
    <w:rsid w:val="009477DC"/>
    <w:rsid w:val="00955454"/>
    <w:rsid w:val="00955DC4"/>
    <w:rsid w:val="00960BDB"/>
    <w:rsid w:val="00962784"/>
    <w:rsid w:val="0096329B"/>
    <w:rsid w:val="0097194D"/>
    <w:rsid w:val="009752E9"/>
    <w:rsid w:val="00977420"/>
    <w:rsid w:val="0099027E"/>
    <w:rsid w:val="00991C6A"/>
    <w:rsid w:val="00992A41"/>
    <w:rsid w:val="009944CD"/>
    <w:rsid w:val="009A242D"/>
    <w:rsid w:val="009A3EBC"/>
    <w:rsid w:val="009C3379"/>
    <w:rsid w:val="00A06636"/>
    <w:rsid w:val="00A20224"/>
    <w:rsid w:val="00A317FA"/>
    <w:rsid w:val="00A369A9"/>
    <w:rsid w:val="00A4773A"/>
    <w:rsid w:val="00A50776"/>
    <w:rsid w:val="00A56BD4"/>
    <w:rsid w:val="00A57197"/>
    <w:rsid w:val="00A836E9"/>
    <w:rsid w:val="00A87F63"/>
    <w:rsid w:val="00A9108C"/>
    <w:rsid w:val="00AA1DF6"/>
    <w:rsid w:val="00AA36C5"/>
    <w:rsid w:val="00AC6182"/>
    <w:rsid w:val="00AD7080"/>
    <w:rsid w:val="00AF4CB2"/>
    <w:rsid w:val="00AF7922"/>
    <w:rsid w:val="00B01A81"/>
    <w:rsid w:val="00B10348"/>
    <w:rsid w:val="00B10A2A"/>
    <w:rsid w:val="00B12308"/>
    <w:rsid w:val="00B13505"/>
    <w:rsid w:val="00B152B7"/>
    <w:rsid w:val="00B253D1"/>
    <w:rsid w:val="00B3338B"/>
    <w:rsid w:val="00B35C9C"/>
    <w:rsid w:val="00B42C4C"/>
    <w:rsid w:val="00B575AF"/>
    <w:rsid w:val="00B65460"/>
    <w:rsid w:val="00B66D7C"/>
    <w:rsid w:val="00B90010"/>
    <w:rsid w:val="00B96BB6"/>
    <w:rsid w:val="00BC4BBB"/>
    <w:rsid w:val="00BE0431"/>
    <w:rsid w:val="00BE7AC6"/>
    <w:rsid w:val="00BF2ECD"/>
    <w:rsid w:val="00BF54FF"/>
    <w:rsid w:val="00C061F6"/>
    <w:rsid w:val="00C11DBC"/>
    <w:rsid w:val="00C2242B"/>
    <w:rsid w:val="00C2610B"/>
    <w:rsid w:val="00C321FA"/>
    <w:rsid w:val="00C335E9"/>
    <w:rsid w:val="00C37A23"/>
    <w:rsid w:val="00C5077D"/>
    <w:rsid w:val="00C515E8"/>
    <w:rsid w:val="00C55AA9"/>
    <w:rsid w:val="00C578DC"/>
    <w:rsid w:val="00C57B6A"/>
    <w:rsid w:val="00C64E83"/>
    <w:rsid w:val="00C800AF"/>
    <w:rsid w:val="00CA5962"/>
    <w:rsid w:val="00CA5E22"/>
    <w:rsid w:val="00CA7854"/>
    <w:rsid w:val="00CC2A94"/>
    <w:rsid w:val="00CC6A06"/>
    <w:rsid w:val="00CD0630"/>
    <w:rsid w:val="00CE4510"/>
    <w:rsid w:val="00D0021B"/>
    <w:rsid w:val="00D060E9"/>
    <w:rsid w:val="00D061EC"/>
    <w:rsid w:val="00D12713"/>
    <w:rsid w:val="00D14999"/>
    <w:rsid w:val="00D20476"/>
    <w:rsid w:val="00D348AE"/>
    <w:rsid w:val="00D36CEC"/>
    <w:rsid w:val="00D37022"/>
    <w:rsid w:val="00D40D5F"/>
    <w:rsid w:val="00D51495"/>
    <w:rsid w:val="00D52198"/>
    <w:rsid w:val="00D6642E"/>
    <w:rsid w:val="00DA6BAB"/>
    <w:rsid w:val="00DB4349"/>
    <w:rsid w:val="00DD1465"/>
    <w:rsid w:val="00DD3A5B"/>
    <w:rsid w:val="00DD5D73"/>
    <w:rsid w:val="00DE0D68"/>
    <w:rsid w:val="00DE24A1"/>
    <w:rsid w:val="00DE2FB4"/>
    <w:rsid w:val="00E1723F"/>
    <w:rsid w:val="00E2700A"/>
    <w:rsid w:val="00E313D8"/>
    <w:rsid w:val="00E35CC1"/>
    <w:rsid w:val="00E360F6"/>
    <w:rsid w:val="00E3774D"/>
    <w:rsid w:val="00E50EF5"/>
    <w:rsid w:val="00E54250"/>
    <w:rsid w:val="00E62DAF"/>
    <w:rsid w:val="00E92E43"/>
    <w:rsid w:val="00E97E71"/>
    <w:rsid w:val="00EA34E8"/>
    <w:rsid w:val="00EC5C5A"/>
    <w:rsid w:val="00ED0055"/>
    <w:rsid w:val="00ED3A01"/>
    <w:rsid w:val="00F16D67"/>
    <w:rsid w:val="00F2365C"/>
    <w:rsid w:val="00F60665"/>
    <w:rsid w:val="00F65A6F"/>
    <w:rsid w:val="00F77490"/>
    <w:rsid w:val="00F84CFA"/>
    <w:rsid w:val="00F967B2"/>
    <w:rsid w:val="00FA1CAB"/>
    <w:rsid w:val="00FD1980"/>
    <w:rsid w:val="00FE0712"/>
    <w:rsid w:val="07BE292C"/>
    <w:rsid w:val="16C90EF1"/>
    <w:rsid w:val="23073779"/>
    <w:rsid w:val="4B232416"/>
    <w:rsid w:val="51A07850"/>
    <w:rsid w:val="5FE3F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unhideWhenUsed/>
    <w:qFormat/>
    <w:uiPriority w:val="0"/>
    <w:pPr>
      <w:jc w:val="left"/>
    </w:pPr>
  </w:style>
  <w:style w:type="paragraph" w:styleId="3">
    <w:name w:val="Balloon Text"/>
    <w:basedOn w:val="1"/>
    <w:link w:val="14"/>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8"/>
    <w:semiHidden/>
    <w:unhideWhenUsed/>
    <w:qFormat/>
    <w:uiPriority w:val="99"/>
    <w:rPr>
      <w:b/>
      <w:bCs/>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annotation reference"/>
    <w:basedOn w:val="9"/>
    <w:semiHidden/>
    <w:unhideWhenUsed/>
    <w:qFormat/>
    <w:uiPriority w:val="0"/>
    <w:rPr>
      <w:sz w:val="21"/>
      <w:szCs w:val="21"/>
    </w:rPr>
  </w:style>
  <w:style w:type="character" w:customStyle="1" w:styleId="11">
    <w:name w:val="页脚 Char"/>
    <w:basedOn w:val="9"/>
    <w:link w:val="4"/>
    <w:qFormat/>
    <w:uiPriority w:val="99"/>
    <w:rPr>
      <w:rFonts w:ascii="Calibri" w:hAnsi="Calibri" w:eastAsia="宋体" w:cs="Times New Roman"/>
      <w:sz w:val="18"/>
      <w:szCs w:val="18"/>
    </w:rPr>
  </w:style>
  <w:style w:type="paragraph" w:customStyle="1" w:styleId="12">
    <w:name w:val="列出段落1"/>
    <w:basedOn w:val="1"/>
    <w:qFormat/>
    <w:uiPriority w:val="34"/>
    <w:pPr>
      <w:ind w:firstLine="420" w:firstLineChars="200"/>
    </w:pPr>
  </w:style>
  <w:style w:type="character" w:customStyle="1" w:styleId="13">
    <w:name w:val="页眉 Char"/>
    <w:basedOn w:val="9"/>
    <w:link w:val="5"/>
    <w:semiHidden/>
    <w:qFormat/>
    <w:uiPriority w:val="99"/>
    <w:rPr>
      <w:rFonts w:ascii="Calibri" w:hAnsi="Calibri" w:eastAsia="宋体" w:cs="Times New Roman"/>
      <w:sz w:val="18"/>
      <w:szCs w:val="18"/>
    </w:rPr>
  </w:style>
  <w:style w:type="character" w:customStyle="1" w:styleId="14">
    <w:name w:val="批注框文本 Char"/>
    <w:basedOn w:val="9"/>
    <w:link w:val="3"/>
    <w:semiHidden/>
    <w:qFormat/>
    <w:uiPriority w:val="99"/>
    <w:rPr>
      <w:rFonts w:ascii="Calibri" w:hAnsi="Calibri" w:eastAsia="宋体" w:cs="Times New Roman"/>
      <w:sz w:val="18"/>
      <w:szCs w:val="18"/>
    </w:rPr>
  </w:style>
  <w:style w:type="paragraph" w:customStyle="1" w:styleId="15">
    <w:name w:val="修订1"/>
    <w:hidden/>
    <w:semiHidden/>
    <w:qFormat/>
    <w:uiPriority w:val="99"/>
    <w:rPr>
      <w:rFonts w:ascii="Calibri" w:hAnsi="Calibri" w:eastAsia="宋体" w:cs="Times New Roman"/>
      <w:kern w:val="2"/>
      <w:sz w:val="21"/>
      <w:szCs w:val="22"/>
      <w:lang w:val="en-US" w:eastAsia="zh-CN" w:bidi="ar-SA"/>
    </w:rPr>
  </w:style>
  <w:style w:type="paragraph" w:styleId="16">
    <w:name w:val="List Paragraph"/>
    <w:basedOn w:val="1"/>
    <w:qFormat/>
    <w:uiPriority w:val="99"/>
    <w:pPr>
      <w:ind w:firstLine="420" w:firstLineChars="200"/>
    </w:pPr>
  </w:style>
  <w:style w:type="character" w:customStyle="1" w:styleId="17">
    <w:name w:val="批注文字 Char"/>
    <w:basedOn w:val="9"/>
    <w:link w:val="2"/>
    <w:qFormat/>
    <w:uiPriority w:val="0"/>
    <w:rPr>
      <w:rFonts w:ascii="Calibri" w:hAnsi="Calibri" w:eastAsia="宋体" w:cs="Times New Roman"/>
      <w:kern w:val="2"/>
      <w:sz w:val="21"/>
      <w:szCs w:val="22"/>
    </w:rPr>
  </w:style>
  <w:style w:type="character" w:customStyle="1" w:styleId="18">
    <w:name w:val="批注主题 Char"/>
    <w:basedOn w:val="17"/>
    <w:link w:val="6"/>
    <w:qFormat/>
    <w:uiPriority w:val="0"/>
    <w:rPr>
      <w:rFonts w:ascii="Calibri" w:hAnsi="Calibri" w:eastAsia="宋体" w:cs="Times New Roman"/>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509</Words>
  <Characters>2906</Characters>
  <Lines>24</Lines>
  <Paragraphs>6</Paragraphs>
  <TotalTime>73</TotalTime>
  <ScaleCrop>false</ScaleCrop>
  <LinksUpToDate>false</LinksUpToDate>
  <CharactersWithSpaces>3409</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2023-06-27T21:42:00Z</dcterms:created>
  <dc:creator>tek</dc:creator>
  <cp:lastModifiedBy>wentinglou</cp:lastModifiedBy>
  <dcterms:modified xsi:type="dcterms:W3CDTF">2025-08-25T16:04:51Z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3CE6F71861C644669E19CCCCE432760A_13</vt:lpwstr>
  </property>
</Properties>
</file>