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120E9A">
      <w:pPr>
        <w:jc w:val="center"/>
        <w:rPr>
          <w:rStyle w:val="11"/>
          <w:rFonts w:hint="eastAsia" w:ascii="黑体" w:hAnsi="黑体" w:eastAsia="黑体"/>
          <w:sz w:val="36"/>
          <w:szCs w:val="36"/>
        </w:rPr>
      </w:pPr>
      <w:bookmarkStart w:id="1" w:name="_GoBack"/>
      <w:bookmarkEnd w:id="1"/>
      <w:bookmarkStart w:id="0" w:name="_Toc356840131"/>
      <w:r>
        <w:rPr>
          <w:rStyle w:val="11"/>
          <w:rFonts w:hint="eastAsia" w:ascii="黑体" w:hAnsi="黑体" w:eastAsia="黑体"/>
          <w:sz w:val="36"/>
          <w:szCs w:val="36"/>
        </w:rPr>
        <w:t>第三十七号 上市公司投资者说明会预告公告</w:t>
      </w:r>
      <w:bookmarkEnd w:id="0"/>
    </w:p>
    <w:p w14:paraId="3B112FE4">
      <w:pPr>
        <w:spacing w:line="560" w:lineRule="exact"/>
        <w:rPr>
          <w:rFonts w:ascii="宋体" w:hAnsi="宋体"/>
          <w:b/>
        </w:rPr>
      </w:pPr>
    </w:p>
    <w:p w14:paraId="00B5BEE2">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792D92A8">
      <w:pPr>
        <w:snapToGrid w:val="0"/>
        <w:spacing w:line="56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本所上市公司面向全体股东召开业绩说明会、现金分红说明会、风险说明会、重大事项说明会等投资者说明会的，适用本公告格式，公告标题可以根据说明会的具体类型相应调整。</w:t>
      </w:r>
    </w:p>
    <w:p w14:paraId="70602E96">
      <w:pPr>
        <w:snapToGrid w:val="0"/>
        <w:spacing w:line="560" w:lineRule="exact"/>
        <w:jc w:val="center"/>
        <w:rPr>
          <w:rFonts w:hint="eastAsia" w:ascii="仿宋_GB2312" w:eastAsia="仿宋_GB2312"/>
          <w:color w:val="000000"/>
          <w:sz w:val="30"/>
          <w:szCs w:val="30"/>
        </w:rPr>
      </w:pPr>
    </w:p>
    <w:p w14:paraId="7A039BE1">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2EC52A04">
      <w:pPr>
        <w:adjustRightInd w:val="0"/>
        <w:snapToGrid w:val="0"/>
        <w:spacing w:line="560" w:lineRule="exact"/>
        <w:rPr>
          <w:rFonts w:hint="eastAsia" w:ascii="仿宋" w:hAnsi="仿宋" w:eastAsia="仿宋"/>
          <w:sz w:val="30"/>
          <w:szCs w:val="30"/>
        </w:rPr>
      </w:pPr>
    </w:p>
    <w:p w14:paraId="0250C6D9">
      <w:pPr>
        <w:snapToGrid w:val="0"/>
        <w:spacing w:line="560" w:lineRule="exact"/>
        <w:jc w:val="center"/>
        <w:rPr>
          <w:rFonts w:hint="eastAsia" w:ascii="仿宋_GB2312" w:hAnsi="宋体" w:eastAsia="仿宋_GB2312" w:cs="黑体-WinCharSetFFFF-H"/>
          <w:kern w:val="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股份有限公司X</w:t>
      </w:r>
      <w:r>
        <w:rPr>
          <w:rFonts w:ascii="仿宋_GB2312" w:hAnsi="宋体" w:eastAsia="仿宋_GB2312"/>
          <w:color w:val="000000"/>
          <w:sz w:val="30"/>
          <w:szCs w:val="30"/>
        </w:rPr>
        <w:t>XXX</w:t>
      </w:r>
      <w:r>
        <w:rPr>
          <w:rFonts w:hint="eastAsia" w:ascii="仿宋_GB2312" w:hAnsi="宋体" w:eastAsia="仿宋_GB2312"/>
          <w:color w:val="000000"/>
          <w:sz w:val="30"/>
          <w:szCs w:val="30"/>
        </w:rPr>
        <w:t>说明会（写明具体类型）预告</w:t>
      </w:r>
      <w:r>
        <w:rPr>
          <w:rFonts w:hint="eastAsia" w:ascii="仿宋_GB2312" w:hAnsi="宋体" w:eastAsia="仿宋_GB2312" w:cs="黑体-WinCharSetFFFF-H"/>
          <w:kern w:val="0"/>
          <w:sz w:val="30"/>
          <w:szCs w:val="30"/>
        </w:rPr>
        <w:t>公告</w:t>
      </w:r>
    </w:p>
    <w:p w14:paraId="35943A40">
      <w:pPr>
        <w:snapToGrid w:val="0"/>
        <w:spacing w:line="560" w:lineRule="exact"/>
        <w:jc w:val="center"/>
        <w:rPr>
          <w:rFonts w:ascii="仿宋_GB2312" w:hAnsi="宋体" w:eastAsia="仿宋_GB2312"/>
          <w:color w:val="000000"/>
          <w:sz w:val="30"/>
          <w:szCs w:val="30"/>
        </w:rPr>
      </w:pPr>
    </w:p>
    <w:p w14:paraId="253D955B">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7DE7F88E">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1DEBAEDB">
      <w:pPr>
        <w:adjustRightInd w:val="0"/>
        <w:snapToGrid w:val="0"/>
        <w:spacing w:line="560" w:lineRule="exact"/>
        <w:rPr>
          <w:rFonts w:ascii="仿宋_GB2312" w:hAnsi="宋体" w:eastAsia="仿宋_GB2312"/>
          <w:sz w:val="30"/>
          <w:szCs w:val="30"/>
        </w:rPr>
      </w:pPr>
    </w:p>
    <w:p w14:paraId="48F0B85E">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73D01900">
      <w:pPr>
        <w:numPr>
          <w:ilvl w:val="0"/>
          <w:numId w:val="1"/>
        </w:numPr>
        <w:adjustRightInd w:val="0"/>
        <w:snapToGrid w:val="0"/>
        <w:spacing w:line="560" w:lineRule="exact"/>
        <w:jc w:val="left"/>
        <w:rPr>
          <w:rFonts w:ascii="仿宋_GB2312" w:eastAsia="仿宋_GB2312"/>
          <w:color w:val="000000"/>
          <w:sz w:val="30"/>
          <w:szCs w:val="30"/>
        </w:rPr>
      </w:pPr>
      <w:r>
        <w:rPr>
          <w:rFonts w:hint="eastAsia" w:ascii="仿宋_GB2312" w:eastAsia="仿宋_GB2312"/>
          <w:color w:val="000000"/>
          <w:sz w:val="30"/>
          <w:szCs w:val="30"/>
        </w:rPr>
        <w:t>会议召开时间</w:t>
      </w:r>
    </w:p>
    <w:p w14:paraId="27B221D2">
      <w:pPr>
        <w:numPr>
          <w:ilvl w:val="0"/>
          <w:numId w:val="1"/>
        </w:numPr>
        <w:adjustRightInd w:val="0"/>
        <w:snapToGrid w:val="0"/>
        <w:spacing w:line="560" w:lineRule="exact"/>
        <w:jc w:val="left"/>
        <w:rPr>
          <w:rFonts w:ascii="仿宋_GB2312" w:eastAsia="仿宋_GB2312"/>
          <w:color w:val="000000"/>
          <w:sz w:val="30"/>
          <w:szCs w:val="30"/>
        </w:rPr>
      </w:pPr>
      <w:r>
        <w:rPr>
          <w:rFonts w:hint="eastAsia" w:ascii="仿宋_GB2312" w:eastAsia="仿宋_GB2312"/>
          <w:color w:val="000000"/>
          <w:sz w:val="30"/>
          <w:szCs w:val="30"/>
        </w:rPr>
        <w:t>会议召开地点</w:t>
      </w:r>
    </w:p>
    <w:p w14:paraId="2D296726">
      <w:pPr>
        <w:numPr>
          <w:ilvl w:val="0"/>
          <w:numId w:val="1"/>
        </w:numPr>
        <w:adjustRightInd w:val="0"/>
        <w:snapToGrid w:val="0"/>
        <w:spacing w:line="560" w:lineRule="exact"/>
        <w:jc w:val="left"/>
        <w:rPr>
          <w:rFonts w:ascii="仿宋_GB2312" w:eastAsia="仿宋_GB2312"/>
          <w:color w:val="000000"/>
          <w:sz w:val="30"/>
          <w:szCs w:val="30"/>
        </w:rPr>
      </w:pPr>
      <w:r>
        <w:rPr>
          <w:rFonts w:hint="eastAsia" w:ascii="仿宋_GB2312" w:eastAsia="仿宋_GB2312"/>
          <w:color w:val="000000"/>
          <w:sz w:val="30"/>
          <w:szCs w:val="30"/>
        </w:rPr>
        <w:t>会议召开方式</w:t>
      </w:r>
    </w:p>
    <w:p w14:paraId="1FDEAA86">
      <w:pPr>
        <w:numPr>
          <w:ilvl w:val="0"/>
          <w:numId w:val="1"/>
        </w:numPr>
        <w:adjustRightInd w:val="0"/>
        <w:snapToGrid w:val="0"/>
        <w:spacing w:line="560" w:lineRule="exact"/>
        <w:jc w:val="left"/>
        <w:rPr>
          <w:rFonts w:ascii="仿宋_GB2312" w:eastAsia="仿宋_GB2312"/>
          <w:color w:val="000000"/>
          <w:sz w:val="30"/>
          <w:szCs w:val="30"/>
        </w:rPr>
      </w:pPr>
      <w:r>
        <w:rPr>
          <w:rFonts w:hint="eastAsia" w:ascii="仿宋_GB2312" w:eastAsia="仿宋_GB2312"/>
          <w:color w:val="000000"/>
          <w:sz w:val="30"/>
          <w:szCs w:val="30"/>
        </w:rPr>
        <w:t>预征集投资者提问的相关安排，包括提问渠道、截止时间等</w:t>
      </w:r>
    </w:p>
    <w:p w14:paraId="36E00C36">
      <w:pPr>
        <w:adjustRightInd w:val="0"/>
        <w:snapToGrid w:val="0"/>
        <w:spacing w:line="560" w:lineRule="exact"/>
        <w:ind w:firstLine="600" w:firstLineChars="200"/>
        <w:jc w:val="left"/>
        <w:rPr>
          <w:rFonts w:ascii="仿宋" w:hAnsi="仿宋" w:eastAsia="仿宋"/>
          <w:sz w:val="30"/>
          <w:szCs w:val="30"/>
        </w:rPr>
      </w:pPr>
    </w:p>
    <w:p w14:paraId="72F07230">
      <w:pPr>
        <w:adjustRightInd w:val="0"/>
        <w:snapToGrid w:val="0"/>
        <w:spacing w:line="560" w:lineRule="exact"/>
        <w:ind w:firstLine="602" w:firstLineChars="200"/>
        <w:jc w:val="left"/>
        <w:rPr>
          <w:rFonts w:ascii="黑体" w:hAnsi="黑体" w:eastAsia="黑体"/>
          <w:b/>
          <w:sz w:val="30"/>
          <w:szCs w:val="30"/>
        </w:rPr>
      </w:pPr>
      <w:r>
        <w:rPr>
          <w:rFonts w:hint="eastAsia" w:ascii="黑体" w:hAnsi="黑体" w:eastAsia="黑体"/>
          <w:b/>
          <w:sz w:val="30"/>
          <w:szCs w:val="30"/>
        </w:rPr>
        <w:t>一、说明会类型</w:t>
      </w:r>
    </w:p>
    <w:p w14:paraId="2D1EBD24">
      <w:pPr>
        <w:adjustRightInd w:val="0"/>
        <w:snapToGrid w:val="0"/>
        <w:spacing w:line="560" w:lineRule="exact"/>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rPr>
        <w:t>详细说明本次说明会的类型，披露说明会的具体事项。</w:t>
      </w:r>
    </w:p>
    <w:p w14:paraId="5F28DB1A">
      <w:pPr>
        <w:adjustRightInd w:val="0"/>
        <w:snapToGrid w:val="0"/>
        <w:spacing w:line="560" w:lineRule="exact"/>
        <w:ind w:firstLine="600" w:firstLineChars="200"/>
        <w:jc w:val="left"/>
        <w:rPr>
          <w:rFonts w:hint="eastAsia" w:ascii="仿宋_GB2312" w:eastAsia="仿宋_GB2312"/>
          <w:color w:val="000000"/>
          <w:sz w:val="30"/>
          <w:szCs w:val="30"/>
        </w:rPr>
      </w:pPr>
    </w:p>
    <w:p w14:paraId="305E9FA1">
      <w:pPr>
        <w:adjustRightInd w:val="0"/>
        <w:snapToGrid w:val="0"/>
        <w:spacing w:line="560" w:lineRule="exact"/>
        <w:ind w:firstLine="602" w:firstLineChars="200"/>
        <w:jc w:val="left"/>
        <w:rPr>
          <w:rFonts w:ascii="黑体" w:hAnsi="黑体" w:eastAsia="黑体"/>
          <w:b/>
          <w:sz w:val="30"/>
          <w:szCs w:val="30"/>
        </w:rPr>
      </w:pPr>
      <w:r>
        <w:rPr>
          <w:rFonts w:hint="eastAsia" w:ascii="黑体" w:hAnsi="黑体" w:eastAsia="黑体"/>
          <w:b/>
          <w:sz w:val="30"/>
          <w:szCs w:val="30"/>
        </w:rPr>
        <w:t>二、说明会召开的时间、地点</w:t>
      </w:r>
    </w:p>
    <w:p w14:paraId="5A1C0F69">
      <w:pPr>
        <w:adjustRightInd w:val="0"/>
        <w:snapToGrid w:val="0"/>
        <w:spacing w:line="560" w:lineRule="exact"/>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rPr>
        <w:t>详细说明本次说明会的召开时间、地点和方式。</w:t>
      </w:r>
    </w:p>
    <w:p w14:paraId="22EF82ED">
      <w:pPr>
        <w:adjustRightInd w:val="0"/>
        <w:snapToGrid w:val="0"/>
        <w:spacing w:line="560" w:lineRule="exact"/>
        <w:ind w:firstLine="600" w:firstLineChars="200"/>
        <w:jc w:val="left"/>
        <w:rPr>
          <w:rFonts w:hint="eastAsia" w:ascii="仿宋_GB2312" w:eastAsia="仿宋_GB2312"/>
          <w:color w:val="000000"/>
          <w:sz w:val="30"/>
          <w:szCs w:val="30"/>
        </w:rPr>
      </w:pPr>
    </w:p>
    <w:p w14:paraId="0BD0B246">
      <w:pPr>
        <w:adjustRightInd w:val="0"/>
        <w:snapToGrid w:val="0"/>
        <w:spacing w:line="560" w:lineRule="exact"/>
        <w:ind w:firstLine="602" w:firstLineChars="200"/>
        <w:jc w:val="left"/>
        <w:rPr>
          <w:rFonts w:ascii="黑体" w:hAnsi="黑体" w:eastAsia="黑体"/>
          <w:b/>
          <w:sz w:val="30"/>
          <w:szCs w:val="30"/>
        </w:rPr>
      </w:pPr>
      <w:r>
        <w:rPr>
          <w:rFonts w:hint="eastAsia" w:ascii="黑体" w:hAnsi="黑体" w:eastAsia="黑体"/>
          <w:b/>
          <w:sz w:val="30"/>
          <w:szCs w:val="30"/>
        </w:rPr>
        <w:t>三、参加人员</w:t>
      </w:r>
    </w:p>
    <w:p w14:paraId="47497518">
      <w:pPr>
        <w:adjustRightInd w:val="0"/>
        <w:snapToGrid w:val="0"/>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详细说明参加说明会的机构及个人，包括：</w:t>
      </w:r>
    </w:p>
    <w:p w14:paraId="2E47A53F">
      <w:pPr>
        <w:numPr>
          <w:ilvl w:val="0"/>
          <w:numId w:val="2"/>
        </w:numPr>
        <w:adjustRightInd w:val="0"/>
        <w:snapToGrid w:val="0"/>
        <w:spacing w:line="560" w:lineRule="exact"/>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rPr>
        <w:t>上市公司：列明上市公司参加说明会的相关人员信息。</w:t>
      </w:r>
    </w:p>
    <w:p w14:paraId="64F4EF78">
      <w:pPr>
        <w:adjustRightInd w:val="0"/>
        <w:snapToGrid w:val="0"/>
        <w:spacing w:line="560" w:lineRule="exact"/>
        <w:ind w:firstLine="480" w:firstLineChars="200"/>
        <w:jc w:val="left"/>
        <w:rPr>
          <w:rFonts w:hint="eastAsia"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根据《上海证券交易所上市公司自律监管指引第1号——规范运作》第7.3.2条第一款规定，参与投资者说明会的上市公司人员应当包括公司董事长（或者总经理）、财务负责人、至少一名独立董事、董事会秘书。）</w:t>
      </w:r>
    </w:p>
    <w:p w14:paraId="3374BA80">
      <w:pPr>
        <w:adjustRightInd w:val="0"/>
        <w:snapToGrid w:val="0"/>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（二）投资者：列明参加说明会的机构投资者名称。</w:t>
      </w:r>
    </w:p>
    <w:p w14:paraId="4CD2BADB">
      <w:pPr>
        <w:adjustRightInd w:val="0"/>
        <w:snapToGrid w:val="0"/>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（三）中介机构：列明参加说明会的中介机构名称。</w:t>
      </w:r>
    </w:p>
    <w:p w14:paraId="48FE3AC8">
      <w:pPr>
        <w:adjustRightInd w:val="0"/>
        <w:snapToGrid w:val="0"/>
        <w:spacing w:line="560" w:lineRule="exact"/>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rPr>
        <w:t>（四）其他相关人员：列明除上述机构和个人以外的媒体、相关监管机构、行业专家等其他参加人员，并简要说明其相关信息。</w:t>
      </w:r>
    </w:p>
    <w:p w14:paraId="1B7135BD">
      <w:pPr>
        <w:adjustRightInd w:val="0"/>
        <w:snapToGrid w:val="0"/>
        <w:spacing w:line="560" w:lineRule="exact"/>
        <w:ind w:firstLine="600" w:firstLineChars="200"/>
        <w:jc w:val="left"/>
        <w:rPr>
          <w:rFonts w:hint="eastAsia" w:ascii="仿宋_GB2312" w:eastAsia="仿宋_GB2312"/>
          <w:color w:val="000000"/>
          <w:sz w:val="30"/>
          <w:szCs w:val="30"/>
        </w:rPr>
      </w:pPr>
    </w:p>
    <w:p w14:paraId="3895F661">
      <w:pPr>
        <w:adjustRightInd w:val="0"/>
        <w:snapToGrid w:val="0"/>
        <w:spacing w:line="560" w:lineRule="exact"/>
        <w:ind w:firstLine="602" w:firstLineChars="200"/>
        <w:jc w:val="left"/>
        <w:rPr>
          <w:rFonts w:ascii="黑体" w:hAnsi="黑体" w:eastAsia="黑体"/>
          <w:b/>
          <w:sz w:val="30"/>
          <w:szCs w:val="30"/>
        </w:rPr>
      </w:pPr>
      <w:r>
        <w:rPr>
          <w:rFonts w:hint="eastAsia" w:ascii="黑体" w:hAnsi="黑体" w:eastAsia="黑体"/>
          <w:b/>
          <w:sz w:val="30"/>
          <w:szCs w:val="30"/>
        </w:rPr>
        <w:t>四、投资者参加方式</w:t>
      </w:r>
    </w:p>
    <w:p w14:paraId="44C1D74F">
      <w:pPr>
        <w:adjustRightInd w:val="0"/>
        <w:snapToGrid w:val="0"/>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（一）详细说明机构和个人参加相关说明会的方式，例如现场、网络、电话方式。</w:t>
      </w:r>
    </w:p>
    <w:p w14:paraId="47450ED4">
      <w:pPr>
        <w:adjustRightInd w:val="0"/>
        <w:snapToGrid w:val="0"/>
        <w:spacing w:line="560" w:lineRule="exact"/>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rPr>
        <w:t>（二）预征集投资者提问的相关安排，包括提问渠道、截止时间等。</w:t>
      </w:r>
    </w:p>
    <w:p w14:paraId="31445620">
      <w:pPr>
        <w:adjustRightInd w:val="0"/>
        <w:snapToGrid w:val="0"/>
        <w:spacing w:line="560" w:lineRule="exact"/>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rPr>
        <w:t>公司应当在投资者说明会召开前以及召开期间为投资者开通提问渠道，做好投资者提问征集工作，并在说明会上对投资者关注的问题予以答复。</w:t>
      </w:r>
    </w:p>
    <w:p w14:paraId="5D8B7AC7">
      <w:pPr>
        <w:adjustRightInd w:val="0"/>
        <w:snapToGrid w:val="0"/>
        <w:spacing w:line="560" w:lineRule="exact"/>
        <w:ind w:firstLine="600" w:firstLineChars="200"/>
        <w:jc w:val="left"/>
        <w:rPr>
          <w:rFonts w:hint="eastAsia" w:ascii="仿宋_GB2312" w:eastAsia="仿宋_GB2312"/>
          <w:color w:val="000000"/>
          <w:sz w:val="30"/>
          <w:szCs w:val="30"/>
        </w:rPr>
      </w:pPr>
    </w:p>
    <w:p w14:paraId="193BC1F1">
      <w:pPr>
        <w:adjustRightInd w:val="0"/>
        <w:snapToGrid w:val="0"/>
        <w:spacing w:line="560" w:lineRule="exact"/>
        <w:ind w:firstLine="602" w:firstLineChars="200"/>
        <w:jc w:val="left"/>
        <w:rPr>
          <w:rFonts w:ascii="黑体" w:hAnsi="黑体" w:eastAsia="黑体"/>
          <w:b/>
          <w:sz w:val="30"/>
          <w:szCs w:val="30"/>
        </w:rPr>
      </w:pPr>
      <w:r>
        <w:rPr>
          <w:rFonts w:hint="eastAsia" w:ascii="黑体" w:hAnsi="黑体" w:eastAsia="黑体"/>
          <w:b/>
          <w:sz w:val="30"/>
          <w:szCs w:val="30"/>
        </w:rPr>
        <w:t>五、联系人及咨询办法</w:t>
      </w:r>
    </w:p>
    <w:p w14:paraId="5830E991">
      <w:pPr>
        <w:adjustRightInd w:val="0"/>
        <w:snapToGrid w:val="0"/>
        <w:spacing w:line="560" w:lineRule="exact"/>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rPr>
        <w:t>上市公司投资者说明会的负责人及联系方式。</w:t>
      </w:r>
    </w:p>
    <w:p w14:paraId="4CE72017">
      <w:pPr>
        <w:adjustRightInd w:val="0"/>
        <w:snapToGrid w:val="0"/>
        <w:spacing w:line="560" w:lineRule="exact"/>
        <w:ind w:firstLine="600" w:firstLineChars="200"/>
        <w:jc w:val="left"/>
        <w:rPr>
          <w:rFonts w:hint="eastAsia" w:ascii="仿宋_GB2312" w:eastAsia="仿宋_GB2312"/>
          <w:color w:val="000000"/>
          <w:sz w:val="30"/>
          <w:szCs w:val="30"/>
        </w:rPr>
      </w:pPr>
    </w:p>
    <w:p w14:paraId="3373358D">
      <w:pPr>
        <w:adjustRightInd w:val="0"/>
        <w:snapToGrid w:val="0"/>
        <w:spacing w:line="560" w:lineRule="exact"/>
        <w:ind w:firstLine="602" w:firstLineChars="200"/>
        <w:jc w:val="left"/>
        <w:rPr>
          <w:rFonts w:ascii="黑体" w:hAnsi="黑体" w:eastAsia="黑体"/>
          <w:b/>
          <w:sz w:val="30"/>
          <w:szCs w:val="30"/>
        </w:rPr>
      </w:pPr>
      <w:r>
        <w:rPr>
          <w:rFonts w:hint="eastAsia" w:ascii="黑体" w:hAnsi="黑体" w:eastAsia="黑体"/>
          <w:b/>
          <w:sz w:val="30"/>
          <w:szCs w:val="30"/>
        </w:rPr>
        <w:t>六、其他事项</w:t>
      </w:r>
    </w:p>
    <w:p w14:paraId="3243E834">
      <w:pPr>
        <w:adjustRightInd w:val="0"/>
        <w:snapToGrid w:val="0"/>
        <w:spacing w:line="560" w:lineRule="exact"/>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rPr>
        <w:t>会后供投资者回看或查阅的方式，全面如实地向投资者反映说明会的召开情况。</w:t>
      </w:r>
    </w:p>
    <w:p w14:paraId="21093632">
      <w:pPr>
        <w:adjustRightInd w:val="0"/>
        <w:snapToGrid w:val="0"/>
        <w:spacing w:line="560" w:lineRule="exact"/>
        <w:ind w:firstLine="600" w:firstLineChars="200"/>
        <w:jc w:val="left"/>
        <w:rPr>
          <w:rFonts w:ascii="仿宋_GB2312" w:eastAsia="仿宋_GB2312"/>
          <w:color w:val="000000"/>
          <w:sz w:val="30"/>
          <w:szCs w:val="30"/>
        </w:rPr>
      </w:pPr>
    </w:p>
    <w:p w14:paraId="344059F4">
      <w:pPr>
        <w:adjustRightInd w:val="0"/>
        <w:snapToGrid w:val="0"/>
        <w:spacing w:line="560" w:lineRule="exact"/>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rPr>
        <w:t>特此公告。</w:t>
      </w:r>
    </w:p>
    <w:p w14:paraId="6A33EC3D">
      <w:pPr>
        <w:adjustRightInd w:val="0"/>
        <w:snapToGrid w:val="0"/>
        <w:spacing w:line="560" w:lineRule="exact"/>
        <w:ind w:firstLine="600" w:firstLineChars="200"/>
        <w:jc w:val="right"/>
        <w:rPr>
          <w:rFonts w:ascii="仿宋_GB2312" w:eastAsia="仿宋_GB2312"/>
          <w:color w:val="000000"/>
          <w:sz w:val="30"/>
          <w:szCs w:val="30"/>
        </w:rPr>
      </w:pPr>
    </w:p>
    <w:p w14:paraId="42717401">
      <w:pPr>
        <w:adjustRightInd w:val="0"/>
        <w:snapToGrid w:val="0"/>
        <w:spacing w:line="560" w:lineRule="exact"/>
        <w:ind w:firstLine="600" w:firstLineChars="200"/>
        <w:jc w:val="right"/>
        <w:rPr>
          <w:rFonts w:ascii="仿宋_GB2312" w:eastAsia="仿宋_GB2312"/>
          <w:color w:val="000000"/>
          <w:sz w:val="30"/>
          <w:szCs w:val="30"/>
        </w:rPr>
      </w:pPr>
      <w:r>
        <w:rPr>
          <w:rFonts w:hint="eastAsia" w:ascii="仿宋_GB2312" w:hAnsi="宋体" w:eastAsia="仿宋_GB2312"/>
          <w:color w:val="000000"/>
          <w:sz w:val="30"/>
          <w:szCs w:val="30"/>
        </w:rPr>
        <w:t>××××</w:t>
      </w:r>
      <w:r>
        <w:rPr>
          <w:rFonts w:hint="eastAsia" w:ascii="仿宋_GB2312" w:eastAsia="仿宋_GB2312"/>
          <w:color w:val="000000"/>
          <w:sz w:val="30"/>
          <w:szCs w:val="30"/>
        </w:rPr>
        <w:t>股份有限公司董事会</w:t>
      </w:r>
    </w:p>
    <w:p w14:paraId="1264148C">
      <w:pPr>
        <w:adjustRightInd w:val="0"/>
        <w:snapToGrid w:val="0"/>
        <w:spacing w:line="560" w:lineRule="exact"/>
        <w:ind w:firstLine="600" w:firstLineChars="200"/>
        <w:jc w:val="right"/>
        <w:rPr>
          <w:rFonts w:hint="eastAsia" w:ascii="仿宋_GB2312" w:eastAsia="仿宋_GB2312"/>
          <w:color w:val="000000"/>
          <w:sz w:val="30"/>
          <w:szCs w:val="30"/>
        </w:rPr>
      </w:pPr>
      <w:r>
        <w:rPr>
          <w:rFonts w:hint="eastAsia" w:ascii="仿宋_GB2312" w:eastAsia="仿宋_GB2312"/>
          <w:color w:val="000000"/>
          <w:sz w:val="30"/>
          <w:szCs w:val="30"/>
        </w:rPr>
        <w:t>年</w:t>
      </w:r>
      <w:r>
        <w:rPr>
          <w:rFonts w:ascii="仿宋_GB2312" w:eastAsia="仿宋_GB2312"/>
          <w:color w:val="000000"/>
          <w:sz w:val="30"/>
          <w:szCs w:val="30"/>
        </w:rPr>
        <w:t xml:space="preserve">  </w:t>
      </w:r>
      <w:r>
        <w:rPr>
          <w:rFonts w:hint="eastAsia" w:ascii="仿宋_GB2312" w:eastAsia="仿宋_GB2312"/>
          <w:color w:val="000000"/>
          <w:sz w:val="30"/>
          <w:szCs w:val="30"/>
        </w:rPr>
        <w:t>月</w:t>
      </w:r>
      <w:r>
        <w:rPr>
          <w:rFonts w:ascii="仿宋_GB2312" w:eastAsia="仿宋_GB2312"/>
          <w:color w:val="000000"/>
          <w:sz w:val="30"/>
          <w:szCs w:val="30"/>
        </w:rPr>
        <w:t xml:space="preserve">  </w:t>
      </w:r>
      <w:r>
        <w:rPr>
          <w:rFonts w:hint="eastAsia" w:ascii="仿宋_GB2312" w:eastAsia="仿宋_GB2312"/>
          <w:color w:val="000000"/>
          <w:sz w:val="30"/>
          <w:szCs w:val="30"/>
        </w:rPr>
        <w:t>日</w:t>
      </w:r>
    </w:p>
    <w:p w14:paraId="0558ADA0">
      <w:pPr>
        <w:adjustRightInd w:val="0"/>
        <w:snapToGrid w:val="0"/>
        <w:spacing w:line="560" w:lineRule="exact"/>
        <w:ind w:firstLine="600" w:firstLineChars="200"/>
        <w:jc w:val="left"/>
        <w:rPr>
          <w:rFonts w:hint="eastAsia" w:ascii="仿宋_GB2312" w:eastAsia="仿宋_GB2312"/>
          <w:color w:val="000000"/>
          <w:sz w:val="30"/>
          <w:szCs w:val="30"/>
        </w:rPr>
      </w:pPr>
    </w:p>
    <w:p w14:paraId="2400BB55">
      <w:pPr>
        <w:adjustRightInd w:val="0"/>
        <w:snapToGrid w:val="0"/>
        <w:spacing w:line="560" w:lineRule="exact"/>
        <w:ind w:firstLine="600" w:firstLineChars="200"/>
        <w:jc w:val="left"/>
        <w:rPr>
          <w:rFonts w:ascii="仿宋_GB2312" w:eastAsia="仿宋_GB2312"/>
          <w:color w:val="000000"/>
          <w:sz w:val="30"/>
          <w:szCs w:val="30"/>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C0379">
    <w:pPr>
      <w:pStyle w:val="5"/>
      <w:jc w:val="center"/>
    </w:pPr>
    <w:r>
      <w:fldChar w:fldCharType="begin"/>
    </w:r>
    <w:r>
      <w:instrText xml:space="preserve"> PAGE   \* MERGEFORMAT </w:instrText>
    </w:r>
    <w:r>
      <w:fldChar w:fldCharType="separate"/>
    </w:r>
    <w:r>
      <w:rPr>
        <w:lang w:val="zh-CN"/>
      </w:rPr>
      <w:t>1</w:t>
    </w:r>
    <w:r>
      <w:fldChar w:fldCharType="end"/>
    </w:r>
  </w:p>
  <w:p w14:paraId="7F81E78C">
    <w:pPr>
      <w:pStyle w:val="5"/>
      <w:ind w:right="360"/>
      <w:jc w:val="center"/>
      <w:rPr>
        <w:rFonts w:ascii="宋体" w:hAns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13F3C">
    <w:pPr>
      <w:pStyle w:val="5"/>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14:paraId="42A38008">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C8C57">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90876"/>
    <w:multiLevelType w:val="multilevel"/>
    <w:tmpl w:val="0EB90876"/>
    <w:lvl w:ilvl="0" w:tentative="0">
      <w:start w:val="1"/>
      <w:numFmt w:val="bullet"/>
      <w:lvlText w:val=""/>
      <w:lvlJc w:val="left"/>
      <w:pPr>
        <w:tabs>
          <w:tab w:val="left" w:pos="1005"/>
        </w:tabs>
        <w:ind w:left="1005" w:hanging="420"/>
      </w:pPr>
      <w:rPr>
        <w:rFonts w:hint="default" w:ascii="Wingdings" w:hAnsi="Wingdings"/>
      </w:rPr>
    </w:lvl>
    <w:lvl w:ilvl="1" w:tentative="0">
      <w:start w:val="1"/>
      <w:numFmt w:val="bullet"/>
      <w:lvlText w:val=""/>
      <w:lvlJc w:val="left"/>
      <w:pPr>
        <w:ind w:left="1425" w:hanging="420"/>
      </w:pPr>
      <w:rPr>
        <w:rFonts w:hint="default" w:ascii="Wingdings" w:hAnsi="Wingdings"/>
      </w:rPr>
    </w:lvl>
    <w:lvl w:ilvl="2" w:tentative="0">
      <w:start w:val="1"/>
      <w:numFmt w:val="bullet"/>
      <w:lvlText w:val=""/>
      <w:lvlJc w:val="left"/>
      <w:pPr>
        <w:ind w:left="1845" w:hanging="420"/>
      </w:pPr>
      <w:rPr>
        <w:rFonts w:hint="default" w:ascii="Wingdings" w:hAnsi="Wingdings"/>
      </w:rPr>
    </w:lvl>
    <w:lvl w:ilvl="3" w:tentative="0">
      <w:start w:val="1"/>
      <w:numFmt w:val="bullet"/>
      <w:lvlText w:val=""/>
      <w:lvlJc w:val="left"/>
      <w:pPr>
        <w:ind w:left="2265" w:hanging="420"/>
      </w:pPr>
      <w:rPr>
        <w:rFonts w:hint="default" w:ascii="Wingdings" w:hAnsi="Wingdings"/>
      </w:rPr>
    </w:lvl>
    <w:lvl w:ilvl="4" w:tentative="0">
      <w:start w:val="1"/>
      <w:numFmt w:val="bullet"/>
      <w:lvlText w:val=""/>
      <w:lvlJc w:val="left"/>
      <w:pPr>
        <w:ind w:left="2685" w:hanging="420"/>
      </w:pPr>
      <w:rPr>
        <w:rFonts w:hint="default" w:ascii="Wingdings" w:hAnsi="Wingdings"/>
      </w:rPr>
    </w:lvl>
    <w:lvl w:ilvl="5" w:tentative="0">
      <w:start w:val="1"/>
      <w:numFmt w:val="bullet"/>
      <w:lvlText w:val=""/>
      <w:lvlJc w:val="left"/>
      <w:pPr>
        <w:ind w:left="3105" w:hanging="420"/>
      </w:pPr>
      <w:rPr>
        <w:rFonts w:hint="default" w:ascii="Wingdings" w:hAnsi="Wingdings"/>
      </w:rPr>
    </w:lvl>
    <w:lvl w:ilvl="6" w:tentative="0">
      <w:start w:val="1"/>
      <w:numFmt w:val="bullet"/>
      <w:lvlText w:val=""/>
      <w:lvlJc w:val="left"/>
      <w:pPr>
        <w:ind w:left="3525" w:hanging="420"/>
      </w:pPr>
      <w:rPr>
        <w:rFonts w:hint="default" w:ascii="Wingdings" w:hAnsi="Wingdings"/>
      </w:rPr>
    </w:lvl>
    <w:lvl w:ilvl="7" w:tentative="0">
      <w:start w:val="1"/>
      <w:numFmt w:val="bullet"/>
      <w:lvlText w:val=""/>
      <w:lvlJc w:val="left"/>
      <w:pPr>
        <w:ind w:left="3945" w:hanging="420"/>
      </w:pPr>
      <w:rPr>
        <w:rFonts w:hint="default" w:ascii="Wingdings" w:hAnsi="Wingdings"/>
      </w:rPr>
    </w:lvl>
    <w:lvl w:ilvl="8" w:tentative="0">
      <w:start w:val="1"/>
      <w:numFmt w:val="bullet"/>
      <w:lvlText w:val=""/>
      <w:lvlJc w:val="left"/>
      <w:pPr>
        <w:ind w:left="4365" w:hanging="420"/>
      </w:pPr>
      <w:rPr>
        <w:rFonts w:hint="default" w:ascii="Wingdings" w:hAnsi="Wingdings"/>
      </w:rPr>
    </w:lvl>
  </w:abstractNum>
  <w:abstractNum w:abstractNumId="1">
    <w:nsid w:val="1276F366"/>
    <w:multiLevelType w:val="singleLevel"/>
    <w:tmpl w:val="1276F36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1201"/>
    <w:rsid w:val="0008456D"/>
    <w:rsid w:val="00095925"/>
    <w:rsid w:val="00100C7C"/>
    <w:rsid w:val="001515A1"/>
    <w:rsid w:val="00173C5E"/>
    <w:rsid w:val="001925CB"/>
    <w:rsid w:val="001A792E"/>
    <w:rsid w:val="002061F0"/>
    <w:rsid w:val="00240892"/>
    <w:rsid w:val="002760DE"/>
    <w:rsid w:val="002A6482"/>
    <w:rsid w:val="002D06BE"/>
    <w:rsid w:val="002E4B61"/>
    <w:rsid w:val="00311EBC"/>
    <w:rsid w:val="00314ADB"/>
    <w:rsid w:val="00333535"/>
    <w:rsid w:val="003428CE"/>
    <w:rsid w:val="003616FA"/>
    <w:rsid w:val="003775A9"/>
    <w:rsid w:val="003F6FA7"/>
    <w:rsid w:val="004302E9"/>
    <w:rsid w:val="0044662A"/>
    <w:rsid w:val="00486588"/>
    <w:rsid w:val="00495379"/>
    <w:rsid w:val="005248B7"/>
    <w:rsid w:val="00544631"/>
    <w:rsid w:val="00557F79"/>
    <w:rsid w:val="00574258"/>
    <w:rsid w:val="00576BED"/>
    <w:rsid w:val="00663941"/>
    <w:rsid w:val="006967B7"/>
    <w:rsid w:val="0070756D"/>
    <w:rsid w:val="00765123"/>
    <w:rsid w:val="0077086C"/>
    <w:rsid w:val="008513DE"/>
    <w:rsid w:val="00857AB4"/>
    <w:rsid w:val="00876B4E"/>
    <w:rsid w:val="008B22C7"/>
    <w:rsid w:val="008B5431"/>
    <w:rsid w:val="008E1834"/>
    <w:rsid w:val="00941936"/>
    <w:rsid w:val="00991E4A"/>
    <w:rsid w:val="009B66BB"/>
    <w:rsid w:val="009D10C0"/>
    <w:rsid w:val="009E3967"/>
    <w:rsid w:val="00A5131D"/>
    <w:rsid w:val="00A64CFA"/>
    <w:rsid w:val="00A82CA6"/>
    <w:rsid w:val="00BE0CAF"/>
    <w:rsid w:val="00C17BE8"/>
    <w:rsid w:val="00C24B90"/>
    <w:rsid w:val="00C465E4"/>
    <w:rsid w:val="00C53A80"/>
    <w:rsid w:val="00C577B0"/>
    <w:rsid w:val="00C96421"/>
    <w:rsid w:val="00CD1FA9"/>
    <w:rsid w:val="00CF33E7"/>
    <w:rsid w:val="00CF4E72"/>
    <w:rsid w:val="00D003D0"/>
    <w:rsid w:val="00D66056"/>
    <w:rsid w:val="00E466A6"/>
    <w:rsid w:val="00E55101"/>
    <w:rsid w:val="00F34F66"/>
    <w:rsid w:val="00F87C1C"/>
    <w:rsid w:val="00FD169D"/>
    <w:rsid w:val="00FF3DA9"/>
    <w:rsid w:val="01E7603C"/>
    <w:rsid w:val="02E80F26"/>
    <w:rsid w:val="04990D10"/>
    <w:rsid w:val="37587D43"/>
    <w:rsid w:val="62A74EAD"/>
    <w:rsid w:val="70B07A3E"/>
    <w:rsid w:val="CCFE67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Document Map"/>
    <w:basedOn w:val="1"/>
    <w:link w:val="21"/>
    <w:qFormat/>
    <w:uiPriority w:val="0"/>
    <w:rPr>
      <w:rFonts w:ascii="宋体"/>
      <w:sz w:val="18"/>
      <w:szCs w:val="18"/>
    </w:rPr>
  </w:style>
  <w:style w:type="paragraph" w:styleId="3">
    <w:name w:val="annotation text"/>
    <w:basedOn w:val="1"/>
    <w:link w:val="19"/>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itle"/>
    <w:basedOn w:val="1"/>
    <w:next w:val="1"/>
    <w:link w:val="16"/>
    <w:qFormat/>
    <w:uiPriority w:val="0"/>
    <w:pPr>
      <w:spacing w:before="240" w:after="60"/>
      <w:jc w:val="center"/>
      <w:outlineLvl w:val="0"/>
    </w:pPr>
    <w:rPr>
      <w:rFonts w:ascii="Cambria" w:hAnsi="Cambria"/>
      <w:b/>
      <w:bCs/>
      <w:sz w:val="32"/>
      <w:szCs w:val="32"/>
    </w:rPr>
  </w:style>
  <w:style w:type="paragraph" w:styleId="8">
    <w:name w:val="annotation subject"/>
    <w:basedOn w:val="3"/>
    <w:next w:val="3"/>
    <w:link w:val="20"/>
    <w:qFormat/>
    <w:uiPriority w:val="0"/>
    <w:rPr>
      <w:b/>
      <w:bCs/>
    </w:rPr>
  </w:style>
  <w:style w:type="character" w:styleId="11">
    <w:name w:val="Strong"/>
    <w:qFormat/>
    <w:uiPriority w:val="0"/>
    <w:rPr>
      <w:b/>
      <w:bCs/>
    </w:rPr>
  </w:style>
  <w:style w:type="character" w:styleId="12">
    <w:name w:val="page number"/>
    <w:qFormat/>
    <w:uiPriority w:val="0"/>
  </w:style>
  <w:style w:type="character" w:styleId="13">
    <w:name w:val="annotation reference"/>
    <w:qFormat/>
    <w:uiPriority w:val="0"/>
    <w:rPr>
      <w:sz w:val="21"/>
      <w:szCs w:val="21"/>
    </w:rPr>
  </w:style>
  <w:style w:type="character" w:customStyle="1" w:styleId="14">
    <w:name w:val="批注框文本 Char"/>
    <w:link w:val="4"/>
    <w:qFormat/>
    <w:uiPriority w:val="0"/>
    <w:rPr>
      <w:kern w:val="2"/>
      <w:sz w:val="18"/>
      <w:szCs w:val="18"/>
    </w:rPr>
  </w:style>
  <w:style w:type="character" w:customStyle="1" w:styleId="15">
    <w:name w:val="页脚 Char"/>
    <w:link w:val="5"/>
    <w:qFormat/>
    <w:locked/>
    <w:uiPriority w:val="99"/>
    <w:rPr>
      <w:rFonts w:eastAsia="宋体"/>
      <w:kern w:val="2"/>
      <w:sz w:val="18"/>
      <w:lang w:val="en-US" w:eastAsia="zh-CN" w:bidi="ar-SA"/>
    </w:rPr>
  </w:style>
  <w:style w:type="character" w:customStyle="1" w:styleId="16">
    <w:name w:val="标题 Char"/>
    <w:link w:val="7"/>
    <w:qFormat/>
    <w:locked/>
    <w:uiPriority w:val="0"/>
    <w:rPr>
      <w:rFonts w:ascii="Cambria" w:hAnsi="Cambria" w:eastAsia="宋体"/>
      <w:b/>
      <w:bCs/>
      <w:kern w:val="2"/>
      <w:sz w:val="32"/>
      <w:szCs w:val="32"/>
      <w:lang w:val="en-US" w:eastAsia="zh-CN" w:bidi="ar-SA"/>
    </w:rPr>
  </w:style>
  <w:style w:type="paragraph" w:styleId="17">
    <w:name w:val="List Paragraph"/>
    <w:basedOn w:val="1"/>
    <w:qFormat/>
    <w:uiPriority w:val="34"/>
    <w:pPr>
      <w:ind w:firstLine="420" w:firstLineChars="200"/>
    </w:pPr>
    <w:rPr>
      <w:rFonts w:ascii="Calibri" w:hAnsi="Calibri"/>
      <w:szCs w:val="22"/>
    </w:rPr>
  </w:style>
  <w:style w:type="paragraph" w:customStyle="1" w:styleId="18">
    <w:name w:val="_Style 17"/>
    <w:hidden/>
    <w:unhideWhenUsed/>
    <w:qFormat/>
    <w:uiPriority w:val="99"/>
    <w:rPr>
      <w:rFonts w:ascii="Times New Roman" w:hAnsi="Times New Roman" w:eastAsia="宋体" w:cs="Times New Roman"/>
      <w:kern w:val="2"/>
      <w:sz w:val="21"/>
      <w:lang w:val="en-US" w:eastAsia="zh-CN" w:bidi="ar-SA"/>
    </w:rPr>
  </w:style>
  <w:style w:type="character" w:customStyle="1" w:styleId="19">
    <w:name w:val="批注文字 Char"/>
    <w:link w:val="3"/>
    <w:qFormat/>
    <w:uiPriority w:val="0"/>
    <w:rPr>
      <w:kern w:val="2"/>
      <w:sz w:val="21"/>
    </w:rPr>
  </w:style>
  <w:style w:type="character" w:customStyle="1" w:styleId="20">
    <w:name w:val="批注主题 Char"/>
    <w:link w:val="8"/>
    <w:qFormat/>
    <w:uiPriority w:val="0"/>
    <w:rPr>
      <w:b/>
      <w:bCs/>
      <w:kern w:val="2"/>
      <w:sz w:val="21"/>
    </w:rPr>
  </w:style>
  <w:style w:type="character" w:customStyle="1" w:styleId="21">
    <w:name w:val="文档结构图 Char"/>
    <w:link w:val="2"/>
    <w:qFormat/>
    <w:uiPriority w:val="0"/>
    <w:rPr>
      <w:rFonts w:ascii="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wentinglou/C:\Users\whzhou\AppData\Local\Temp\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3</Pages>
  <Words>141</Words>
  <Characters>805</Characters>
  <Lines>6</Lines>
  <Paragraphs>1</Paragraphs>
  <TotalTime>0</TotalTime>
  <ScaleCrop>false</ScaleCrop>
  <LinksUpToDate>false</LinksUpToDate>
  <CharactersWithSpaces>945</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2022-04-24T08:48:00Z</dcterms:created>
  <dc:creator>wentinglou</dc:creator>
  <cp:lastModifiedBy>wentinglou</cp:lastModifiedBy>
  <dcterms:modified xsi:type="dcterms:W3CDTF">2025-08-25T16:16:50Z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14CCCD09E5574A58BAFA1F3CCD082BCD</vt:lpwstr>
  </property>
</Properties>
</file>