
<file path=[Content_Types].xml><?xml version="1.0" encoding="utf-8"?>
<Types xmlns="http://schemas.openxmlformats.org/package/2006/content-types">
  <Default Extension="emf" ContentType="image/x-emf"/>
  <Default Extension="bin" ContentType="application/vnd.openxmlformats-officedocument.oleObject"/>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e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0CAA088">
      <w:pPr>
        <w:jc w:val="center"/>
        <w:rPr>
          <w:rFonts w:hint="eastAsia" w:ascii="宋体" w:hAnsi="宋体"/>
          <w:b/>
          <w:sz w:val="72"/>
          <w:szCs w:val="72"/>
        </w:rPr>
      </w:pPr>
      <w:bookmarkStart w:id="0" w:name="_1595761539"/>
      <w:bookmarkEnd w:id="0"/>
      <w:bookmarkStart w:id="1" w:name="_Toc328024869"/>
      <w:bookmarkEnd w:id="1"/>
      <w:r>
        <w:rPr>
          <w:rFonts w:eastAsia="仿宋_GB2312"/>
          <w:b/>
          <w:sz w:val="28"/>
          <w:szCs w:val="28"/>
        </w:rPr>
        <w:object>
          <v:shape id="_x0000_i1025" o:spt="75" type="#_x0000_t75" style="height:40.5pt;width:211.5pt;" o:ole="t" fillcolor="#6D6D6D" filled="f" o:preferrelative="t" stroked="f" coordsize="21600,21600">
            <v:path/>
            <v:fill on="f" focussize="0,0"/>
            <v:stroke on="f" joinstyle="miter"/>
            <v:imagedata r:id="rId9" o:title=""/>
            <o:lock v:ext="edit" aspectratio="t"/>
            <w10:wrap type="none"/>
            <w10:anchorlock/>
          </v:shape>
          <o:OLEObject Type="Embed" ProgID="Word.Picture.8" ShapeID="_x0000_i1025" DrawAspect="Content" ObjectID="_1468075725" r:id="rId8">
            <o:LockedField>false</o:LockedField>
          </o:OLEObject>
        </w:object>
      </w:r>
    </w:p>
    <w:p w14:paraId="187D46DE">
      <w:pPr>
        <w:rPr>
          <w:rFonts w:hint="eastAsia" w:ascii="宋体" w:hAnsi="宋体"/>
          <w:b/>
          <w:bCs/>
          <w:sz w:val="36"/>
        </w:rPr>
      </w:pPr>
    </w:p>
    <w:p w14:paraId="191474BD">
      <w:pPr>
        <w:rPr>
          <w:rFonts w:hint="eastAsia" w:ascii="宋体" w:hAnsi="宋体"/>
          <w:b/>
          <w:bCs/>
          <w:sz w:val="36"/>
        </w:rPr>
      </w:pPr>
    </w:p>
    <w:p w14:paraId="40CF3214">
      <w:pPr>
        <w:rPr>
          <w:rFonts w:hint="eastAsia" w:ascii="宋体" w:hAnsi="宋体"/>
          <w:b/>
          <w:bCs/>
          <w:sz w:val="36"/>
        </w:rPr>
      </w:pPr>
    </w:p>
    <w:p w14:paraId="67C104AD">
      <w:pPr>
        <w:spacing w:line="720" w:lineRule="auto"/>
        <w:rPr>
          <w:rFonts w:hint="eastAsia" w:ascii="黑体" w:hAnsi="黑体" w:eastAsia="黑体"/>
          <w:b/>
          <w:bCs/>
          <w:sz w:val="44"/>
          <w:szCs w:val="44"/>
        </w:rPr>
      </w:pPr>
    </w:p>
    <w:p w14:paraId="72DD51C3">
      <w:pPr>
        <w:spacing w:line="720" w:lineRule="auto"/>
        <w:jc w:val="center"/>
        <w:rPr>
          <w:rFonts w:hint="eastAsia" w:ascii="黑体" w:hAnsi="黑体" w:eastAsia="黑体"/>
          <w:b/>
          <w:bCs/>
          <w:sz w:val="44"/>
          <w:szCs w:val="44"/>
        </w:rPr>
      </w:pPr>
      <w:r>
        <w:rPr>
          <w:rFonts w:hint="eastAsia" w:ascii="黑体" w:hAnsi="黑体" w:eastAsia="黑体"/>
          <w:b/>
          <w:bCs/>
          <w:sz w:val="44"/>
          <w:szCs w:val="44"/>
        </w:rPr>
        <w:t>上海证券交易所公开募集不动产投资信托基金（</w:t>
      </w:r>
      <w:r>
        <w:rPr>
          <w:rFonts w:hint="eastAsia" w:ascii="Times New Roman" w:hAnsi="Times New Roman" w:eastAsia="黑体"/>
          <w:b/>
          <w:bCs/>
          <w:sz w:val="44"/>
          <w:szCs w:val="44"/>
        </w:rPr>
        <w:t>REITs</w:t>
      </w:r>
      <w:r>
        <w:rPr>
          <w:rFonts w:hint="eastAsia" w:ascii="黑体" w:hAnsi="黑体" w:eastAsia="黑体"/>
          <w:b/>
          <w:bCs/>
          <w:sz w:val="44"/>
          <w:szCs w:val="44"/>
        </w:rPr>
        <w:t>）业务指南第</w:t>
      </w:r>
      <w:r>
        <w:rPr>
          <w:rFonts w:hint="eastAsia" w:ascii="Times New Roman" w:hAnsi="Times New Roman" w:eastAsia="黑体"/>
          <w:b/>
          <w:bCs/>
          <w:sz w:val="44"/>
          <w:szCs w:val="44"/>
        </w:rPr>
        <w:t>1</w:t>
      </w:r>
      <w:r>
        <w:rPr>
          <w:rFonts w:hint="eastAsia" w:ascii="黑体" w:hAnsi="黑体" w:eastAsia="黑体"/>
          <w:b/>
          <w:bCs/>
          <w:sz w:val="44"/>
          <w:szCs w:val="44"/>
        </w:rPr>
        <w:t>号</w:t>
      </w:r>
    </w:p>
    <w:p w14:paraId="2F969BC7">
      <w:pPr>
        <w:spacing w:line="720" w:lineRule="auto"/>
        <w:jc w:val="center"/>
        <w:rPr>
          <w:rFonts w:hint="eastAsia" w:ascii="黑体" w:hAnsi="黑体" w:eastAsia="黑体"/>
          <w:b/>
          <w:bCs/>
          <w:sz w:val="44"/>
          <w:szCs w:val="44"/>
        </w:rPr>
      </w:pPr>
      <w:r>
        <w:rPr>
          <w:rFonts w:hint="eastAsia" w:ascii="黑体" w:hAnsi="黑体" w:eastAsia="黑体"/>
          <w:b/>
          <w:bCs/>
          <w:sz w:val="44"/>
          <w:szCs w:val="44"/>
        </w:rPr>
        <w:t>——发售上市业务办理</w:t>
      </w:r>
    </w:p>
    <w:p w14:paraId="3FE2F789">
      <w:pPr>
        <w:rPr>
          <w:rFonts w:hint="eastAsia" w:ascii="宋体" w:hAnsi="宋体"/>
          <w:b/>
          <w:bCs/>
          <w:sz w:val="36"/>
        </w:rPr>
      </w:pPr>
    </w:p>
    <w:p w14:paraId="013F1F3C">
      <w:pPr>
        <w:rPr>
          <w:rFonts w:hint="eastAsia" w:ascii="宋体" w:hAnsi="宋体"/>
          <w:b/>
          <w:bCs/>
          <w:sz w:val="36"/>
        </w:rPr>
      </w:pPr>
    </w:p>
    <w:p w14:paraId="6D9DF9D1">
      <w:pPr>
        <w:rPr>
          <w:rFonts w:hint="eastAsia" w:ascii="宋体" w:hAnsi="宋体"/>
          <w:b/>
          <w:bCs/>
          <w:sz w:val="36"/>
        </w:rPr>
      </w:pPr>
    </w:p>
    <w:p w14:paraId="6085A988">
      <w:pPr>
        <w:jc w:val="center"/>
        <w:outlineLvl w:val="1"/>
        <w:rPr>
          <w:rFonts w:hint="eastAsia" w:ascii="宋体" w:hAnsi="宋体"/>
          <w:b/>
          <w:sz w:val="84"/>
          <w:szCs w:val="84"/>
        </w:rPr>
      </w:pPr>
    </w:p>
    <w:p w14:paraId="02C5AD49">
      <w:pPr>
        <w:jc w:val="center"/>
        <w:outlineLvl w:val="1"/>
        <w:rPr>
          <w:rFonts w:hint="eastAsia" w:ascii="宋体" w:hAnsi="宋体"/>
          <w:b/>
          <w:sz w:val="84"/>
          <w:szCs w:val="84"/>
        </w:rPr>
      </w:pPr>
    </w:p>
    <w:p w14:paraId="74958C0E">
      <w:pPr>
        <w:pStyle w:val="31"/>
        <w:widowControl w:val="0"/>
        <w:spacing w:after="120"/>
        <w:jc w:val="center"/>
        <w:rPr>
          <w:rFonts w:hint="eastAsia" w:ascii="华文楷体" w:hAnsi="华文楷体" w:eastAsia="华文楷体"/>
          <w:b/>
          <w:bCs/>
          <w:sz w:val="32"/>
          <w:szCs w:val="32"/>
          <w:lang w:eastAsia="zh-CN"/>
        </w:rPr>
      </w:pPr>
      <w:r>
        <w:rPr>
          <w:rFonts w:hint="eastAsia" w:ascii="华文楷体" w:hAnsi="华文楷体" w:eastAsia="华文楷体"/>
          <w:b/>
          <w:bCs/>
          <w:sz w:val="32"/>
          <w:szCs w:val="32"/>
          <w:lang w:eastAsia="zh-CN"/>
        </w:rPr>
        <w:t>上海证券交易所</w:t>
      </w:r>
    </w:p>
    <w:p w14:paraId="282ADA51">
      <w:pPr>
        <w:pStyle w:val="31"/>
        <w:widowControl w:val="0"/>
        <w:spacing w:after="120"/>
        <w:jc w:val="center"/>
        <w:rPr>
          <w:rFonts w:hint="eastAsia" w:ascii="华文楷体" w:hAnsi="华文楷体" w:eastAsia="华文楷体"/>
          <w:b/>
          <w:bCs/>
          <w:sz w:val="32"/>
          <w:szCs w:val="32"/>
          <w:lang w:eastAsia="zh-CN"/>
        </w:rPr>
      </w:pPr>
      <w:r>
        <w:rPr>
          <w:rFonts w:hint="eastAsia" w:eastAsia="华文楷体"/>
          <w:b/>
          <w:bCs/>
          <w:sz w:val="32"/>
          <w:szCs w:val="32"/>
          <w:lang w:eastAsia="zh-CN"/>
        </w:rPr>
        <w:t>202</w:t>
      </w:r>
      <w:r>
        <w:rPr>
          <w:rFonts w:hint="eastAsia" w:eastAsia="华文楷体"/>
          <w:b/>
          <w:bCs/>
          <w:sz w:val="32"/>
          <w:szCs w:val="32"/>
          <w:lang w:val="en-US" w:eastAsia="zh-CN"/>
        </w:rPr>
        <w:t>6</w:t>
      </w:r>
      <w:r>
        <w:rPr>
          <w:rFonts w:hint="eastAsia" w:ascii="华文楷体" w:hAnsi="华文楷体" w:eastAsia="华文楷体"/>
          <w:b/>
          <w:bCs/>
          <w:sz w:val="32"/>
          <w:szCs w:val="32"/>
          <w:lang w:eastAsia="zh-CN"/>
        </w:rPr>
        <w:t>年</w:t>
      </w:r>
      <w:r>
        <w:rPr>
          <w:rFonts w:hint="eastAsia" w:eastAsia="华文楷体"/>
          <w:b/>
          <w:bCs/>
          <w:sz w:val="32"/>
          <w:szCs w:val="32"/>
          <w:lang w:val="en-US" w:eastAsia="zh-CN"/>
        </w:rPr>
        <w:t>4</w:t>
      </w:r>
      <w:r>
        <w:rPr>
          <w:rFonts w:hint="eastAsia" w:ascii="华文楷体" w:hAnsi="华文楷体" w:eastAsia="华文楷体"/>
          <w:b/>
          <w:bCs/>
          <w:sz w:val="32"/>
          <w:szCs w:val="32"/>
          <w:lang w:eastAsia="zh-CN"/>
        </w:rPr>
        <w:t>月</w:t>
      </w:r>
    </w:p>
    <w:p w14:paraId="0F062F1E">
      <w:pPr>
        <w:widowControl/>
        <w:jc w:val="left"/>
        <w:rPr>
          <w:rFonts w:hint="eastAsia" w:ascii="华文楷体" w:hAnsi="华文楷体" w:eastAsia="华文楷体"/>
          <w:b/>
          <w:bCs/>
          <w:kern w:val="0"/>
          <w:sz w:val="32"/>
          <w:szCs w:val="32"/>
        </w:rPr>
      </w:pPr>
    </w:p>
    <w:p w14:paraId="7B4A55A1">
      <w:pPr>
        <w:pStyle w:val="32"/>
        <w:jc w:val="center"/>
        <w:rPr>
          <w:sz w:val="32"/>
          <w:szCs w:val="32"/>
        </w:rPr>
      </w:pPr>
      <w:r>
        <w:rPr>
          <w:sz w:val="32"/>
          <w:szCs w:val="32"/>
          <w:lang w:val="zh-CN"/>
        </w:rPr>
        <w:t>目</w:t>
      </w:r>
      <w:r>
        <w:rPr>
          <w:rFonts w:hint="eastAsia"/>
          <w:sz w:val="32"/>
          <w:szCs w:val="32"/>
          <w:lang w:val="zh-CN"/>
        </w:rPr>
        <w:t xml:space="preserve">  </w:t>
      </w:r>
      <w:r>
        <w:rPr>
          <w:sz w:val="32"/>
          <w:szCs w:val="32"/>
          <w:lang w:val="zh-CN"/>
        </w:rPr>
        <w:t>录</w:t>
      </w:r>
    </w:p>
    <w:p w14:paraId="5EE8424D">
      <w:pPr>
        <w:pStyle w:val="11"/>
        <w:tabs>
          <w:tab w:val="right" w:leader="dot" w:pos="8306"/>
        </w:tabs>
      </w:pPr>
      <w:r>
        <w:rPr>
          <w:rFonts w:hint="eastAsia" w:ascii="Times New Roman" w:hAnsi="Times New Roman" w:eastAsia="仿宋_GB2312"/>
          <w:sz w:val="24"/>
          <w:szCs w:val="24"/>
        </w:rPr>
        <w:fldChar w:fldCharType="begin"/>
      </w:r>
      <w:r>
        <w:rPr>
          <w:rFonts w:ascii="Times New Roman" w:hAnsi="Times New Roman" w:eastAsia="仿宋_GB2312"/>
          <w:sz w:val="24"/>
          <w:szCs w:val="24"/>
        </w:rPr>
        <w:instrText xml:space="preserve"> TOC \o "1-3" \h \z \u </w:instrText>
      </w:r>
      <w:r>
        <w:rPr>
          <w:rFonts w:hint="eastAsia" w:ascii="Times New Roman" w:hAnsi="Times New Roman" w:eastAsia="仿宋_GB2312"/>
          <w:sz w:val="24"/>
          <w:szCs w:val="24"/>
        </w:rPr>
        <w:fldChar w:fldCharType="separate"/>
      </w:r>
      <w:r>
        <w:rPr>
          <w:rFonts w:hint="eastAsia" w:ascii="Times New Roman" w:hAnsi="Times New Roman" w:eastAsia="仿宋_GB2312"/>
          <w:szCs w:val="24"/>
        </w:rPr>
        <w:fldChar w:fldCharType="begin"/>
      </w:r>
      <w:r>
        <w:rPr>
          <w:rFonts w:hint="eastAsia" w:ascii="Times New Roman" w:hAnsi="Times New Roman" w:eastAsia="仿宋_GB2312"/>
          <w:szCs w:val="24"/>
        </w:rPr>
        <w:instrText xml:space="preserve"> HYPERLINK \l _Toc1613518987 </w:instrText>
      </w:r>
      <w:r>
        <w:rPr>
          <w:rFonts w:hint="eastAsia" w:ascii="Times New Roman" w:hAnsi="Times New Roman" w:eastAsia="仿宋_GB2312"/>
          <w:szCs w:val="24"/>
        </w:rPr>
        <w:fldChar w:fldCharType="separate"/>
      </w:r>
      <w:r>
        <w:rPr>
          <w:rFonts w:hint="eastAsia" w:ascii="黑体" w:hAnsi="黑体" w:eastAsia="黑体"/>
          <w:szCs w:val="32"/>
        </w:rPr>
        <w:t>第一章  总则</w:t>
      </w:r>
      <w:r>
        <w:tab/>
      </w:r>
      <w:r>
        <w:fldChar w:fldCharType="begin"/>
      </w:r>
      <w:r>
        <w:instrText xml:space="preserve"> PAGEREF _Toc1613518987 \h </w:instrText>
      </w:r>
      <w:r>
        <w:fldChar w:fldCharType="separate"/>
      </w:r>
      <w:r>
        <w:t>4</w:t>
      </w:r>
      <w:r>
        <w:fldChar w:fldCharType="end"/>
      </w:r>
      <w:r>
        <w:rPr>
          <w:rFonts w:hint="eastAsia" w:ascii="Times New Roman" w:hAnsi="Times New Roman" w:eastAsia="仿宋_GB2312"/>
          <w:szCs w:val="24"/>
        </w:rPr>
        <w:fldChar w:fldCharType="end"/>
      </w:r>
    </w:p>
    <w:p w14:paraId="499EAB66">
      <w:pPr>
        <w:pStyle w:val="11"/>
        <w:tabs>
          <w:tab w:val="right" w:leader="dot" w:pos="8306"/>
        </w:tabs>
      </w:pPr>
      <w:r>
        <w:rPr>
          <w:rFonts w:hint="eastAsia" w:ascii="Times New Roman" w:hAnsi="Times New Roman" w:eastAsia="仿宋_GB2312"/>
          <w:szCs w:val="24"/>
        </w:rPr>
        <w:fldChar w:fldCharType="begin"/>
      </w:r>
      <w:r>
        <w:rPr>
          <w:rFonts w:hint="eastAsia" w:ascii="Times New Roman" w:hAnsi="Times New Roman" w:eastAsia="仿宋_GB2312"/>
          <w:szCs w:val="24"/>
        </w:rPr>
        <w:instrText xml:space="preserve"> HYPERLINK \l _Toc2099394836 </w:instrText>
      </w:r>
      <w:r>
        <w:rPr>
          <w:rFonts w:hint="eastAsia" w:ascii="Times New Roman" w:hAnsi="Times New Roman" w:eastAsia="仿宋_GB2312"/>
          <w:szCs w:val="24"/>
        </w:rPr>
        <w:fldChar w:fldCharType="separate"/>
      </w:r>
      <w:r>
        <w:rPr>
          <w:rFonts w:hint="eastAsia" w:ascii="黑体" w:hAnsi="黑体" w:eastAsia="黑体"/>
          <w:szCs w:val="32"/>
        </w:rPr>
        <w:t>第二章  发售</w:t>
      </w:r>
      <w:r>
        <w:tab/>
      </w:r>
      <w:r>
        <w:fldChar w:fldCharType="begin"/>
      </w:r>
      <w:r>
        <w:instrText xml:space="preserve"> PAGEREF _Toc2099394836 \h </w:instrText>
      </w:r>
      <w:r>
        <w:fldChar w:fldCharType="separate"/>
      </w:r>
      <w:r>
        <w:t>6</w:t>
      </w:r>
      <w:r>
        <w:fldChar w:fldCharType="end"/>
      </w:r>
      <w:r>
        <w:rPr>
          <w:rFonts w:hint="eastAsia" w:ascii="Times New Roman" w:hAnsi="Times New Roman" w:eastAsia="仿宋_GB2312"/>
          <w:szCs w:val="24"/>
        </w:rPr>
        <w:fldChar w:fldCharType="end"/>
      </w:r>
    </w:p>
    <w:p w14:paraId="3CA18E22">
      <w:pPr>
        <w:pStyle w:val="12"/>
        <w:tabs>
          <w:tab w:val="right" w:leader="dot" w:pos="8306"/>
        </w:tabs>
      </w:pPr>
      <w:r>
        <w:rPr>
          <w:rFonts w:hint="eastAsia" w:ascii="Times New Roman" w:hAnsi="Times New Roman" w:eastAsia="仿宋_GB2312"/>
          <w:szCs w:val="24"/>
        </w:rPr>
        <w:fldChar w:fldCharType="begin"/>
      </w:r>
      <w:r>
        <w:rPr>
          <w:rFonts w:hint="eastAsia" w:ascii="Times New Roman" w:hAnsi="Times New Roman" w:eastAsia="仿宋_GB2312"/>
          <w:szCs w:val="24"/>
        </w:rPr>
        <w:instrText xml:space="preserve"> HYPERLINK \l _Toc1627300373 </w:instrText>
      </w:r>
      <w:r>
        <w:rPr>
          <w:rFonts w:hint="eastAsia" w:ascii="Times New Roman" w:hAnsi="Times New Roman" w:eastAsia="仿宋_GB2312"/>
          <w:szCs w:val="24"/>
        </w:rPr>
        <w:fldChar w:fldCharType="separate"/>
      </w:r>
      <w:r>
        <w:rPr>
          <w:rFonts w:hint="eastAsia" w:ascii="黑体" w:hAnsi="黑体" w:eastAsia="黑体"/>
          <w:szCs w:val="32"/>
        </w:rPr>
        <w:t xml:space="preserve">一、 </w:t>
      </w:r>
      <w:r>
        <w:rPr>
          <w:rFonts w:hint="eastAsia" w:ascii="黑体" w:hAnsi="黑体" w:eastAsia="黑体"/>
          <w:szCs w:val="30"/>
        </w:rPr>
        <w:t>发售前工作</w:t>
      </w:r>
      <w:r>
        <w:tab/>
      </w:r>
      <w:r>
        <w:fldChar w:fldCharType="begin"/>
      </w:r>
      <w:r>
        <w:instrText xml:space="preserve"> PAGEREF _Toc1627300373 \h </w:instrText>
      </w:r>
      <w:r>
        <w:fldChar w:fldCharType="separate"/>
      </w:r>
      <w:r>
        <w:t>6</w:t>
      </w:r>
      <w:r>
        <w:fldChar w:fldCharType="end"/>
      </w:r>
      <w:r>
        <w:rPr>
          <w:rFonts w:hint="eastAsia" w:ascii="Times New Roman" w:hAnsi="Times New Roman" w:eastAsia="仿宋_GB2312"/>
          <w:szCs w:val="24"/>
        </w:rPr>
        <w:fldChar w:fldCharType="end"/>
      </w:r>
    </w:p>
    <w:p w14:paraId="4118DDFE">
      <w:pPr>
        <w:pStyle w:val="7"/>
        <w:tabs>
          <w:tab w:val="right" w:leader="dot" w:pos="8306"/>
        </w:tabs>
      </w:pPr>
      <w:r>
        <w:rPr>
          <w:rFonts w:hint="eastAsia" w:ascii="Times New Roman" w:hAnsi="Times New Roman" w:eastAsia="仿宋_GB2312"/>
          <w:szCs w:val="24"/>
        </w:rPr>
        <w:fldChar w:fldCharType="begin"/>
      </w:r>
      <w:r>
        <w:rPr>
          <w:rFonts w:hint="eastAsia" w:ascii="Times New Roman" w:hAnsi="Times New Roman" w:eastAsia="仿宋_GB2312"/>
          <w:szCs w:val="24"/>
        </w:rPr>
        <w:instrText xml:space="preserve"> HYPERLINK \l _Toc142677127 </w:instrText>
      </w:r>
      <w:r>
        <w:rPr>
          <w:rFonts w:hint="eastAsia" w:ascii="Times New Roman" w:hAnsi="Times New Roman" w:eastAsia="仿宋_GB2312"/>
          <w:szCs w:val="24"/>
        </w:rPr>
        <w:fldChar w:fldCharType="separate"/>
      </w:r>
      <w:r>
        <w:rPr>
          <w:rFonts w:hint="default" w:ascii="Times New Roman" w:hAnsi="Times New Roman" w:eastAsia="仿宋_GB2312" w:cs="Times New Roman"/>
          <w:bCs/>
          <w:szCs w:val="28"/>
        </w:rPr>
        <w:t xml:space="preserve">(一) </w:t>
      </w:r>
      <w:r>
        <w:rPr>
          <w:rFonts w:hint="eastAsia" w:ascii="仿宋_GB2312" w:hAnsi="宋体" w:eastAsia="仿宋_GB2312"/>
          <w:bCs/>
          <w:szCs w:val="28"/>
        </w:rPr>
        <w:t>数字证书申请</w:t>
      </w:r>
      <w:r>
        <w:tab/>
      </w:r>
      <w:r>
        <w:fldChar w:fldCharType="begin"/>
      </w:r>
      <w:r>
        <w:instrText xml:space="preserve"> PAGEREF _Toc142677127 \h </w:instrText>
      </w:r>
      <w:r>
        <w:fldChar w:fldCharType="separate"/>
      </w:r>
      <w:r>
        <w:t>6</w:t>
      </w:r>
      <w:r>
        <w:fldChar w:fldCharType="end"/>
      </w:r>
      <w:r>
        <w:rPr>
          <w:rFonts w:hint="eastAsia" w:ascii="Times New Roman" w:hAnsi="Times New Roman" w:eastAsia="仿宋_GB2312"/>
          <w:szCs w:val="24"/>
        </w:rPr>
        <w:fldChar w:fldCharType="end"/>
      </w:r>
    </w:p>
    <w:p w14:paraId="572A5A2D">
      <w:pPr>
        <w:pStyle w:val="7"/>
        <w:tabs>
          <w:tab w:val="right" w:leader="dot" w:pos="8306"/>
        </w:tabs>
      </w:pPr>
      <w:r>
        <w:rPr>
          <w:rFonts w:hint="eastAsia" w:ascii="Times New Roman" w:hAnsi="Times New Roman" w:eastAsia="仿宋_GB2312"/>
          <w:szCs w:val="24"/>
        </w:rPr>
        <w:fldChar w:fldCharType="begin"/>
      </w:r>
      <w:r>
        <w:rPr>
          <w:rFonts w:hint="eastAsia" w:ascii="Times New Roman" w:hAnsi="Times New Roman" w:eastAsia="仿宋_GB2312"/>
          <w:szCs w:val="24"/>
        </w:rPr>
        <w:instrText xml:space="preserve"> HYPERLINK \l _Toc1134442237 </w:instrText>
      </w:r>
      <w:r>
        <w:rPr>
          <w:rFonts w:hint="eastAsia" w:ascii="Times New Roman" w:hAnsi="Times New Roman" w:eastAsia="仿宋_GB2312"/>
          <w:szCs w:val="24"/>
        </w:rPr>
        <w:fldChar w:fldCharType="separate"/>
      </w:r>
      <w:r>
        <w:rPr>
          <w:rFonts w:hint="default" w:ascii="Times New Roman" w:hAnsi="Times New Roman" w:eastAsia="仿宋_GB2312" w:cs="Times New Roman"/>
          <w:bCs/>
          <w:szCs w:val="28"/>
        </w:rPr>
        <w:t xml:space="preserve">(二) </w:t>
      </w:r>
      <w:r>
        <w:rPr>
          <w:rFonts w:hint="eastAsia" w:ascii="仿宋_GB2312" w:hAnsi="宋体" w:eastAsia="仿宋_GB2312"/>
          <w:bCs/>
          <w:szCs w:val="28"/>
        </w:rPr>
        <w:t>全天候环境测试</w:t>
      </w:r>
      <w:r>
        <w:tab/>
      </w:r>
      <w:r>
        <w:fldChar w:fldCharType="begin"/>
      </w:r>
      <w:r>
        <w:instrText xml:space="preserve"> PAGEREF _Toc1134442237 \h </w:instrText>
      </w:r>
      <w:r>
        <w:fldChar w:fldCharType="separate"/>
      </w:r>
      <w:r>
        <w:t>7</w:t>
      </w:r>
      <w:r>
        <w:fldChar w:fldCharType="end"/>
      </w:r>
      <w:r>
        <w:rPr>
          <w:rFonts w:hint="eastAsia" w:ascii="Times New Roman" w:hAnsi="Times New Roman" w:eastAsia="仿宋_GB2312"/>
          <w:szCs w:val="24"/>
        </w:rPr>
        <w:fldChar w:fldCharType="end"/>
      </w:r>
    </w:p>
    <w:p w14:paraId="138DFF5E">
      <w:pPr>
        <w:pStyle w:val="7"/>
        <w:tabs>
          <w:tab w:val="right" w:leader="dot" w:pos="8306"/>
        </w:tabs>
      </w:pPr>
      <w:r>
        <w:rPr>
          <w:rFonts w:hint="eastAsia" w:ascii="Times New Roman" w:hAnsi="Times New Roman" w:eastAsia="仿宋_GB2312"/>
          <w:szCs w:val="24"/>
        </w:rPr>
        <w:fldChar w:fldCharType="begin"/>
      </w:r>
      <w:r>
        <w:rPr>
          <w:rFonts w:hint="eastAsia" w:ascii="Times New Roman" w:hAnsi="Times New Roman" w:eastAsia="仿宋_GB2312"/>
          <w:szCs w:val="24"/>
        </w:rPr>
        <w:instrText xml:space="preserve"> HYPERLINK \l _Toc1572953554 </w:instrText>
      </w:r>
      <w:r>
        <w:rPr>
          <w:rFonts w:hint="eastAsia" w:ascii="Times New Roman" w:hAnsi="Times New Roman" w:eastAsia="仿宋_GB2312"/>
          <w:szCs w:val="24"/>
        </w:rPr>
        <w:fldChar w:fldCharType="separate"/>
      </w:r>
      <w:r>
        <w:rPr>
          <w:rFonts w:hint="default" w:ascii="Times New Roman" w:hAnsi="Times New Roman" w:eastAsia="仿宋_GB2312" w:cs="Times New Roman"/>
          <w:bCs/>
          <w:szCs w:val="28"/>
        </w:rPr>
        <w:t xml:space="preserve">(三) </w:t>
      </w:r>
      <w:r>
        <w:rPr>
          <w:rFonts w:hint="eastAsia" w:ascii="仿宋_GB2312" w:hAnsi="宋体" w:eastAsia="仿宋_GB2312"/>
          <w:bCs/>
          <w:szCs w:val="28"/>
        </w:rPr>
        <w:t>代码、简称申请</w:t>
      </w:r>
      <w:r>
        <w:tab/>
      </w:r>
      <w:r>
        <w:fldChar w:fldCharType="begin"/>
      </w:r>
      <w:r>
        <w:instrText xml:space="preserve"> PAGEREF _Toc1572953554 \h </w:instrText>
      </w:r>
      <w:r>
        <w:fldChar w:fldCharType="separate"/>
      </w:r>
      <w:r>
        <w:t>9</w:t>
      </w:r>
      <w:r>
        <w:fldChar w:fldCharType="end"/>
      </w:r>
      <w:r>
        <w:rPr>
          <w:rFonts w:hint="eastAsia" w:ascii="Times New Roman" w:hAnsi="Times New Roman" w:eastAsia="仿宋_GB2312"/>
          <w:szCs w:val="24"/>
        </w:rPr>
        <w:fldChar w:fldCharType="end"/>
      </w:r>
    </w:p>
    <w:p w14:paraId="23CA0F13">
      <w:pPr>
        <w:pStyle w:val="7"/>
        <w:tabs>
          <w:tab w:val="right" w:leader="dot" w:pos="8306"/>
        </w:tabs>
      </w:pPr>
      <w:r>
        <w:rPr>
          <w:rFonts w:hint="eastAsia" w:ascii="Times New Roman" w:hAnsi="Times New Roman" w:eastAsia="仿宋_GB2312"/>
          <w:szCs w:val="24"/>
        </w:rPr>
        <w:fldChar w:fldCharType="begin"/>
      </w:r>
      <w:r>
        <w:rPr>
          <w:rFonts w:hint="eastAsia" w:ascii="Times New Roman" w:hAnsi="Times New Roman" w:eastAsia="仿宋_GB2312"/>
          <w:szCs w:val="24"/>
        </w:rPr>
        <w:instrText xml:space="preserve"> HYPERLINK \l _Toc839648486 </w:instrText>
      </w:r>
      <w:r>
        <w:rPr>
          <w:rFonts w:hint="eastAsia" w:ascii="Times New Roman" w:hAnsi="Times New Roman" w:eastAsia="仿宋_GB2312"/>
          <w:szCs w:val="24"/>
        </w:rPr>
        <w:fldChar w:fldCharType="separate"/>
      </w:r>
      <w:r>
        <w:rPr>
          <w:rFonts w:hint="default" w:ascii="Times New Roman" w:hAnsi="Times New Roman" w:eastAsia="仿宋_GB2312" w:cs="Times New Roman"/>
          <w:bCs/>
          <w:szCs w:val="28"/>
        </w:rPr>
        <w:t xml:space="preserve">(四) </w:t>
      </w:r>
      <w:r>
        <w:rPr>
          <w:rFonts w:hint="eastAsia" w:ascii="仿宋_GB2312" w:hAnsi="宋体" w:eastAsia="仿宋_GB2312"/>
          <w:bCs/>
          <w:szCs w:val="28"/>
        </w:rPr>
        <w:t>询价平台发行人指定</w:t>
      </w:r>
      <w:r>
        <w:tab/>
      </w:r>
      <w:r>
        <w:fldChar w:fldCharType="begin"/>
      </w:r>
      <w:r>
        <w:instrText xml:space="preserve"> PAGEREF _Toc839648486 \h </w:instrText>
      </w:r>
      <w:r>
        <w:fldChar w:fldCharType="separate"/>
      </w:r>
      <w:r>
        <w:t>11</w:t>
      </w:r>
      <w:r>
        <w:fldChar w:fldCharType="end"/>
      </w:r>
      <w:r>
        <w:rPr>
          <w:rFonts w:hint="eastAsia" w:ascii="Times New Roman" w:hAnsi="Times New Roman" w:eastAsia="仿宋_GB2312"/>
          <w:szCs w:val="24"/>
        </w:rPr>
        <w:fldChar w:fldCharType="end"/>
      </w:r>
    </w:p>
    <w:p w14:paraId="60B75E00">
      <w:pPr>
        <w:pStyle w:val="12"/>
        <w:tabs>
          <w:tab w:val="right" w:leader="dot" w:pos="8306"/>
        </w:tabs>
      </w:pPr>
      <w:r>
        <w:rPr>
          <w:rFonts w:hint="eastAsia" w:ascii="Times New Roman" w:hAnsi="Times New Roman" w:eastAsia="仿宋_GB2312"/>
          <w:szCs w:val="24"/>
        </w:rPr>
        <w:fldChar w:fldCharType="begin"/>
      </w:r>
      <w:r>
        <w:rPr>
          <w:rFonts w:hint="eastAsia" w:ascii="Times New Roman" w:hAnsi="Times New Roman" w:eastAsia="仿宋_GB2312"/>
          <w:szCs w:val="24"/>
        </w:rPr>
        <w:instrText xml:space="preserve"> HYPERLINK \l _Toc165136130 </w:instrText>
      </w:r>
      <w:r>
        <w:rPr>
          <w:rFonts w:hint="eastAsia" w:ascii="Times New Roman" w:hAnsi="Times New Roman" w:eastAsia="仿宋_GB2312"/>
          <w:szCs w:val="24"/>
        </w:rPr>
        <w:fldChar w:fldCharType="separate"/>
      </w:r>
      <w:r>
        <w:rPr>
          <w:rFonts w:hint="eastAsia" w:ascii="黑体" w:hAnsi="黑体" w:eastAsia="黑体"/>
          <w:szCs w:val="32"/>
        </w:rPr>
        <w:t xml:space="preserve">二、 </w:t>
      </w:r>
      <w:r>
        <w:rPr>
          <w:rFonts w:hint="eastAsia" w:ascii="黑体" w:hAnsi="黑体" w:eastAsia="黑体"/>
          <w:szCs w:val="30"/>
        </w:rPr>
        <w:t>询价</w:t>
      </w:r>
      <w:r>
        <w:tab/>
      </w:r>
      <w:r>
        <w:fldChar w:fldCharType="begin"/>
      </w:r>
      <w:r>
        <w:instrText xml:space="preserve"> PAGEREF _Toc165136130 \h </w:instrText>
      </w:r>
      <w:r>
        <w:fldChar w:fldCharType="separate"/>
      </w:r>
      <w:r>
        <w:t>13</w:t>
      </w:r>
      <w:r>
        <w:fldChar w:fldCharType="end"/>
      </w:r>
      <w:r>
        <w:rPr>
          <w:rFonts w:hint="eastAsia" w:ascii="Times New Roman" w:hAnsi="Times New Roman" w:eastAsia="仿宋_GB2312"/>
          <w:szCs w:val="24"/>
        </w:rPr>
        <w:fldChar w:fldCharType="end"/>
      </w:r>
    </w:p>
    <w:p w14:paraId="370C5581">
      <w:pPr>
        <w:pStyle w:val="7"/>
        <w:tabs>
          <w:tab w:val="right" w:leader="dot" w:pos="8306"/>
        </w:tabs>
      </w:pPr>
      <w:r>
        <w:rPr>
          <w:rFonts w:hint="eastAsia" w:ascii="Times New Roman" w:hAnsi="Times New Roman" w:eastAsia="仿宋_GB2312"/>
          <w:szCs w:val="24"/>
        </w:rPr>
        <w:fldChar w:fldCharType="begin"/>
      </w:r>
      <w:r>
        <w:rPr>
          <w:rFonts w:hint="eastAsia" w:ascii="Times New Roman" w:hAnsi="Times New Roman" w:eastAsia="仿宋_GB2312"/>
          <w:szCs w:val="24"/>
        </w:rPr>
        <w:instrText xml:space="preserve"> HYPERLINK \l _Toc750519532 </w:instrText>
      </w:r>
      <w:r>
        <w:rPr>
          <w:rFonts w:hint="eastAsia" w:ascii="Times New Roman" w:hAnsi="Times New Roman" w:eastAsia="仿宋_GB2312"/>
          <w:szCs w:val="24"/>
        </w:rPr>
        <w:fldChar w:fldCharType="separate"/>
      </w:r>
      <w:r>
        <w:rPr>
          <w:rFonts w:hint="eastAsia" w:ascii="仿宋_GB2312" w:hAnsi="宋体" w:eastAsia="仿宋_GB2312"/>
          <w:szCs w:val="28"/>
        </w:rPr>
        <w:t>(一) 发售申请与受理</w:t>
      </w:r>
      <w:r>
        <w:tab/>
      </w:r>
      <w:r>
        <w:fldChar w:fldCharType="begin"/>
      </w:r>
      <w:r>
        <w:instrText xml:space="preserve"> PAGEREF _Toc750519532 \h </w:instrText>
      </w:r>
      <w:r>
        <w:fldChar w:fldCharType="separate"/>
      </w:r>
      <w:r>
        <w:t>13</w:t>
      </w:r>
      <w:r>
        <w:fldChar w:fldCharType="end"/>
      </w:r>
      <w:r>
        <w:rPr>
          <w:rFonts w:hint="eastAsia" w:ascii="Times New Roman" w:hAnsi="Times New Roman" w:eastAsia="仿宋_GB2312"/>
          <w:szCs w:val="24"/>
        </w:rPr>
        <w:fldChar w:fldCharType="end"/>
      </w:r>
    </w:p>
    <w:p w14:paraId="1B487345">
      <w:pPr>
        <w:pStyle w:val="7"/>
        <w:tabs>
          <w:tab w:val="right" w:leader="dot" w:pos="8306"/>
        </w:tabs>
      </w:pPr>
      <w:r>
        <w:rPr>
          <w:rFonts w:hint="eastAsia" w:ascii="Times New Roman" w:hAnsi="Times New Roman" w:eastAsia="仿宋_GB2312"/>
          <w:szCs w:val="24"/>
        </w:rPr>
        <w:fldChar w:fldCharType="begin"/>
      </w:r>
      <w:r>
        <w:rPr>
          <w:rFonts w:hint="eastAsia" w:ascii="Times New Roman" w:hAnsi="Times New Roman" w:eastAsia="仿宋_GB2312"/>
          <w:szCs w:val="24"/>
        </w:rPr>
        <w:instrText xml:space="preserve"> HYPERLINK \l _Toc231514143 </w:instrText>
      </w:r>
      <w:r>
        <w:rPr>
          <w:rFonts w:hint="eastAsia" w:ascii="Times New Roman" w:hAnsi="Times New Roman" w:eastAsia="仿宋_GB2312"/>
          <w:szCs w:val="24"/>
        </w:rPr>
        <w:fldChar w:fldCharType="separate"/>
      </w:r>
      <w:r>
        <w:rPr>
          <w:rFonts w:hint="eastAsia" w:ascii="仿宋_GB2312" w:hAnsi="宋体" w:eastAsia="仿宋_GB2312"/>
          <w:szCs w:val="28"/>
        </w:rPr>
        <w:t>(二) 披露《询价公告》</w:t>
      </w:r>
      <w:r>
        <w:tab/>
      </w:r>
      <w:r>
        <w:fldChar w:fldCharType="begin"/>
      </w:r>
      <w:r>
        <w:instrText xml:space="preserve"> PAGEREF _Toc231514143 \h </w:instrText>
      </w:r>
      <w:r>
        <w:fldChar w:fldCharType="separate"/>
      </w:r>
      <w:r>
        <w:t>15</w:t>
      </w:r>
      <w:r>
        <w:fldChar w:fldCharType="end"/>
      </w:r>
      <w:r>
        <w:rPr>
          <w:rFonts w:hint="eastAsia" w:ascii="Times New Roman" w:hAnsi="Times New Roman" w:eastAsia="仿宋_GB2312"/>
          <w:szCs w:val="24"/>
        </w:rPr>
        <w:fldChar w:fldCharType="end"/>
      </w:r>
    </w:p>
    <w:p w14:paraId="4F1EA866">
      <w:pPr>
        <w:pStyle w:val="7"/>
        <w:tabs>
          <w:tab w:val="right" w:leader="dot" w:pos="8306"/>
        </w:tabs>
      </w:pPr>
      <w:r>
        <w:rPr>
          <w:rFonts w:hint="eastAsia" w:ascii="Times New Roman" w:hAnsi="Times New Roman" w:eastAsia="仿宋_GB2312"/>
          <w:szCs w:val="24"/>
        </w:rPr>
        <w:fldChar w:fldCharType="begin"/>
      </w:r>
      <w:r>
        <w:rPr>
          <w:rFonts w:hint="eastAsia" w:ascii="Times New Roman" w:hAnsi="Times New Roman" w:eastAsia="仿宋_GB2312"/>
          <w:szCs w:val="24"/>
        </w:rPr>
        <w:instrText xml:space="preserve"> HYPERLINK \l _Toc992980503 </w:instrText>
      </w:r>
      <w:r>
        <w:rPr>
          <w:rFonts w:hint="eastAsia" w:ascii="Times New Roman" w:hAnsi="Times New Roman" w:eastAsia="仿宋_GB2312"/>
          <w:szCs w:val="24"/>
        </w:rPr>
        <w:fldChar w:fldCharType="separate"/>
      </w:r>
      <w:r>
        <w:rPr>
          <w:rFonts w:hint="eastAsia" w:ascii="仿宋_GB2312" w:hAnsi="宋体" w:eastAsia="仿宋_GB2312"/>
          <w:szCs w:val="28"/>
        </w:rPr>
        <w:t>(三) 网下投资者询价</w:t>
      </w:r>
      <w:r>
        <w:tab/>
      </w:r>
      <w:r>
        <w:fldChar w:fldCharType="begin"/>
      </w:r>
      <w:r>
        <w:instrText xml:space="preserve"> PAGEREF _Toc992980503 \h </w:instrText>
      </w:r>
      <w:r>
        <w:fldChar w:fldCharType="separate"/>
      </w:r>
      <w:r>
        <w:t>15</w:t>
      </w:r>
      <w:r>
        <w:fldChar w:fldCharType="end"/>
      </w:r>
      <w:r>
        <w:rPr>
          <w:rFonts w:hint="eastAsia" w:ascii="Times New Roman" w:hAnsi="Times New Roman" w:eastAsia="仿宋_GB2312"/>
          <w:szCs w:val="24"/>
        </w:rPr>
        <w:fldChar w:fldCharType="end"/>
      </w:r>
    </w:p>
    <w:p w14:paraId="7111A1A7">
      <w:pPr>
        <w:pStyle w:val="12"/>
        <w:tabs>
          <w:tab w:val="right" w:leader="dot" w:pos="8306"/>
        </w:tabs>
      </w:pPr>
      <w:r>
        <w:rPr>
          <w:rFonts w:hint="eastAsia" w:ascii="Times New Roman" w:hAnsi="Times New Roman" w:eastAsia="仿宋_GB2312"/>
          <w:szCs w:val="24"/>
        </w:rPr>
        <w:fldChar w:fldCharType="begin"/>
      </w:r>
      <w:r>
        <w:rPr>
          <w:rFonts w:hint="eastAsia" w:ascii="Times New Roman" w:hAnsi="Times New Roman" w:eastAsia="仿宋_GB2312"/>
          <w:szCs w:val="24"/>
        </w:rPr>
        <w:instrText xml:space="preserve"> HYPERLINK \l _Toc100429943 </w:instrText>
      </w:r>
      <w:r>
        <w:rPr>
          <w:rFonts w:hint="eastAsia" w:ascii="Times New Roman" w:hAnsi="Times New Roman" w:eastAsia="仿宋_GB2312"/>
          <w:szCs w:val="24"/>
        </w:rPr>
        <w:fldChar w:fldCharType="separate"/>
      </w:r>
      <w:r>
        <w:rPr>
          <w:rFonts w:hint="eastAsia" w:ascii="黑体" w:hAnsi="黑体" w:eastAsia="黑体"/>
          <w:szCs w:val="32"/>
        </w:rPr>
        <w:t xml:space="preserve">三、 </w:t>
      </w:r>
      <w:r>
        <w:rPr>
          <w:rFonts w:hint="eastAsia" w:ascii="黑体" w:hAnsi="黑体" w:eastAsia="黑体"/>
          <w:szCs w:val="30"/>
        </w:rPr>
        <w:t>认购</w:t>
      </w:r>
      <w:r>
        <w:tab/>
      </w:r>
      <w:r>
        <w:fldChar w:fldCharType="begin"/>
      </w:r>
      <w:r>
        <w:instrText xml:space="preserve"> PAGEREF _Toc100429943 \h </w:instrText>
      </w:r>
      <w:r>
        <w:fldChar w:fldCharType="separate"/>
      </w:r>
      <w:r>
        <w:t>19</w:t>
      </w:r>
      <w:r>
        <w:fldChar w:fldCharType="end"/>
      </w:r>
      <w:r>
        <w:rPr>
          <w:rFonts w:hint="eastAsia" w:ascii="Times New Roman" w:hAnsi="Times New Roman" w:eastAsia="仿宋_GB2312"/>
          <w:szCs w:val="24"/>
        </w:rPr>
        <w:fldChar w:fldCharType="end"/>
      </w:r>
    </w:p>
    <w:p w14:paraId="148BC7D2">
      <w:pPr>
        <w:pStyle w:val="7"/>
        <w:tabs>
          <w:tab w:val="right" w:leader="dot" w:pos="8306"/>
        </w:tabs>
      </w:pPr>
      <w:r>
        <w:rPr>
          <w:rFonts w:hint="eastAsia" w:ascii="Times New Roman" w:hAnsi="Times New Roman" w:eastAsia="仿宋_GB2312"/>
          <w:szCs w:val="24"/>
        </w:rPr>
        <w:fldChar w:fldCharType="begin"/>
      </w:r>
      <w:r>
        <w:rPr>
          <w:rFonts w:hint="eastAsia" w:ascii="Times New Roman" w:hAnsi="Times New Roman" w:eastAsia="仿宋_GB2312"/>
          <w:szCs w:val="24"/>
        </w:rPr>
        <w:instrText xml:space="preserve"> HYPERLINK \l _Toc378735255 </w:instrText>
      </w:r>
      <w:r>
        <w:rPr>
          <w:rFonts w:hint="eastAsia" w:ascii="Times New Roman" w:hAnsi="Times New Roman" w:eastAsia="仿宋_GB2312"/>
          <w:szCs w:val="24"/>
        </w:rPr>
        <w:fldChar w:fldCharType="separate"/>
      </w:r>
      <w:r>
        <w:rPr>
          <w:rFonts w:hint="eastAsia" w:ascii="仿宋_GB2312" w:hAnsi="宋体" w:eastAsia="仿宋_GB2312"/>
          <w:szCs w:val="28"/>
        </w:rPr>
        <w:t>(一) 认购业务申请与受理</w:t>
      </w:r>
      <w:r>
        <w:tab/>
      </w:r>
      <w:r>
        <w:fldChar w:fldCharType="begin"/>
      </w:r>
      <w:r>
        <w:instrText xml:space="preserve"> PAGEREF _Toc378735255 \h </w:instrText>
      </w:r>
      <w:r>
        <w:fldChar w:fldCharType="separate"/>
      </w:r>
      <w:r>
        <w:t>19</w:t>
      </w:r>
      <w:r>
        <w:fldChar w:fldCharType="end"/>
      </w:r>
      <w:r>
        <w:rPr>
          <w:rFonts w:hint="eastAsia" w:ascii="Times New Roman" w:hAnsi="Times New Roman" w:eastAsia="仿宋_GB2312"/>
          <w:szCs w:val="24"/>
        </w:rPr>
        <w:fldChar w:fldCharType="end"/>
      </w:r>
    </w:p>
    <w:p w14:paraId="417205E8">
      <w:pPr>
        <w:pStyle w:val="7"/>
        <w:tabs>
          <w:tab w:val="right" w:leader="dot" w:pos="8306"/>
        </w:tabs>
      </w:pPr>
      <w:r>
        <w:rPr>
          <w:rFonts w:hint="eastAsia" w:ascii="Times New Roman" w:hAnsi="Times New Roman" w:eastAsia="仿宋_GB2312"/>
          <w:szCs w:val="24"/>
        </w:rPr>
        <w:fldChar w:fldCharType="begin"/>
      </w:r>
      <w:r>
        <w:rPr>
          <w:rFonts w:hint="eastAsia" w:ascii="Times New Roman" w:hAnsi="Times New Roman" w:eastAsia="仿宋_GB2312"/>
          <w:szCs w:val="24"/>
        </w:rPr>
        <w:instrText xml:space="preserve"> HYPERLINK \l _Toc1353950808 </w:instrText>
      </w:r>
      <w:r>
        <w:rPr>
          <w:rFonts w:hint="eastAsia" w:ascii="Times New Roman" w:hAnsi="Times New Roman" w:eastAsia="仿宋_GB2312"/>
          <w:szCs w:val="24"/>
        </w:rPr>
        <w:fldChar w:fldCharType="separate"/>
      </w:r>
      <w:r>
        <w:rPr>
          <w:rFonts w:hint="eastAsia" w:ascii="仿宋_GB2312" w:hAnsi="宋体" w:eastAsia="仿宋_GB2312"/>
          <w:szCs w:val="28"/>
        </w:rPr>
        <w:t>(二) 披露《发售公告》</w:t>
      </w:r>
      <w:r>
        <w:tab/>
      </w:r>
      <w:r>
        <w:fldChar w:fldCharType="begin"/>
      </w:r>
      <w:r>
        <w:instrText xml:space="preserve"> PAGEREF _Toc1353950808 \h </w:instrText>
      </w:r>
      <w:r>
        <w:fldChar w:fldCharType="separate"/>
      </w:r>
      <w:r>
        <w:t>20</w:t>
      </w:r>
      <w:r>
        <w:fldChar w:fldCharType="end"/>
      </w:r>
      <w:r>
        <w:rPr>
          <w:rFonts w:hint="eastAsia" w:ascii="Times New Roman" w:hAnsi="Times New Roman" w:eastAsia="仿宋_GB2312"/>
          <w:szCs w:val="24"/>
        </w:rPr>
        <w:fldChar w:fldCharType="end"/>
      </w:r>
    </w:p>
    <w:p w14:paraId="58CCC7D2">
      <w:pPr>
        <w:pStyle w:val="7"/>
        <w:tabs>
          <w:tab w:val="right" w:leader="dot" w:pos="8306"/>
        </w:tabs>
      </w:pPr>
      <w:r>
        <w:rPr>
          <w:rFonts w:hint="eastAsia" w:ascii="Times New Roman" w:hAnsi="Times New Roman" w:eastAsia="仿宋_GB2312"/>
          <w:szCs w:val="24"/>
        </w:rPr>
        <w:fldChar w:fldCharType="begin"/>
      </w:r>
      <w:r>
        <w:rPr>
          <w:rFonts w:hint="eastAsia" w:ascii="Times New Roman" w:hAnsi="Times New Roman" w:eastAsia="仿宋_GB2312"/>
          <w:szCs w:val="24"/>
        </w:rPr>
        <w:instrText xml:space="preserve"> HYPERLINK \l _Toc1584531073 </w:instrText>
      </w:r>
      <w:r>
        <w:rPr>
          <w:rFonts w:hint="eastAsia" w:ascii="Times New Roman" w:hAnsi="Times New Roman" w:eastAsia="仿宋_GB2312"/>
          <w:szCs w:val="24"/>
        </w:rPr>
        <w:fldChar w:fldCharType="separate"/>
      </w:r>
      <w:r>
        <w:rPr>
          <w:rFonts w:hint="eastAsia" w:ascii="仿宋_GB2312" w:hAnsi="宋体" w:eastAsia="仿宋_GB2312"/>
          <w:szCs w:val="28"/>
        </w:rPr>
        <w:t>(三) 投资者认购</w:t>
      </w:r>
      <w:r>
        <w:tab/>
      </w:r>
      <w:r>
        <w:fldChar w:fldCharType="begin"/>
      </w:r>
      <w:r>
        <w:instrText xml:space="preserve"> PAGEREF _Toc1584531073 \h </w:instrText>
      </w:r>
      <w:r>
        <w:fldChar w:fldCharType="separate"/>
      </w:r>
      <w:r>
        <w:t>21</w:t>
      </w:r>
      <w:r>
        <w:fldChar w:fldCharType="end"/>
      </w:r>
      <w:r>
        <w:rPr>
          <w:rFonts w:hint="eastAsia" w:ascii="Times New Roman" w:hAnsi="Times New Roman" w:eastAsia="仿宋_GB2312"/>
          <w:szCs w:val="24"/>
        </w:rPr>
        <w:fldChar w:fldCharType="end"/>
      </w:r>
    </w:p>
    <w:p w14:paraId="1E902E5E">
      <w:pPr>
        <w:pStyle w:val="7"/>
        <w:tabs>
          <w:tab w:val="right" w:leader="dot" w:pos="8306"/>
        </w:tabs>
      </w:pPr>
      <w:r>
        <w:rPr>
          <w:rFonts w:hint="eastAsia" w:ascii="Times New Roman" w:hAnsi="Times New Roman" w:eastAsia="仿宋_GB2312"/>
          <w:szCs w:val="24"/>
        </w:rPr>
        <w:fldChar w:fldCharType="begin"/>
      </w:r>
      <w:r>
        <w:rPr>
          <w:rFonts w:hint="eastAsia" w:ascii="Times New Roman" w:hAnsi="Times New Roman" w:eastAsia="仿宋_GB2312"/>
          <w:szCs w:val="24"/>
        </w:rPr>
        <w:instrText xml:space="preserve"> HYPERLINK \l _Toc997035340 </w:instrText>
      </w:r>
      <w:r>
        <w:rPr>
          <w:rFonts w:hint="eastAsia" w:ascii="Times New Roman" w:hAnsi="Times New Roman" w:eastAsia="仿宋_GB2312"/>
          <w:szCs w:val="24"/>
        </w:rPr>
        <w:fldChar w:fldCharType="separate"/>
      </w:r>
      <w:r>
        <w:rPr>
          <w:rFonts w:hint="eastAsia" w:ascii="仿宋_GB2312" w:hAnsi="宋体" w:eastAsia="仿宋_GB2312"/>
          <w:szCs w:val="28"/>
        </w:rPr>
        <w:t>(四) 认购日期变更</w:t>
      </w:r>
      <w:r>
        <w:tab/>
      </w:r>
      <w:r>
        <w:fldChar w:fldCharType="begin"/>
      </w:r>
      <w:r>
        <w:instrText xml:space="preserve"> PAGEREF _Toc997035340 \h </w:instrText>
      </w:r>
      <w:r>
        <w:fldChar w:fldCharType="separate"/>
      </w:r>
      <w:r>
        <w:t>22</w:t>
      </w:r>
      <w:r>
        <w:fldChar w:fldCharType="end"/>
      </w:r>
      <w:r>
        <w:rPr>
          <w:rFonts w:hint="eastAsia" w:ascii="Times New Roman" w:hAnsi="Times New Roman" w:eastAsia="仿宋_GB2312"/>
          <w:szCs w:val="24"/>
        </w:rPr>
        <w:fldChar w:fldCharType="end"/>
      </w:r>
    </w:p>
    <w:p w14:paraId="12895FA3">
      <w:pPr>
        <w:pStyle w:val="7"/>
        <w:tabs>
          <w:tab w:val="right" w:leader="dot" w:pos="8306"/>
        </w:tabs>
      </w:pPr>
      <w:r>
        <w:rPr>
          <w:rFonts w:hint="eastAsia" w:ascii="Times New Roman" w:hAnsi="Times New Roman" w:eastAsia="仿宋_GB2312"/>
          <w:szCs w:val="24"/>
        </w:rPr>
        <w:fldChar w:fldCharType="begin"/>
      </w:r>
      <w:r>
        <w:rPr>
          <w:rFonts w:hint="eastAsia" w:ascii="Times New Roman" w:hAnsi="Times New Roman" w:eastAsia="仿宋_GB2312"/>
          <w:szCs w:val="24"/>
        </w:rPr>
        <w:instrText xml:space="preserve"> HYPERLINK \l _Toc890574680 </w:instrText>
      </w:r>
      <w:r>
        <w:rPr>
          <w:rFonts w:hint="eastAsia" w:ascii="Times New Roman" w:hAnsi="Times New Roman" w:eastAsia="仿宋_GB2312"/>
          <w:szCs w:val="24"/>
        </w:rPr>
        <w:fldChar w:fldCharType="separate"/>
      </w:r>
      <w:r>
        <w:rPr>
          <w:rFonts w:hint="eastAsia" w:ascii="仿宋_GB2312" w:hAnsi="宋体" w:eastAsia="仿宋_GB2312"/>
          <w:szCs w:val="28"/>
        </w:rPr>
        <w:t>(五) 回拨与配售</w:t>
      </w:r>
      <w:r>
        <w:tab/>
      </w:r>
      <w:r>
        <w:fldChar w:fldCharType="begin"/>
      </w:r>
      <w:r>
        <w:instrText xml:space="preserve"> PAGEREF _Toc890574680 \h </w:instrText>
      </w:r>
      <w:r>
        <w:fldChar w:fldCharType="separate"/>
      </w:r>
      <w:r>
        <w:t>23</w:t>
      </w:r>
      <w:r>
        <w:fldChar w:fldCharType="end"/>
      </w:r>
      <w:r>
        <w:rPr>
          <w:rFonts w:hint="eastAsia" w:ascii="Times New Roman" w:hAnsi="Times New Roman" w:eastAsia="仿宋_GB2312"/>
          <w:szCs w:val="24"/>
        </w:rPr>
        <w:fldChar w:fldCharType="end"/>
      </w:r>
    </w:p>
    <w:p w14:paraId="5A4055A5">
      <w:pPr>
        <w:pStyle w:val="12"/>
        <w:tabs>
          <w:tab w:val="right" w:leader="dot" w:pos="8306"/>
        </w:tabs>
      </w:pPr>
      <w:r>
        <w:rPr>
          <w:rFonts w:hint="eastAsia" w:ascii="Times New Roman" w:hAnsi="Times New Roman" w:eastAsia="仿宋_GB2312"/>
          <w:szCs w:val="24"/>
        </w:rPr>
        <w:fldChar w:fldCharType="begin"/>
      </w:r>
      <w:r>
        <w:rPr>
          <w:rFonts w:hint="eastAsia" w:ascii="Times New Roman" w:hAnsi="Times New Roman" w:eastAsia="仿宋_GB2312"/>
          <w:szCs w:val="24"/>
        </w:rPr>
        <w:instrText xml:space="preserve"> HYPERLINK \l _Toc843889502 </w:instrText>
      </w:r>
      <w:r>
        <w:rPr>
          <w:rFonts w:hint="eastAsia" w:ascii="Times New Roman" w:hAnsi="Times New Roman" w:eastAsia="仿宋_GB2312"/>
          <w:szCs w:val="24"/>
        </w:rPr>
        <w:fldChar w:fldCharType="separate"/>
      </w:r>
      <w:r>
        <w:rPr>
          <w:rFonts w:hint="eastAsia" w:ascii="黑体" w:hAnsi="黑体" w:eastAsia="黑体"/>
          <w:szCs w:val="32"/>
        </w:rPr>
        <w:t xml:space="preserve">四、 </w:t>
      </w:r>
      <w:r>
        <w:rPr>
          <w:rFonts w:hint="eastAsia" w:ascii="黑体" w:hAnsi="黑体" w:eastAsia="黑体"/>
          <w:szCs w:val="30"/>
        </w:rPr>
        <w:t>基金成立</w:t>
      </w:r>
      <w:r>
        <w:tab/>
      </w:r>
      <w:r>
        <w:fldChar w:fldCharType="begin"/>
      </w:r>
      <w:r>
        <w:instrText xml:space="preserve"> PAGEREF _Toc843889502 \h </w:instrText>
      </w:r>
      <w:r>
        <w:fldChar w:fldCharType="separate"/>
      </w:r>
      <w:r>
        <w:t>25</w:t>
      </w:r>
      <w:r>
        <w:fldChar w:fldCharType="end"/>
      </w:r>
      <w:r>
        <w:rPr>
          <w:rFonts w:hint="eastAsia" w:ascii="Times New Roman" w:hAnsi="Times New Roman" w:eastAsia="仿宋_GB2312"/>
          <w:szCs w:val="24"/>
        </w:rPr>
        <w:fldChar w:fldCharType="end"/>
      </w:r>
    </w:p>
    <w:p w14:paraId="1F3D4CE9">
      <w:pPr>
        <w:pStyle w:val="7"/>
        <w:tabs>
          <w:tab w:val="right" w:leader="dot" w:pos="8306"/>
        </w:tabs>
      </w:pPr>
      <w:r>
        <w:rPr>
          <w:rFonts w:hint="eastAsia" w:ascii="Times New Roman" w:hAnsi="Times New Roman" w:eastAsia="仿宋_GB2312"/>
          <w:szCs w:val="24"/>
        </w:rPr>
        <w:fldChar w:fldCharType="begin"/>
      </w:r>
      <w:r>
        <w:rPr>
          <w:rFonts w:hint="eastAsia" w:ascii="Times New Roman" w:hAnsi="Times New Roman" w:eastAsia="仿宋_GB2312"/>
          <w:szCs w:val="24"/>
        </w:rPr>
        <w:instrText xml:space="preserve"> HYPERLINK \l _Toc404488204 </w:instrText>
      </w:r>
      <w:r>
        <w:rPr>
          <w:rFonts w:hint="eastAsia" w:ascii="Times New Roman" w:hAnsi="Times New Roman" w:eastAsia="仿宋_GB2312"/>
          <w:szCs w:val="24"/>
        </w:rPr>
        <w:fldChar w:fldCharType="separate"/>
      </w:r>
      <w:r>
        <w:rPr>
          <w:rFonts w:hint="eastAsia" w:ascii="仿宋_GB2312" w:hAnsi="宋体" w:eastAsia="仿宋_GB2312"/>
          <w:szCs w:val="28"/>
        </w:rPr>
        <w:t>(一) 披露《基金合同生效公告》</w:t>
      </w:r>
      <w:r>
        <w:tab/>
      </w:r>
      <w:r>
        <w:fldChar w:fldCharType="begin"/>
      </w:r>
      <w:r>
        <w:instrText xml:space="preserve"> PAGEREF _Toc404488204 \h </w:instrText>
      </w:r>
      <w:r>
        <w:fldChar w:fldCharType="separate"/>
      </w:r>
      <w:r>
        <w:t>25</w:t>
      </w:r>
      <w:r>
        <w:fldChar w:fldCharType="end"/>
      </w:r>
      <w:r>
        <w:rPr>
          <w:rFonts w:hint="eastAsia" w:ascii="Times New Roman" w:hAnsi="Times New Roman" w:eastAsia="仿宋_GB2312"/>
          <w:szCs w:val="24"/>
        </w:rPr>
        <w:fldChar w:fldCharType="end"/>
      </w:r>
    </w:p>
    <w:p w14:paraId="213EC27B">
      <w:pPr>
        <w:pStyle w:val="7"/>
        <w:tabs>
          <w:tab w:val="right" w:leader="dot" w:pos="8306"/>
        </w:tabs>
      </w:pPr>
      <w:r>
        <w:rPr>
          <w:rFonts w:hint="eastAsia" w:ascii="Times New Roman" w:hAnsi="Times New Roman" w:eastAsia="仿宋_GB2312"/>
          <w:szCs w:val="24"/>
        </w:rPr>
        <w:fldChar w:fldCharType="begin"/>
      </w:r>
      <w:r>
        <w:rPr>
          <w:rFonts w:hint="eastAsia" w:ascii="Times New Roman" w:hAnsi="Times New Roman" w:eastAsia="仿宋_GB2312"/>
          <w:szCs w:val="24"/>
        </w:rPr>
        <w:instrText xml:space="preserve"> HYPERLINK \l _Toc676923367 </w:instrText>
      </w:r>
      <w:r>
        <w:rPr>
          <w:rFonts w:hint="eastAsia" w:ascii="Times New Roman" w:hAnsi="Times New Roman" w:eastAsia="仿宋_GB2312"/>
          <w:szCs w:val="24"/>
        </w:rPr>
        <w:fldChar w:fldCharType="separate"/>
      </w:r>
      <w:r>
        <w:rPr>
          <w:rFonts w:hint="eastAsia" w:ascii="仿宋_GB2312" w:hAnsi="宋体" w:eastAsia="仿宋_GB2312"/>
          <w:szCs w:val="28"/>
        </w:rPr>
        <w:t>(二) 材料报备</w:t>
      </w:r>
      <w:r>
        <w:tab/>
      </w:r>
      <w:r>
        <w:fldChar w:fldCharType="begin"/>
      </w:r>
      <w:r>
        <w:instrText xml:space="preserve"> PAGEREF _Toc676923367 \h </w:instrText>
      </w:r>
      <w:r>
        <w:fldChar w:fldCharType="separate"/>
      </w:r>
      <w:r>
        <w:t>26</w:t>
      </w:r>
      <w:r>
        <w:fldChar w:fldCharType="end"/>
      </w:r>
      <w:r>
        <w:rPr>
          <w:rFonts w:hint="eastAsia" w:ascii="Times New Roman" w:hAnsi="Times New Roman" w:eastAsia="仿宋_GB2312"/>
          <w:szCs w:val="24"/>
        </w:rPr>
        <w:fldChar w:fldCharType="end"/>
      </w:r>
    </w:p>
    <w:p w14:paraId="2EE92E6A">
      <w:pPr>
        <w:pStyle w:val="12"/>
        <w:tabs>
          <w:tab w:val="right" w:leader="dot" w:pos="8306"/>
        </w:tabs>
      </w:pPr>
      <w:r>
        <w:rPr>
          <w:rFonts w:hint="eastAsia" w:ascii="Times New Roman" w:hAnsi="Times New Roman" w:eastAsia="仿宋_GB2312"/>
          <w:szCs w:val="24"/>
        </w:rPr>
        <w:fldChar w:fldCharType="begin"/>
      </w:r>
      <w:r>
        <w:rPr>
          <w:rFonts w:hint="eastAsia" w:ascii="Times New Roman" w:hAnsi="Times New Roman" w:eastAsia="仿宋_GB2312"/>
          <w:szCs w:val="24"/>
        </w:rPr>
        <w:instrText xml:space="preserve"> HYPERLINK \l _Toc1492886774 </w:instrText>
      </w:r>
      <w:r>
        <w:rPr>
          <w:rFonts w:hint="eastAsia" w:ascii="Times New Roman" w:hAnsi="Times New Roman" w:eastAsia="仿宋_GB2312"/>
          <w:szCs w:val="24"/>
        </w:rPr>
        <w:fldChar w:fldCharType="separate"/>
      </w:r>
      <w:r>
        <w:rPr>
          <w:rFonts w:hint="eastAsia" w:ascii="黑体" w:hAnsi="黑体" w:eastAsia="黑体"/>
          <w:szCs w:val="32"/>
        </w:rPr>
        <w:t xml:space="preserve">五、 </w:t>
      </w:r>
      <w:r>
        <w:rPr>
          <w:rFonts w:hint="eastAsia" w:ascii="黑体" w:hAnsi="黑体" w:eastAsia="黑体"/>
          <w:szCs w:val="30"/>
        </w:rPr>
        <w:t>上市前基金份额限售和锁定管理</w:t>
      </w:r>
      <w:r>
        <w:tab/>
      </w:r>
      <w:r>
        <w:fldChar w:fldCharType="begin"/>
      </w:r>
      <w:r>
        <w:instrText xml:space="preserve"> PAGEREF _Toc1492886774 \h </w:instrText>
      </w:r>
      <w:r>
        <w:fldChar w:fldCharType="separate"/>
      </w:r>
      <w:r>
        <w:t>26</w:t>
      </w:r>
      <w:r>
        <w:fldChar w:fldCharType="end"/>
      </w:r>
      <w:r>
        <w:rPr>
          <w:rFonts w:hint="eastAsia" w:ascii="Times New Roman" w:hAnsi="Times New Roman" w:eastAsia="仿宋_GB2312"/>
          <w:szCs w:val="24"/>
        </w:rPr>
        <w:fldChar w:fldCharType="end"/>
      </w:r>
    </w:p>
    <w:p w14:paraId="0E2B4752">
      <w:pPr>
        <w:pStyle w:val="7"/>
        <w:tabs>
          <w:tab w:val="right" w:leader="dot" w:pos="8306"/>
        </w:tabs>
      </w:pPr>
      <w:r>
        <w:rPr>
          <w:rFonts w:hint="eastAsia" w:ascii="Times New Roman" w:hAnsi="Times New Roman" w:eastAsia="仿宋_GB2312"/>
          <w:szCs w:val="24"/>
        </w:rPr>
        <w:fldChar w:fldCharType="begin"/>
      </w:r>
      <w:r>
        <w:rPr>
          <w:rFonts w:hint="eastAsia" w:ascii="Times New Roman" w:hAnsi="Times New Roman" w:eastAsia="仿宋_GB2312"/>
          <w:szCs w:val="24"/>
        </w:rPr>
        <w:instrText xml:space="preserve"> HYPERLINK \l _Toc1000101484 </w:instrText>
      </w:r>
      <w:r>
        <w:rPr>
          <w:rFonts w:hint="eastAsia" w:ascii="Times New Roman" w:hAnsi="Times New Roman" w:eastAsia="仿宋_GB2312"/>
          <w:szCs w:val="24"/>
        </w:rPr>
        <w:fldChar w:fldCharType="separate"/>
      </w:r>
      <w:r>
        <w:rPr>
          <w:rFonts w:hint="eastAsia" w:ascii="仿宋_GB2312" w:hAnsi="宋体" w:eastAsia="仿宋_GB2312"/>
          <w:szCs w:val="28"/>
        </w:rPr>
        <w:t>(一) 限售管理</w:t>
      </w:r>
      <w:r>
        <w:tab/>
      </w:r>
      <w:r>
        <w:fldChar w:fldCharType="begin"/>
      </w:r>
      <w:r>
        <w:instrText xml:space="preserve"> PAGEREF _Toc1000101484 \h </w:instrText>
      </w:r>
      <w:r>
        <w:fldChar w:fldCharType="separate"/>
      </w:r>
      <w:r>
        <w:t>27</w:t>
      </w:r>
      <w:r>
        <w:fldChar w:fldCharType="end"/>
      </w:r>
      <w:r>
        <w:rPr>
          <w:rFonts w:hint="eastAsia" w:ascii="Times New Roman" w:hAnsi="Times New Roman" w:eastAsia="仿宋_GB2312"/>
          <w:szCs w:val="24"/>
        </w:rPr>
        <w:fldChar w:fldCharType="end"/>
      </w:r>
    </w:p>
    <w:p w14:paraId="630A441A">
      <w:pPr>
        <w:pStyle w:val="7"/>
        <w:tabs>
          <w:tab w:val="right" w:leader="dot" w:pos="8306"/>
        </w:tabs>
      </w:pPr>
      <w:r>
        <w:rPr>
          <w:rFonts w:hint="eastAsia" w:ascii="Times New Roman" w:hAnsi="Times New Roman" w:eastAsia="仿宋_GB2312"/>
          <w:szCs w:val="24"/>
        </w:rPr>
        <w:fldChar w:fldCharType="begin"/>
      </w:r>
      <w:r>
        <w:rPr>
          <w:rFonts w:hint="eastAsia" w:ascii="Times New Roman" w:hAnsi="Times New Roman" w:eastAsia="仿宋_GB2312"/>
          <w:szCs w:val="24"/>
        </w:rPr>
        <w:instrText xml:space="preserve"> HYPERLINK \l _Toc1482182305 </w:instrText>
      </w:r>
      <w:r>
        <w:rPr>
          <w:rFonts w:hint="eastAsia" w:ascii="Times New Roman" w:hAnsi="Times New Roman" w:eastAsia="仿宋_GB2312"/>
          <w:szCs w:val="24"/>
        </w:rPr>
        <w:fldChar w:fldCharType="separate"/>
      </w:r>
      <w:r>
        <w:rPr>
          <w:rFonts w:hint="eastAsia" w:ascii="仿宋_GB2312" w:hAnsi="宋体" w:eastAsia="仿宋_GB2312"/>
          <w:szCs w:val="28"/>
        </w:rPr>
        <w:t>(二) 限售/锁定流程</w:t>
      </w:r>
      <w:r>
        <w:tab/>
      </w:r>
      <w:r>
        <w:fldChar w:fldCharType="begin"/>
      </w:r>
      <w:r>
        <w:instrText xml:space="preserve"> PAGEREF _Toc1482182305 \h </w:instrText>
      </w:r>
      <w:r>
        <w:fldChar w:fldCharType="separate"/>
      </w:r>
      <w:r>
        <w:t>27</w:t>
      </w:r>
      <w:r>
        <w:fldChar w:fldCharType="end"/>
      </w:r>
      <w:r>
        <w:rPr>
          <w:rFonts w:hint="eastAsia" w:ascii="Times New Roman" w:hAnsi="Times New Roman" w:eastAsia="仿宋_GB2312"/>
          <w:szCs w:val="24"/>
        </w:rPr>
        <w:fldChar w:fldCharType="end"/>
      </w:r>
    </w:p>
    <w:p w14:paraId="0B1DA0F8">
      <w:pPr>
        <w:pStyle w:val="12"/>
        <w:tabs>
          <w:tab w:val="right" w:leader="dot" w:pos="8306"/>
        </w:tabs>
      </w:pPr>
      <w:r>
        <w:rPr>
          <w:rFonts w:hint="eastAsia" w:ascii="Times New Roman" w:hAnsi="Times New Roman" w:eastAsia="仿宋_GB2312"/>
          <w:szCs w:val="24"/>
        </w:rPr>
        <w:fldChar w:fldCharType="begin"/>
      </w:r>
      <w:r>
        <w:rPr>
          <w:rFonts w:hint="eastAsia" w:ascii="Times New Roman" w:hAnsi="Times New Roman" w:eastAsia="仿宋_GB2312"/>
          <w:szCs w:val="24"/>
        </w:rPr>
        <w:instrText xml:space="preserve"> HYPERLINK \l _Toc686211963 </w:instrText>
      </w:r>
      <w:r>
        <w:rPr>
          <w:rFonts w:hint="eastAsia" w:ascii="Times New Roman" w:hAnsi="Times New Roman" w:eastAsia="仿宋_GB2312"/>
          <w:szCs w:val="24"/>
        </w:rPr>
        <w:fldChar w:fldCharType="separate"/>
      </w:r>
      <w:r>
        <w:rPr>
          <w:rFonts w:hint="eastAsia" w:ascii="黑体" w:hAnsi="黑体" w:eastAsia="黑体"/>
          <w:szCs w:val="32"/>
        </w:rPr>
        <w:t xml:space="preserve">六、 </w:t>
      </w:r>
      <w:r>
        <w:rPr>
          <w:rFonts w:hint="eastAsia" w:ascii="黑体" w:hAnsi="黑体" w:eastAsia="黑体"/>
          <w:szCs w:val="30"/>
        </w:rPr>
        <w:t>特殊情况处理</w:t>
      </w:r>
      <w:r>
        <w:tab/>
      </w:r>
      <w:r>
        <w:fldChar w:fldCharType="begin"/>
      </w:r>
      <w:r>
        <w:instrText xml:space="preserve"> PAGEREF _Toc686211963 \h </w:instrText>
      </w:r>
      <w:r>
        <w:fldChar w:fldCharType="separate"/>
      </w:r>
      <w:r>
        <w:t>28</w:t>
      </w:r>
      <w:r>
        <w:fldChar w:fldCharType="end"/>
      </w:r>
      <w:r>
        <w:rPr>
          <w:rFonts w:hint="eastAsia" w:ascii="Times New Roman" w:hAnsi="Times New Roman" w:eastAsia="仿宋_GB2312"/>
          <w:szCs w:val="24"/>
        </w:rPr>
        <w:fldChar w:fldCharType="end"/>
      </w:r>
    </w:p>
    <w:p w14:paraId="221A0BC1">
      <w:pPr>
        <w:pStyle w:val="7"/>
        <w:tabs>
          <w:tab w:val="right" w:leader="dot" w:pos="8306"/>
        </w:tabs>
      </w:pPr>
      <w:r>
        <w:rPr>
          <w:rFonts w:hint="eastAsia" w:ascii="Times New Roman" w:hAnsi="Times New Roman" w:eastAsia="仿宋_GB2312"/>
          <w:szCs w:val="24"/>
        </w:rPr>
        <w:fldChar w:fldCharType="begin"/>
      </w:r>
      <w:r>
        <w:rPr>
          <w:rFonts w:hint="eastAsia" w:ascii="Times New Roman" w:hAnsi="Times New Roman" w:eastAsia="仿宋_GB2312"/>
          <w:szCs w:val="24"/>
        </w:rPr>
        <w:instrText xml:space="preserve"> HYPERLINK \l _Toc2147008173 </w:instrText>
      </w:r>
      <w:r>
        <w:rPr>
          <w:rFonts w:hint="eastAsia" w:ascii="Times New Roman" w:hAnsi="Times New Roman" w:eastAsia="仿宋_GB2312"/>
          <w:szCs w:val="24"/>
        </w:rPr>
        <w:fldChar w:fldCharType="separate"/>
      </w:r>
      <w:r>
        <w:rPr>
          <w:rFonts w:hint="eastAsia" w:ascii="仿宋_GB2312" w:hAnsi="宋体" w:eastAsia="仿宋_GB2312"/>
          <w:szCs w:val="28"/>
        </w:rPr>
        <w:t>(一) 中止发售</w:t>
      </w:r>
      <w:r>
        <w:tab/>
      </w:r>
      <w:r>
        <w:fldChar w:fldCharType="begin"/>
      </w:r>
      <w:r>
        <w:instrText xml:space="preserve"> PAGEREF _Toc2147008173 \h </w:instrText>
      </w:r>
      <w:r>
        <w:fldChar w:fldCharType="separate"/>
      </w:r>
      <w:r>
        <w:t>28</w:t>
      </w:r>
      <w:r>
        <w:fldChar w:fldCharType="end"/>
      </w:r>
      <w:r>
        <w:rPr>
          <w:rFonts w:hint="eastAsia" w:ascii="Times New Roman" w:hAnsi="Times New Roman" w:eastAsia="仿宋_GB2312"/>
          <w:szCs w:val="24"/>
        </w:rPr>
        <w:fldChar w:fldCharType="end"/>
      </w:r>
    </w:p>
    <w:p w14:paraId="62454DB3">
      <w:pPr>
        <w:pStyle w:val="7"/>
        <w:tabs>
          <w:tab w:val="right" w:leader="dot" w:pos="8306"/>
        </w:tabs>
      </w:pPr>
      <w:r>
        <w:rPr>
          <w:rFonts w:hint="eastAsia" w:ascii="Times New Roman" w:hAnsi="Times New Roman" w:eastAsia="仿宋_GB2312"/>
          <w:szCs w:val="24"/>
        </w:rPr>
        <w:fldChar w:fldCharType="begin"/>
      </w:r>
      <w:r>
        <w:rPr>
          <w:rFonts w:hint="eastAsia" w:ascii="Times New Roman" w:hAnsi="Times New Roman" w:eastAsia="仿宋_GB2312"/>
          <w:szCs w:val="24"/>
        </w:rPr>
        <w:instrText xml:space="preserve"> HYPERLINK \l _Toc46917353 </w:instrText>
      </w:r>
      <w:r>
        <w:rPr>
          <w:rFonts w:hint="eastAsia" w:ascii="Times New Roman" w:hAnsi="Times New Roman" w:eastAsia="仿宋_GB2312"/>
          <w:szCs w:val="24"/>
        </w:rPr>
        <w:fldChar w:fldCharType="separate"/>
      </w:r>
      <w:r>
        <w:rPr>
          <w:rFonts w:hint="eastAsia" w:ascii="仿宋_GB2312" w:hAnsi="宋体" w:eastAsia="仿宋_GB2312"/>
          <w:szCs w:val="28"/>
        </w:rPr>
        <w:t>(二) 募集失败</w:t>
      </w:r>
      <w:r>
        <w:tab/>
      </w:r>
      <w:r>
        <w:fldChar w:fldCharType="begin"/>
      </w:r>
      <w:r>
        <w:instrText xml:space="preserve"> PAGEREF _Toc46917353 \h </w:instrText>
      </w:r>
      <w:r>
        <w:fldChar w:fldCharType="separate"/>
      </w:r>
      <w:r>
        <w:t>29</w:t>
      </w:r>
      <w:r>
        <w:fldChar w:fldCharType="end"/>
      </w:r>
      <w:r>
        <w:rPr>
          <w:rFonts w:hint="eastAsia" w:ascii="Times New Roman" w:hAnsi="Times New Roman" w:eastAsia="仿宋_GB2312"/>
          <w:szCs w:val="24"/>
        </w:rPr>
        <w:fldChar w:fldCharType="end"/>
      </w:r>
    </w:p>
    <w:p w14:paraId="2D6B1C7E">
      <w:pPr>
        <w:pStyle w:val="11"/>
        <w:tabs>
          <w:tab w:val="right" w:leader="dot" w:pos="8306"/>
        </w:tabs>
      </w:pPr>
      <w:r>
        <w:rPr>
          <w:rFonts w:hint="eastAsia" w:ascii="Times New Roman" w:hAnsi="Times New Roman" w:eastAsia="仿宋_GB2312"/>
          <w:szCs w:val="24"/>
        </w:rPr>
        <w:fldChar w:fldCharType="begin"/>
      </w:r>
      <w:r>
        <w:rPr>
          <w:rFonts w:hint="eastAsia" w:ascii="Times New Roman" w:hAnsi="Times New Roman" w:eastAsia="仿宋_GB2312"/>
          <w:szCs w:val="24"/>
        </w:rPr>
        <w:instrText xml:space="preserve"> HYPERLINK \l _Toc488642465 </w:instrText>
      </w:r>
      <w:r>
        <w:rPr>
          <w:rFonts w:hint="eastAsia" w:ascii="Times New Roman" w:hAnsi="Times New Roman" w:eastAsia="仿宋_GB2312"/>
          <w:szCs w:val="24"/>
        </w:rPr>
        <w:fldChar w:fldCharType="separate"/>
      </w:r>
      <w:r>
        <w:rPr>
          <w:rFonts w:hint="eastAsia" w:ascii="黑体" w:hAnsi="黑体" w:eastAsia="黑体"/>
          <w:szCs w:val="32"/>
        </w:rPr>
        <w:t>第三章  上市</w:t>
      </w:r>
      <w:r>
        <w:tab/>
      </w:r>
      <w:r>
        <w:fldChar w:fldCharType="begin"/>
      </w:r>
      <w:r>
        <w:instrText xml:space="preserve"> PAGEREF _Toc488642465 \h </w:instrText>
      </w:r>
      <w:r>
        <w:fldChar w:fldCharType="separate"/>
      </w:r>
      <w:r>
        <w:t>31</w:t>
      </w:r>
      <w:r>
        <w:fldChar w:fldCharType="end"/>
      </w:r>
      <w:r>
        <w:rPr>
          <w:rFonts w:hint="eastAsia" w:ascii="Times New Roman" w:hAnsi="Times New Roman" w:eastAsia="仿宋_GB2312"/>
          <w:szCs w:val="24"/>
        </w:rPr>
        <w:fldChar w:fldCharType="end"/>
      </w:r>
    </w:p>
    <w:p w14:paraId="1656A7C3">
      <w:pPr>
        <w:pStyle w:val="12"/>
        <w:tabs>
          <w:tab w:val="right" w:leader="dot" w:pos="8306"/>
        </w:tabs>
      </w:pPr>
      <w:r>
        <w:rPr>
          <w:rFonts w:hint="eastAsia" w:ascii="Times New Roman" w:hAnsi="Times New Roman" w:eastAsia="仿宋_GB2312"/>
          <w:szCs w:val="24"/>
        </w:rPr>
        <w:fldChar w:fldCharType="begin"/>
      </w:r>
      <w:r>
        <w:rPr>
          <w:rFonts w:hint="eastAsia" w:ascii="Times New Roman" w:hAnsi="Times New Roman" w:eastAsia="仿宋_GB2312"/>
          <w:szCs w:val="24"/>
        </w:rPr>
        <w:instrText xml:space="preserve"> HYPERLINK \l _Toc1758515052 </w:instrText>
      </w:r>
      <w:r>
        <w:rPr>
          <w:rFonts w:hint="eastAsia" w:ascii="Times New Roman" w:hAnsi="Times New Roman" w:eastAsia="仿宋_GB2312"/>
          <w:szCs w:val="24"/>
        </w:rPr>
        <w:fldChar w:fldCharType="separate"/>
      </w:r>
      <w:r>
        <w:rPr>
          <w:rFonts w:hint="eastAsia" w:ascii="黑体" w:hAnsi="黑体" w:eastAsia="黑体"/>
          <w:szCs w:val="32"/>
        </w:rPr>
        <w:t>一、 上市业务申请与受理</w:t>
      </w:r>
      <w:r>
        <w:tab/>
      </w:r>
      <w:r>
        <w:fldChar w:fldCharType="begin"/>
      </w:r>
      <w:r>
        <w:instrText xml:space="preserve"> PAGEREF _Toc1758515052 \h </w:instrText>
      </w:r>
      <w:r>
        <w:fldChar w:fldCharType="separate"/>
      </w:r>
      <w:r>
        <w:t>31</w:t>
      </w:r>
      <w:r>
        <w:fldChar w:fldCharType="end"/>
      </w:r>
      <w:r>
        <w:rPr>
          <w:rFonts w:hint="eastAsia" w:ascii="Times New Roman" w:hAnsi="Times New Roman" w:eastAsia="仿宋_GB2312"/>
          <w:szCs w:val="24"/>
        </w:rPr>
        <w:fldChar w:fldCharType="end"/>
      </w:r>
    </w:p>
    <w:p w14:paraId="658FA497">
      <w:pPr>
        <w:pStyle w:val="12"/>
        <w:tabs>
          <w:tab w:val="right" w:leader="dot" w:pos="8306"/>
        </w:tabs>
      </w:pPr>
      <w:r>
        <w:rPr>
          <w:rFonts w:hint="eastAsia" w:ascii="Times New Roman" w:hAnsi="Times New Roman" w:eastAsia="仿宋_GB2312"/>
          <w:szCs w:val="24"/>
        </w:rPr>
        <w:fldChar w:fldCharType="begin"/>
      </w:r>
      <w:r>
        <w:rPr>
          <w:rFonts w:hint="eastAsia" w:ascii="Times New Roman" w:hAnsi="Times New Roman" w:eastAsia="仿宋_GB2312"/>
          <w:szCs w:val="24"/>
        </w:rPr>
        <w:instrText xml:space="preserve"> HYPERLINK \l _Toc597476549 </w:instrText>
      </w:r>
      <w:r>
        <w:rPr>
          <w:rFonts w:hint="eastAsia" w:ascii="Times New Roman" w:hAnsi="Times New Roman" w:eastAsia="仿宋_GB2312"/>
          <w:szCs w:val="24"/>
        </w:rPr>
        <w:fldChar w:fldCharType="separate"/>
      </w:r>
      <w:r>
        <w:rPr>
          <w:rFonts w:hint="eastAsia" w:ascii="黑体" w:hAnsi="黑体" w:eastAsia="黑体"/>
          <w:szCs w:val="32"/>
        </w:rPr>
        <w:t xml:space="preserve">二、 </w:t>
      </w:r>
      <w:r>
        <w:rPr>
          <w:rFonts w:hint="eastAsia" w:ascii="黑体" w:hAnsi="黑体" w:eastAsia="黑体"/>
          <w:szCs w:val="30"/>
        </w:rPr>
        <w:t>上市公告披露</w:t>
      </w:r>
      <w:r>
        <w:tab/>
      </w:r>
      <w:r>
        <w:fldChar w:fldCharType="begin"/>
      </w:r>
      <w:r>
        <w:instrText xml:space="preserve"> PAGEREF _Toc597476549 \h </w:instrText>
      </w:r>
      <w:r>
        <w:fldChar w:fldCharType="separate"/>
      </w:r>
      <w:r>
        <w:t>34</w:t>
      </w:r>
      <w:r>
        <w:fldChar w:fldCharType="end"/>
      </w:r>
      <w:r>
        <w:rPr>
          <w:rFonts w:hint="eastAsia" w:ascii="Times New Roman" w:hAnsi="Times New Roman" w:eastAsia="仿宋_GB2312"/>
          <w:szCs w:val="24"/>
        </w:rPr>
        <w:fldChar w:fldCharType="end"/>
      </w:r>
    </w:p>
    <w:p w14:paraId="35AF6E83">
      <w:pPr>
        <w:pStyle w:val="11"/>
        <w:tabs>
          <w:tab w:val="right" w:leader="dot" w:pos="8306"/>
        </w:tabs>
      </w:pPr>
      <w:r>
        <w:rPr>
          <w:rFonts w:hint="eastAsia" w:ascii="Times New Roman" w:hAnsi="Times New Roman" w:eastAsia="仿宋_GB2312"/>
          <w:szCs w:val="24"/>
        </w:rPr>
        <w:fldChar w:fldCharType="begin"/>
      </w:r>
      <w:r>
        <w:rPr>
          <w:rFonts w:hint="eastAsia" w:ascii="Times New Roman" w:hAnsi="Times New Roman" w:eastAsia="仿宋_GB2312"/>
          <w:szCs w:val="24"/>
        </w:rPr>
        <w:instrText xml:space="preserve"> HYPERLINK \l _Toc1247198338 </w:instrText>
      </w:r>
      <w:r>
        <w:rPr>
          <w:rFonts w:hint="eastAsia" w:ascii="Times New Roman" w:hAnsi="Times New Roman" w:eastAsia="仿宋_GB2312"/>
          <w:szCs w:val="24"/>
        </w:rPr>
        <w:fldChar w:fldCharType="separate"/>
      </w:r>
      <w:r>
        <w:rPr>
          <w:rFonts w:hint="eastAsia" w:ascii="黑体" w:hAnsi="黑体" w:eastAsia="黑体"/>
          <w:szCs w:val="32"/>
        </w:rPr>
        <w:t>第四章  投资者适当性管理</w:t>
      </w:r>
      <w:r>
        <w:tab/>
      </w:r>
      <w:r>
        <w:fldChar w:fldCharType="begin"/>
      </w:r>
      <w:r>
        <w:instrText xml:space="preserve"> PAGEREF _Toc1247198338 \h </w:instrText>
      </w:r>
      <w:r>
        <w:fldChar w:fldCharType="separate"/>
      </w:r>
      <w:r>
        <w:t>36</w:t>
      </w:r>
      <w:r>
        <w:fldChar w:fldCharType="end"/>
      </w:r>
      <w:r>
        <w:rPr>
          <w:rFonts w:hint="eastAsia" w:ascii="Times New Roman" w:hAnsi="Times New Roman" w:eastAsia="仿宋_GB2312"/>
          <w:szCs w:val="24"/>
        </w:rPr>
        <w:fldChar w:fldCharType="end"/>
      </w:r>
    </w:p>
    <w:p w14:paraId="18DEAA0F">
      <w:pPr>
        <w:pStyle w:val="12"/>
        <w:tabs>
          <w:tab w:val="right" w:leader="dot" w:pos="8306"/>
        </w:tabs>
      </w:pPr>
      <w:r>
        <w:rPr>
          <w:rFonts w:hint="eastAsia" w:ascii="Times New Roman" w:hAnsi="Times New Roman" w:eastAsia="仿宋_GB2312"/>
          <w:szCs w:val="24"/>
        </w:rPr>
        <w:fldChar w:fldCharType="begin"/>
      </w:r>
      <w:r>
        <w:rPr>
          <w:rFonts w:hint="eastAsia" w:ascii="Times New Roman" w:hAnsi="Times New Roman" w:eastAsia="仿宋_GB2312"/>
          <w:szCs w:val="24"/>
        </w:rPr>
        <w:instrText xml:space="preserve"> HYPERLINK \l _Toc77833550 </w:instrText>
      </w:r>
      <w:r>
        <w:rPr>
          <w:rFonts w:hint="eastAsia" w:ascii="Times New Roman" w:hAnsi="Times New Roman" w:eastAsia="仿宋_GB2312"/>
          <w:szCs w:val="24"/>
        </w:rPr>
        <w:fldChar w:fldCharType="separate"/>
      </w:r>
      <w:r>
        <w:rPr>
          <w:rFonts w:hint="eastAsia" w:ascii="黑体" w:hAnsi="黑体" w:eastAsia="黑体"/>
          <w:szCs w:val="32"/>
        </w:rPr>
        <w:t xml:space="preserve">一、 </w:t>
      </w:r>
      <w:r>
        <w:rPr>
          <w:rFonts w:hint="eastAsia" w:ascii="黑体" w:hAnsi="黑体" w:eastAsia="黑体"/>
          <w:szCs w:val="30"/>
        </w:rPr>
        <w:t>建立健全适当性管理制度</w:t>
      </w:r>
      <w:r>
        <w:tab/>
      </w:r>
      <w:r>
        <w:fldChar w:fldCharType="begin"/>
      </w:r>
      <w:r>
        <w:instrText xml:space="preserve"> PAGEREF _Toc77833550 \h </w:instrText>
      </w:r>
      <w:r>
        <w:fldChar w:fldCharType="separate"/>
      </w:r>
      <w:r>
        <w:t>36</w:t>
      </w:r>
      <w:r>
        <w:fldChar w:fldCharType="end"/>
      </w:r>
      <w:r>
        <w:rPr>
          <w:rFonts w:hint="eastAsia" w:ascii="Times New Roman" w:hAnsi="Times New Roman" w:eastAsia="仿宋_GB2312"/>
          <w:szCs w:val="24"/>
        </w:rPr>
        <w:fldChar w:fldCharType="end"/>
      </w:r>
    </w:p>
    <w:p w14:paraId="1E945F48">
      <w:pPr>
        <w:pStyle w:val="12"/>
        <w:tabs>
          <w:tab w:val="right" w:leader="dot" w:pos="8306"/>
        </w:tabs>
      </w:pPr>
      <w:r>
        <w:rPr>
          <w:rFonts w:hint="eastAsia" w:ascii="Times New Roman" w:hAnsi="Times New Roman" w:eastAsia="仿宋_GB2312"/>
          <w:szCs w:val="24"/>
        </w:rPr>
        <w:fldChar w:fldCharType="begin"/>
      </w:r>
      <w:r>
        <w:rPr>
          <w:rFonts w:hint="eastAsia" w:ascii="Times New Roman" w:hAnsi="Times New Roman" w:eastAsia="仿宋_GB2312"/>
          <w:szCs w:val="24"/>
        </w:rPr>
        <w:instrText xml:space="preserve"> HYPERLINK \l _Toc63511888 </w:instrText>
      </w:r>
      <w:r>
        <w:rPr>
          <w:rFonts w:hint="eastAsia" w:ascii="Times New Roman" w:hAnsi="Times New Roman" w:eastAsia="仿宋_GB2312"/>
          <w:szCs w:val="24"/>
        </w:rPr>
        <w:fldChar w:fldCharType="separate"/>
      </w:r>
      <w:r>
        <w:rPr>
          <w:rFonts w:hint="eastAsia" w:ascii="黑体" w:hAnsi="黑体" w:eastAsia="黑体"/>
          <w:szCs w:val="32"/>
        </w:rPr>
        <w:t xml:space="preserve">二、 </w:t>
      </w:r>
      <w:r>
        <w:rPr>
          <w:rFonts w:hint="eastAsia" w:ascii="黑体" w:hAnsi="黑体" w:eastAsia="黑体"/>
          <w:szCs w:val="30"/>
        </w:rPr>
        <w:t>开展适当性评估</w:t>
      </w:r>
      <w:r>
        <w:tab/>
      </w:r>
      <w:r>
        <w:fldChar w:fldCharType="begin"/>
      </w:r>
      <w:r>
        <w:instrText xml:space="preserve"> PAGEREF _Toc63511888 \h </w:instrText>
      </w:r>
      <w:r>
        <w:fldChar w:fldCharType="separate"/>
      </w:r>
      <w:r>
        <w:t>36</w:t>
      </w:r>
      <w:r>
        <w:fldChar w:fldCharType="end"/>
      </w:r>
      <w:r>
        <w:rPr>
          <w:rFonts w:hint="eastAsia" w:ascii="Times New Roman" w:hAnsi="Times New Roman" w:eastAsia="仿宋_GB2312"/>
          <w:szCs w:val="24"/>
        </w:rPr>
        <w:fldChar w:fldCharType="end"/>
      </w:r>
    </w:p>
    <w:p w14:paraId="5B873FF8">
      <w:pPr>
        <w:pStyle w:val="12"/>
        <w:tabs>
          <w:tab w:val="right" w:leader="dot" w:pos="8306"/>
        </w:tabs>
      </w:pPr>
      <w:r>
        <w:rPr>
          <w:rFonts w:hint="eastAsia" w:ascii="Times New Roman" w:hAnsi="Times New Roman" w:eastAsia="仿宋_GB2312"/>
          <w:szCs w:val="24"/>
        </w:rPr>
        <w:fldChar w:fldCharType="begin"/>
      </w:r>
      <w:r>
        <w:rPr>
          <w:rFonts w:hint="eastAsia" w:ascii="Times New Roman" w:hAnsi="Times New Roman" w:eastAsia="仿宋_GB2312"/>
          <w:szCs w:val="24"/>
        </w:rPr>
        <w:instrText xml:space="preserve"> HYPERLINK \l _Toc1199109526 </w:instrText>
      </w:r>
      <w:r>
        <w:rPr>
          <w:rFonts w:hint="eastAsia" w:ascii="Times New Roman" w:hAnsi="Times New Roman" w:eastAsia="仿宋_GB2312"/>
          <w:szCs w:val="24"/>
        </w:rPr>
        <w:fldChar w:fldCharType="separate"/>
      </w:r>
      <w:r>
        <w:rPr>
          <w:rFonts w:hint="eastAsia" w:ascii="黑体" w:hAnsi="黑体" w:eastAsia="黑体"/>
          <w:szCs w:val="32"/>
        </w:rPr>
        <w:t xml:space="preserve">三、 </w:t>
      </w:r>
      <w:r>
        <w:rPr>
          <w:rFonts w:hint="eastAsia" w:ascii="黑体" w:hAnsi="黑体" w:eastAsia="黑体"/>
          <w:szCs w:val="30"/>
        </w:rPr>
        <w:t>充分揭示风险</w:t>
      </w:r>
      <w:r>
        <w:tab/>
      </w:r>
      <w:r>
        <w:fldChar w:fldCharType="begin"/>
      </w:r>
      <w:r>
        <w:instrText xml:space="preserve"> PAGEREF _Toc1199109526 \h </w:instrText>
      </w:r>
      <w:r>
        <w:fldChar w:fldCharType="separate"/>
      </w:r>
      <w:r>
        <w:t>36</w:t>
      </w:r>
      <w:r>
        <w:fldChar w:fldCharType="end"/>
      </w:r>
      <w:r>
        <w:rPr>
          <w:rFonts w:hint="eastAsia" w:ascii="Times New Roman" w:hAnsi="Times New Roman" w:eastAsia="仿宋_GB2312"/>
          <w:szCs w:val="24"/>
        </w:rPr>
        <w:fldChar w:fldCharType="end"/>
      </w:r>
    </w:p>
    <w:p w14:paraId="34085E2E">
      <w:pPr>
        <w:pStyle w:val="7"/>
        <w:tabs>
          <w:tab w:val="right" w:leader="dot" w:pos="8306"/>
        </w:tabs>
      </w:pPr>
      <w:r>
        <w:rPr>
          <w:rFonts w:hint="eastAsia" w:ascii="Times New Roman" w:hAnsi="Times New Roman" w:eastAsia="仿宋_GB2312"/>
          <w:szCs w:val="24"/>
        </w:rPr>
        <w:fldChar w:fldCharType="begin"/>
      </w:r>
      <w:r>
        <w:rPr>
          <w:rFonts w:hint="eastAsia" w:ascii="Times New Roman" w:hAnsi="Times New Roman" w:eastAsia="仿宋_GB2312"/>
          <w:szCs w:val="24"/>
        </w:rPr>
        <w:instrText xml:space="preserve"> HYPERLINK \l _Toc1705133923 </w:instrText>
      </w:r>
      <w:r>
        <w:rPr>
          <w:rFonts w:hint="eastAsia" w:ascii="Times New Roman" w:hAnsi="Times New Roman" w:eastAsia="仿宋_GB2312"/>
          <w:szCs w:val="24"/>
        </w:rPr>
        <w:fldChar w:fldCharType="separate"/>
      </w:r>
      <w:r>
        <w:rPr>
          <w:rFonts w:hint="eastAsia" w:ascii="仿宋_GB2312" w:hAnsi="宋体" w:eastAsia="仿宋_GB2312"/>
          <w:szCs w:val="28"/>
        </w:rPr>
        <w:t>(一) 制定风险揭示书</w:t>
      </w:r>
      <w:r>
        <w:tab/>
      </w:r>
      <w:r>
        <w:fldChar w:fldCharType="begin"/>
      </w:r>
      <w:r>
        <w:instrText xml:space="preserve"> PAGEREF _Toc1705133923 \h </w:instrText>
      </w:r>
      <w:r>
        <w:fldChar w:fldCharType="separate"/>
      </w:r>
      <w:r>
        <w:t>36</w:t>
      </w:r>
      <w:r>
        <w:fldChar w:fldCharType="end"/>
      </w:r>
      <w:r>
        <w:rPr>
          <w:rFonts w:hint="eastAsia" w:ascii="Times New Roman" w:hAnsi="Times New Roman" w:eastAsia="仿宋_GB2312"/>
          <w:szCs w:val="24"/>
        </w:rPr>
        <w:fldChar w:fldCharType="end"/>
      </w:r>
    </w:p>
    <w:p w14:paraId="3C6D7077">
      <w:pPr>
        <w:pStyle w:val="7"/>
        <w:tabs>
          <w:tab w:val="right" w:leader="dot" w:pos="8306"/>
        </w:tabs>
      </w:pPr>
      <w:r>
        <w:rPr>
          <w:rFonts w:hint="eastAsia" w:ascii="Times New Roman" w:hAnsi="Times New Roman" w:eastAsia="仿宋_GB2312"/>
          <w:szCs w:val="24"/>
        </w:rPr>
        <w:fldChar w:fldCharType="begin"/>
      </w:r>
      <w:r>
        <w:rPr>
          <w:rFonts w:hint="eastAsia" w:ascii="Times New Roman" w:hAnsi="Times New Roman" w:eastAsia="仿宋_GB2312"/>
          <w:szCs w:val="24"/>
        </w:rPr>
        <w:instrText xml:space="preserve"> HYPERLINK \l _Toc206189016 </w:instrText>
      </w:r>
      <w:r>
        <w:rPr>
          <w:rFonts w:hint="eastAsia" w:ascii="Times New Roman" w:hAnsi="Times New Roman" w:eastAsia="仿宋_GB2312"/>
          <w:szCs w:val="24"/>
        </w:rPr>
        <w:fldChar w:fldCharType="separate"/>
      </w:r>
      <w:r>
        <w:rPr>
          <w:rFonts w:hint="eastAsia" w:ascii="仿宋_GB2312" w:hAnsi="宋体" w:eastAsia="仿宋_GB2312"/>
          <w:szCs w:val="28"/>
        </w:rPr>
        <w:t>(二) 签署风险揭示书</w:t>
      </w:r>
      <w:r>
        <w:tab/>
      </w:r>
      <w:r>
        <w:fldChar w:fldCharType="begin"/>
      </w:r>
      <w:r>
        <w:instrText xml:space="preserve"> PAGEREF _Toc206189016 \h </w:instrText>
      </w:r>
      <w:r>
        <w:fldChar w:fldCharType="separate"/>
      </w:r>
      <w:r>
        <w:t>37</w:t>
      </w:r>
      <w:r>
        <w:fldChar w:fldCharType="end"/>
      </w:r>
      <w:r>
        <w:rPr>
          <w:rFonts w:hint="eastAsia" w:ascii="Times New Roman" w:hAnsi="Times New Roman" w:eastAsia="仿宋_GB2312"/>
          <w:szCs w:val="24"/>
        </w:rPr>
        <w:fldChar w:fldCharType="end"/>
      </w:r>
    </w:p>
    <w:p w14:paraId="7E07218E">
      <w:pPr>
        <w:pStyle w:val="7"/>
        <w:tabs>
          <w:tab w:val="right" w:leader="dot" w:pos="8306"/>
        </w:tabs>
      </w:pPr>
      <w:r>
        <w:rPr>
          <w:rFonts w:hint="eastAsia" w:ascii="Times New Roman" w:hAnsi="Times New Roman" w:eastAsia="仿宋_GB2312"/>
          <w:szCs w:val="24"/>
        </w:rPr>
        <w:fldChar w:fldCharType="begin"/>
      </w:r>
      <w:r>
        <w:rPr>
          <w:rFonts w:hint="eastAsia" w:ascii="Times New Roman" w:hAnsi="Times New Roman" w:eastAsia="仿宋_GB2312"/>
          <w:szCs w:val="24"/>
        </w:rPr>
        <w:instrText xml:space="preserve"> HYPERLINK \l _Toc186068116 </w:instrText>
      </w:r>
      <w:r>
        <w:rPr>
          <w:rFonts w:hint="eastAsia" w:ascii="Times New Roman" w:hAnsi="Times New Roman" w:eastAsia="仿宋_GB2312"/>
          <w:szCs w:val="24"/>
        </w:rPr>
        <w:fldChar w:fldCharType="separate"/>
      </w:r>
      <w:r>
        <w:rPr>
          <w:rFonts w:hint="eastAsia" w:ascii="仿宋_GB2312" w:hAnsi="宋体" w:eastAsia="仿宋_GB2312"/>
          <w:szCs w:val="28"/>
        </w:rPr>
        <w:t>(三) 重要风险揭示</w:t>
      </w:r>
      <w:r>
        <w:tab/>
      </w:r>
      <w:r>
        <w:fldChar w:fldCharType="begin"/>
      </w:r>
      <w:r>
        <w:instrText xml:space="preserve"> PAGEREF _Toc186068116 \h </w:instrText>
      </w:r>
      <w:r>
        <w:fldChar w:fldCharType="separate"/>
      </w:r>
      <w:r>
        <w:t>37</w:t>
      </w:r>
      <w:r>
        <w:fldChar w:fldCharType="end"/>
      </w:r>
      <w:r>
        <w:rPr>
          <w:rFonts w:hint="eastAsia" w:ascii="Times New Roman" w:hAnsi="Times New Roman" w:eastAsia="仿宋_GB2312"/>
          <w:szCs w:val="24"/>
        </w:rPr>
        <w:fldChar w:fldCharType="end"/>
      </w:r>
    </w:p>
    <w:p w14:paraId="64C64B19">
      <w:pPr>
        <w:pStyle w:val="12"/>
        <w:tabs>
          <w:tab w:val="right" w:leader="dot" w:pos="8306"/>
        </w:tabs>
      </w:pPr>
      <w:r>
        <w:rPr>
          <w:rFonts w:hint="eastAsia" w:ascii="Times New Roman" w:hAnsi="Times New Roman" w:eastAsia="仿宋_GB2312"/>
          <w:szCs w:val="24"/>
        </w:rPr>
        <w:fldChar w:fldCharType="begin"/>
      </w:r>
      <w:r>
        <w:rPr>
          <w:rFonts w:hint="eastAsia" w:ascii="Times New Roman" w:hAnsi="Times New Roman" w:eastAsia="仿宋_GB2312"/>
          <w:szCs w:val="24"/>
        </w:rPr>
        <w:instrText xml:space="preserve"> HYPERLINK \l _Toc1130603829 </w:instrText>
      </w:r>
      <w:r>
        <w:rPr>
          <w:rFonts w:hint="eastAsia" w:ascii="Times New Roman" w:hAnsi="Times New Roman" w:eastAsia="仿宋_GB2312"/>
          <w:szCs w:val="24"/>
        </w:rPr>
        <w:fldChar w:fldCharType="separate"/>
      </w:r>
      <w:r>
        <w:rPr>
          <w:rFonts w:hint="eastAsia" w:ascii="黑体" w:hAnsi="黑体" w:eastAsia="黑体"/>
          <w:szCs w:val="32"/>
        </w:rPr>
        <w:t xml:space="preserve">四、 </w:t>
      </w:r>
      <w:r>
        <w:rPr>
          <w:rFonts w:hint="eastAsia" w:ascii="黑体" w:hAnsi="黑体" w:eastAsia="黑体"/>
          <w:szCs w:val="30"/>
        </w:rPr>
        <w:t>投资风险教育</w:t>
      </w:r>
      <w:r>
        <w:tab/>
      </w:r>
      <w:r>
        <w:fldChar w:fldCharType="begin"/>
      </w:r>
      <w:r>
        <w:instrText xml:space="preserve"> PAGEREF _Toc1130603829 \h </w:instrText>
      </w:r>
      <w:r>
        <w:fldChar w:fldCharType="separate"/>
      </w:r>
      <w:r>
        <w:t>37</w:t>
      </w:r>
      <w:r>
        <w:fldChar w:fldCharType="end"/>
      </w:r>
      <w:r>
        <w:rPr>
          <w:rFonts w:hint="eastAsia" w:ascii="Times New Roman" w:hAnsi="Times New Roman" w:eastAsia="仿宋_GB2312"/>
          <w:szCs w:val="24"/>
        </w:rPr>
        <w:fldChar w:fldCharType="end"/>
      </w:r>
    </w:p>
    <w:p w14:paraId="04C6C98C">
      <w:pPr>
        <w:pStyle w:val="12"/>
        <w:tabs>
          <w:tab w:val="right" w:leader="dot" w:pos="8306"/>
        </w:tabs>
      </w:pPr>
      <w:r>
        <w:rPr>
          <w:rFonts w:hint="eastAsia" w:ascii="Times New Roman" w:hAnsi="Times New Roman" w:eastAsia="仿宋_GB2312"/>
          <w:szCs w:val="24"/>
        </w:rPr>
        <w:fldChar w:fldCharType="begin"/>
      </w:r>
      <w:r>
        <w:rPr>
          <w:rFonts w:hint="eastAsia" w:ascii="Times New Roman" w:hAnsi="Times New Roman" w:eastAsia="仿宋_GB2312"/>
          <w:szCs w:val="24"/>
        </w:rPr>
        <w:instrText xml:space="preserve"> HYPERLINK \l _Toc1045837502 </w:instrText>
      </w:r>
      <w:r>
        <w:rPr>
          <w:rFonts w:hint="eastAsia" w:ascii="Times New Roman" w:hAnsi="Times New Roman" w:eastAsia="仿宋_GB2312"/>
          <w:szCs w:val="24"/>
        </w:rPr>
        <w:fldChar w:fldCharType="separate"/>
      </w:r>
      <w:r>
        <w:rPr>
          <w:rFonts w:hint="eastAsia" w:ascii="黑体" w:hAnsi="黑体" w:eastAsia="黑体"/>
          <w:szCs w:val="32"/>
        </w:rPr>
        <w:t xml:space="preserve">五、 </w:t>
      </w:r>
      <w:r>
        <w:rPr>
          <w:rFonts w:hint="eastAsia" w:ascii="黑体" w:hAnsi="黑体" w:eastAsia="黑体"/>
          <w:szCs w:val="30"/>
        </w:rPr>
        <w:t>投资者回访机制</w:t>
      </w:r>
      <w:r>
        <w:tab/>
      </w:r>
      <w:r>
        <w:fldChar w:fldCharType="begin"/>
      </w:r>
      <w:r>
        <w:instrText xml:space="preserve"> PAGEREF _Toc1045837502 \h </w:instrText>
      </w:r>
      <w:r>
        <w:fldChar w:fldCharType="separate"/>
      </w:r>
      <w:r>
        <w:t>38</w:t>
      </w:r>
      <w:r>
        <w:fldChar w:fldCharType="end"/>
      </w:r>
      <w:r>
        <w:rPr>
          <w:rFonts w:hint="eastAsia" w:ascii="Times New Roman" w:hAnsi="Times New Roman" w:eastAsia="仿宋_GB2312"/>
          <w:szCs w:val="24"/>
        </w:rPr>
        <w:fldChar w:fldCharType="end"/>
      </w:r>
    </w:p>
    <w:p w14:paraId="2BFC7B9A">
      <w:pPr>
        <w:pStyle w:val="11"/>
        <w:tabs>
          <w:tab w:val="right" w:leader="dot" w:pos="8306"/>
        </w:tabs>
      </w:pPr>
      <w:r>
        <w:rPr>
          <w:rFonts w:hint="eastAsia" w:ascii="Times New Roman" w:hAnsi="Times New Roman" w:eastAsia="仿宋_GB2312"/>
          <w:szCs w:val="24"/>
        </w:rPr>
        <w:fldChar w:fldCharType="begin"/>
      </w:r>
      <w:r>
        <w:rPr>
          <w:rFonts w:hint="eastAsia" w:ascii="Times New Roman" w:hAnsi="Times New Roman" w:eastAsia="仿宋_GB2312"/>
          <w:szCs w:val="24"/>
        </w:rPr>
        <w:instrText xml:space="preserve"> HYPERLINK \l _Toc351204246 </w:instrText>
      </w:r>
      <w:r>
        <w:rPr>
          <w:rFonts w:hint="eastAsia" w:ascii="Times New Roman" w:hAnsi="Times New Roman" w:eastAsia="仿宋_GB2312"/>
          <w:szCs w:val="24"/>
        </w:rPr>
        <w:fldChar w:fldCharType="separate"/>
      </w:r>
      <w:r>
        <w:rPr>
          <w:rFonts w:hint="eastAsia" w:ascii="黑体" w:hAnsi="黑体" w:eastAsia="黑体"/>
          <w:szCs w:val="32"/>
        </w:rPr>
        <w:t>第五章  模板及附件</w:t>
      </w:r>
      <w:r>
        <w:tab/>
      </w:r>
      <w:r>
        <w:fldChar w:fldCharType="begin"/>
      </w:r>
      <w:r>
        <w:instrText xml:space="preserve"> PAGEREF _Toc351204246 \h </w:instrText>
      </w:r>
      <w:r>
        <w:fldChar w:fldCharType="separate"/>
      </w:r>
      <w:r>
        <w:t>39</w:t>
      </w:r>
      <w:r>
        <w:fldChar w:fldCharType="end"/>
      </w:r>
      <w:r>
        <w:rPr>
          <w:rFonts w:hint="eastAsia" w:ascii="Times New Roman" w:hAnsi="Times New Roman" w:eastAsia="仿宋_GB2312"/>
          <w:szCs w:val="24"/>
        </w:rPr>
        <w:fldChar w:fldCharType="end"/>
      </w:r>
    </w:p>
    <w:p w14:paraId="0BDC0D67">
      <w:pPr>
        <w:pStyle w:val="12"/>
        <w:tabs>
          <w:tab w:val="right" w:leader="dot" w:pos="8306"/>
        </w:tabs>
      </w:pPr>
      <w:r>
        <w:rPr>
          <w:rFonts w:hint="eastAsia" w:ascii="Times New Roman" w:hAnsi="Times New Roman" w:eastAsia="仿宋_GB2312"/>
          <w:szCs w:val="24"/>
        </w:rPr>
        <w:fldChar w:fldCharType="begin"/>
      </w:r>
      <w:r>
        <w:rPr>
          <w:rFonts w:hint="eastAsia" w:ascii="Times New Roman" w:hAnsi="Times New Roman" w:eastAsia="仿宋_GB2312"/>
          <w:szCs w:val="24"/>
        </w:rPr>
        <w:instrText xml:space="preserve"> HYPERLINK \l _Toc1881123361 </w:instrText>
      </w:r>
      <w:r>
        <w:rPr>
          <w:rFonts w:hint="eastAsia" w:ascii="Times New Roman" w:hAnsi="Times New Roman" w:eastAsia="仿宋_GB2312"/>
          <w:szCs w:val="24"/>
        </w:rPr>
        <w:fldChar w:fldCharType="separate"/>
      </w:r>
      <w:r>
        <w:rPr>
          <w:rFonts w:hint="eastAsia" w:ascii="黑体" w:hAnsi="黑体" w:eastAsia="黑体"/>
          <w:szCs w:val="32"/>
        </w:rPr>
        <w:t>一、 业务文件模板</w:t>
      </w:r>
      <w:r>
        <w:tab/>
      </w:r>
      <w:r>
        <w:fldChar w:fldCharType="begin"/>
      </w:r>
      <w:r>
        <w:instrText xml:space="preserve"> PAGEREF _Toc1881123361 \h </w:instrText>
      </w:r>
      <w:r>
        <w:fldChar w:fldCharType="separate"/>
      </w:r>
      <w:r>
        <w:t>39</w:t>
      </w:r>
      <w:r>
        <w:fldChar w:fldCharType="end"/>
      </w:r>
      <w:r>
        <w:rPr>
          <w:rFonts w:hint="eastAsia" w:ascii="Times New Roman" w:hAnsi="Times New Roman" w:eastAsia="仿宋_GB2312"/>
          <w:szCs w:val="24"/>
        </w:rPr>
        <w:fldChar w:fldCharType="end"/>
      </w:r>
    </w:p>
    <w:p w14:paraId="1CC1FFA6">
      <w:pPr>
        <w:pStyle w:val="7"/>
        <w:tabs>
          <w:tab w:val="right" w:leader="dot" w:pos="8306"/>
        </w:tabs>
      </w:pPr>
      <w:r>
        <w:rPr>
          <w:rFonts w:hint="eastAsia" w:ascii="Times New Roman" w:hAnsi="Times New Roman" w:eastAsia="仿宋_GB2312"/>
          <w:szCs w:val="24"/>
        </w:rPr>
        <w:fldChar w:fldCharType="begin"/>
      </w:r>
      <w:r>
        <w:rPr>
          <w:rFonts w:hint="eastAsia" w:ascii="Times New Roman" w:hAnsi="Times New Roman" w:eastAsia="仿宋_GB2312"/>
          <w:szCs w:val="24"/>
        </w:rPr>
        <w:instrText xml:space="preserve"> HYPERLINK \l _Toc1277351646 </w:instrText>
      </w:r>
      <w:r>
        <w:rPr>
          <w:rFonts w:hint="eastAsia" w:ascii="Times New Roman" w:hAnsi="Times New Roman" w:eastAsia="仿宋_GB2312"/>
          <w:szCs w:val="24"/>
        </w:rPr>
        <w:fldChar w:fldCharType="separate"/>
      </w:r>
      <w:r>
        <w:rPr>
          <w:rFonts w:hint="eastAsia" w:ascii="宋体" w:hAnsi="宋体"/>
          <w:szCs w:val="24"/>
        </w:rPr>
        <w:t>附件</w:t>
      </w:r>
      <w:r>
        <w:rPr>
          <w:rFonts w:hint="eastAsia" w:ascii="Times New Roman" w:hAnsi="Times New Roman"/>
          <w:szCs w:val="24"/>
        </w:rPr>
        <w:t>1</w:t>
      </w:r>
      <w:r>
        <w:rPr>
          <w:rFonts w:hint="eastAsia" w:ascii="宋体" w:hAnsi="宋体"/>
          <w:szCs w:val="24"/>
        </w:rPr>
        <w:t>-</w:t>
      </w:r>
      <w:r>
        <w:rPr>
          <w:rFonts w:hint="eastAsia" w:ascii="Times New Roman" w:hAnsi="Times New Roman"/>
          <w:szCs w:val="24"/>
        </w:rPr>
        <w:t>1</w:t>
      </w:r>
      <w:r>
        <w:rPr>
          <w:rFonts w:hint="eastAsia" w:ascii="宋体" w:hAnsi="宋体"/>
          <w:szCs w:val="24"/>
        </w:rPr>
        <w:t>：申请机构出具的业务办理授权书</w:t>
      </w:r>
      <w:r>
        <w:tab/>
      </w:r>
      <w:r>
        <w:fldChar w:fldCharType="begin"/>
      </w:r>
      <w:r>
        <w:instrText xml:space="preserve"> PAGEREF _Toc1277351646 \h </w:instrText>
      </w:r>
      <w:r>
        <w:fldChar w:fldCharType="separate"/>
      </w:r>
      <w:r>
        <w:t>39</w:t>
      </w:r>
      <w:r>
        <w:fldChar w:fldCharType="end"/>
      </w:r>
      <w:r>
        <w:rPr>
          <w:rFonts w:hint="eastAsia" w:ascii="Times New Roman" w:hAnsi="Times New Roman" w:eastAsia="仿宋_GB2312"/>
          <w:szCs w:val="24"/>
        </w:rPr>
        <w:fldChar w:fldCharType="end"/>
      </w:r>
    </w:p>
    <w:p w14:paraId="00231CCB">
      <w:pPr>
        <w:pStyle w:val="7"/>
        <w:tabs>
          <w:tab w:val="right" w:leader="dot" w:pos="8306"/>
        </w:tabs>
      </w:pPr>
      <w:r>
        <w:rPr>
          <w:rFonts w:hint="eastAsia" w:ascii="Times New Roman" w:hAnsi="Times New Roman" w:eastAsia="仿宋_GB2312"/>
          <w:szCs w:val="24"/>
        </w:rPr>
        <w:fldChar w:fldCharType="begin"/>
      </w:r>
      <w:r>
        <w:rPr>
          <w:rFonts w:hint="eastAsia" w:ascii="Times New Roman" w:hAnsi="Times New Roman" w:eastAsia="仿宋_GB2312"/>
          <w:szCs w:val="24"/>
        </w:rPr>
        <w:instrText xml:space="preserve"> HYPERLINK \l _Toc1344184749 </w:instrText>
      </w:r>
      <w:r>
        <w:rPr>
          <w:rFonts w:hint="eastAsia" w:ascii="Times New Roman" w:hAnsi="Times New Roman" w:eastAsia="仿宋_GB2312"/>
          <w:szCs w:val="24"/>
        </w:rPr>
        <w:fldChar w:fldCharType="separate"/>
      </w:r>
      <w:r>
        <w:rPr>
          <w:rFonts w:hint="eastAsia" w:ascii="宋体" w:hAnsi="宋体"/>
          <w:szCs w:val="24"/>
        </w:rPr>
        <w:t>附件</w:t>
      </w:r>
      <w:r>
        <w:rPr>
          <w:rFonts w:hint="eastAsia" w:ascii="Times New Roman" w:hAnsi="Times New Roman"/>
          <w:szCs w:val="24"/>
        </w:rPr>
        <w:t>1</w:t>
      </w:r>
      <w:r>
        <w:rPr>
          <w:rFonts w:hint="eastAsia" w:ascii="宋体" w:hAnsi="宋体"/>
          <w:szCs w:val="24"/>
        </w:rPr>
        <w:t>-</w:t>
      </w:r>
      <w:r>
        <w:rPr>
          <w:rFonts w:hint="eastAsia" w:ascii="Times New Roman" w:hAnsi="Times New Roman"/>
          <w:szCs w:val="24"/>
        </w:rPr>
        <w:t>2</w:t>
      </w:r>
      <w:r>
        <w:rPr>
          <w:rFonts w:hint="eastAsia" w:ascii="宋体" w:hAnsi="宋体"/>
          <w:szCs w:val="24"/>
        </w:rPr>
        <w:t>：基金公司指定发行人的授权</w:t>
      </w:r>
      <w:r>
        <w:tab/>
      </w:r>
      <w:r>
        <w:fldChar w:fldCharType="begin"/>
      </w:r>
      <w:r>
        <w:instrText xml:space="preserve"> PAGEREF _Toc1344184749 \h </w:instrText>
      </w:r>
      <w:r>
        <w:fldChar w:fldCharType="separate"/>
      </w:r>
      <w:r>
        <w:t>40</w:t>
      </w:r>
      <w:r>
        <w:fldChar w:fldCharType="end"/>
      </w:r>
      <w:r>
        <w:rPr>
          <w:rFonts w:hint="eastAsia" w:ascii="Times New Roman" w:hAnsi="Times New Roman" w:eastAsia="仿宋_GB2312"/>
          <w:szCs w:val="24"/>
        </w:rPr>
        <w:fldChar w:fldCharType="end"/>
      </w:r>
    </w:p>
    <w:p w14:paraId="2CC098A1">
      <w:pPr>
        <w:pStyle w:val="7"/>
        <w:tabs>
          <w:tab w:val="right" w:leader="dot" w:pos="8306"/>
        </w:tabs>
      </w:pPr>
      <w:r>
        <w:rPr>
          <w:rFonts w:hint="eastAsia" w:ascii="Times New Roman" w:hAnsi="Times New Roman" w:eastAsia="仿宋_GB2312"/>
          <w:szCs w:val="24"/>
        </w:rPr>
        <w:fldChar w:fldCharType="begin"/>
      </w:r>
      <w:r>
        <w:rPr>
          <w:rFonts w:hint="eastAsia" w:ascii="Times New Roman" w:hAnsi="Times New Roman" w:eastAsia="仿宋_GB2312"/>
          <w:szCs w:val="24"/>
        </w:rPr>
        <w:instrText xml:space="preserve"> HYPERLINK \l _Toc1981553305 </w:instrText>
      </w:r>
      <w:r>
        <w:rPr>
          <w:rFonts w:hint="eastAsia" w:ascii="Times New Roman" w:hAnsi="Times New Roman" w:eastAsia="仿宋_GB2312"/>
          <w:szCs w:val="24"/>
        </w:rPr>
        <w:fldChar w:fldCharType="separate"/>
      </w:r>
      <w:r>
        <w:rPr>
          <w:rFonts w:hint="eastAsia" w:ascii="宋体" w:hAnsi="宋体"/>
          <w:szCs w:val="24"/>
        </w:rPr>
        <w:t>附件</w:t>
      </w:r>
      <w:r>
        <w:rPr>
          <w:rFonts w:hint="eastAsia" w:ascii="Times New Roman" w:hAnsi="Times New Roman"/>
          <w:szCs w:val="24"/>
        </w:rPr>
        <w:t>1</w:t>
      </w:r>
      <w:r>
        <w:rPr>
          <w:rFonts w:hint="eastAsia" w:ascii="宋体" w:hAnsi="宋体"/>
          <w:szCs w:val="24"/>
        </w:rPr>
        <w:t>-</w:t>
      </w:r>
      <w:r>
        <w:rPr>
          <w:rFonts w:hint="eastAsia" w:ascii="Times New Roman" w:hAnsi="Times New Roman"/>
          <w:szCs w:val="24"/>
        </w:rPr>
        <w:t>3</w:t>
      </w:r>
      <w:r>
        <w:rPr>
          <w:rFonts w:hint="eastAsia" w:ascii="宋体" w:hAnsi="宋体"/>
          <w:szCs w:val="24"/>
        </w:rPr>
        <w:t>：网下机构投资者数字证书申请授权</w:t>
      </w:r>
      <w:r>
        <w:tab/>
      </w:r>
      <w:r>
        <w:fldChar w:fldCharType="begin"/>
      </w:r>
      <w:r>
        <w:instrText xml:space="preserve"> PAGEREF _Toc1981553305 \h </w:instrText>
      </w:r>
      <w:r>
        <w:fldChar w:fldCharType="separate"/>
      </w:r>
      <w:r>
        <w:t>41</w:t>
      </w:r>
      <w:r>
        <w:fldChar w:fldCharType="end"/>
      </w:r>
      <w:r>
        <w:rPr>
          <w:rFonts w:hint="eastAsia" w:ascii="Times New Roman" w:hAnsi="Times New Roman" w:eastAsia="仿宋_GB2312"/>
          <w:szCs w:val="24"/>
        </w:rPr>
        <w:fldChar w:fldCharType="end"/>
      </w:r>
    </w:p>
    <w:p w14:paraId="516CD23F">
      <w:pPr>
        <w:pStyle w:val="7"/>
        <w:tabs>
          <w:tab w:val="right" w:leader="dot" w:pos="8306"/>
        </w:tabs>
      </w:pPr>
      <w:r>
        <w:rPr>
          <w:rFonts w:hint="eastAsia" w:ascii="Times New Roman" w:hAnsi="Times New Roman" w:eastAsia="仿宋_GB2312"/>
          <w:szCs w:val="24"/>
        </w:rPr>
        <w:fldChar w:fldCharType="begin"/>
      </w:r>
      <w:r>
        <w:rPr>
          <w:rFonts w:hint="eastAsia" w:ascii="Times New Roman" w:hAnsi="Times New Roman" w:eastAsia="仿宋_GB2312"/>
          <w:szCs w:val="24"/>
        </w:rPr>
        <w:instrText xml:space="preserve"> HYPERLINK \l _Toc1656086901 </w:instrText>
      </w:r>
      <w:r>
        <w:rPr>
          <w:rFonts w:hint="eastAsia" w:ascii="Times New Roman" w:hAnsi="Times New Roman" w:eastAsia="仿宋_GB2312"/>
          <w:szCs w:val="24"/>
        </w:rPr>
        <w:fldChar w:fldCharType="separate"/>
      </w:r>
      <w:r>
        <w:rPr>
          <w:rFonts w:hint="eastAsia" w:ascii="宋体" w:hAnsi="宋体"/>
          <w:szCs w:val="24"/>
        </w:rPr>
        <w:t>附件</w:t>
      </w:r>
      <w:r>
        <w:rPr>
          <w:rFonts w:hint="eastAsia" w:ascii="Times New Roman" w:hAnsi="Times New Roman"/>
          <w:szCs w:val="24"/>
        </w:rPr>
        <w:t>1</w:t>
      </w:r>
      <w:r>
        <w:rPr>
          <w:rFonts w:hint="eastAsia" w:ascii="宋体" w:hAnsi="宋体"/>
          <w:szCs w:val="24"/>
        </w:rPr>
        <w:t>-</w:t>
      </w:r>
      <w:r>
        <w:rPr>
          <w:rFonts w:hint="eastAsia" w:ascii="Times New Roman" w:hAnsi="Times New Roman"/>
          <w:szCs w:val="24"/>
        </w:rPr>
        <w:t>4</w:t>
      </w:r>
      <w:r>
        <w:rPr>
          <w:rFonts w:hint="eastAsia" w:ascii="宋体" w:hAnsi="宋体"/>
          <w:szCs w:val="24"/>
        </w:rPr>
        <w:t>：基金管理人代网下机构投资者申请数字证书的承诺</w:t>
      </w:r>
      <w:r>
        <w:tab/>
      </w:r>
      <w:r>
        <w:fldChar w:fldCharType="begin"/>
      </w:r>
      <w:r>
        <w:instrText xml:space="preserve"> PAGEREF _Toc1656086901 \h </w:instrText>
      </w:r>
      <w:r>
        <w:fldChar w:fldCharType="separate"/>
      </w:r>
      <w:r>
        <w:t>43</w:t>
      </w:r>
      <w:r>
        <w:fldChar w:fldCharType="end"/>
      </w:r>
      <w:r>
        <w:rPr>
          <w:rFonts w:hint="eastAsia" w:ascii="Times New Roman" w:hAnsi="Times New Roman" w:eastAsia="仿宋_GB2312"/>
          <w:szCs w:val="24"/>
        </w:rPr>
        <w:fldChar w:fldCharType="end"/>
      </w:r>
    </w:p>
    <w:p w14:paraId="734D4A41">
      <w:pPr>
        <w:pStyle w:val="7"/>
        <w:tabs>
          <w:tab w:val="right" w:leader="dot" w:pos="8306"/>
        </w:tabs>
      </w:pPr>
      <w:r>
        <w:rPr>
          <w:rFonts w:hint="eastAsia" w:ascii="Times New Roman" w:hAnsi="Times New Roman" w:eastAsia="仿宋_GB2312"/>
          <w:szCs w:val="24"/>
        </w:rPr>
        <w:fldChar w:fldCharType="begin"/>
      </w:r>
      <w:r>
        <w:rPr>
          <w:rFonts w:hint="eastAsia" w:ascii="Times New Roman" w:hAnsi="Times New Roman" w:eastAsia="仿宋_GB2312"/>
          <w:szCs w:val="24"/>
        </w:rPr>
        <w:instrText xml:space="preserve"> HYPERLINK \l _Toc550651909 </w:instrText>
      </w:r>
      <w:r>
        <w:rPr>
          <w:rFonts w:hint="eastAsia" w:ascii="Times New Roman" w:hAnsi="Times New Roman" w:eastAsia="仿宋_GB2312"/>
          <w:szCs w:val="24"/>
        </w:rPr>
        <w:fldChar w:fldCharType="separate"/>
      </w:r>
      <w:r>
        <w:rPr>
          <w:rFonts w:hint="eastAsia" w:ascii="宋体" w:hAnsi="宋体"/>
          <w:szCs w:val="24"/>
        </w:rPr>
        <w:t>附件</w:t>
      </w:r>
      <w:r>
        <w:rPr>
          <w:rFonts w:hint="eastAsia" w:ascii="Times New Roman" w:hAnsi="Times New Roman"/>
          <w:szCs w:val="24"/>
        </w:rPr>
        <w:t>1</w:t>
      </w:r>
      <w:r>
        <w:rPr>
          <w:rFonts w:hint="eastAsia" w:ascii="宋体" w:hAnsi="宋体"/>
          <w:szCs w:val="24"/>
        </w:rPr>
        <w:t>-</w:t>
      </w:r>
      <w:r>
        <w:rPr>
          <w:rFonts w:hint="eastAsia" w:ascii="Times New Roman" w:hAnsi="Times New Roman"/>
          <w:szCs w:val="24"/>
        </w:rPr>
        <w:t>5</w:t>
      </w:r>
      <w:r>
        <w:rPr>
          <w:rFonts w:hint="eastAsia" w:ascii="宋体" w:hAnsi="宋体"/>
          <w:szCs w:val="24"/>
        </w:rPr>
        <w:t>：</w:t>
      </w:r>
      <w:r>
        <w:rPr>
          <w:rFonts w:hint="eastAsia" w:ascii="Times New Roman" w:hAnsi="Times New Roman"/>
          <w:szCs w:val="24"/>
        </w:rPr>
        <w:t>REITs</w:t>
      </w:r>
      <w:r>
        <w:rPr>
          <w:rFonts w:hint="eastAsia" w:ascii="宋体" w:hAnsi="宋体"/>
          <w:szCs w:val="24"/>
        </w:rPr>
        <w:t>全天候环境测试申请表</w:t>
      </w:r>
      <w:r>
        <w:tab/>
      </w:r>
      <w:r>
        <w:fldChar w:fldCharType="begin"/>
      </w:r>
      <w:r>
        <w:instrText xml:space="preserve"> PAGEREF _Toc550651909 \h </w:instrText>
      </w:r>
      <w:r>
        <w:fldChar w:fldCharType="separate"/>
      </w:r>
      <w:r>
        <w:t>44</w:t>
      </w:r>
      <w:r>
        <w:fldChar w:fldCharType="end"/>
      </w:r>
      <w:r>
        <w:rPr>
          <w:rFonts w:hint="eastAsia" w:ascii="Times New Roman" w:hAnsi="Times New Roman" w:eastAsia="仿宋_GB2312"/>
          <w:szCs w:val="24"/>
        </w:rPr>
        <w:fldChar w:fldCharType="end"/>
      </w:r>
    </w:p>
    <w:p w14:paraId="2FA791D0">
      <w:pPr>
        <w:pStyle w:val="7"/>
        <w:tabs>
          <w:tab w:val="right" w:leader="dot" w:pos="8306"/>
        </w:tabs>
      </w:pPr>
      <w:r>
        <w:rPr>
          <w:rFonts w:hint="eastAsia" w:ascii="Times New Roman" w:hAnsi="Times New Roman" w:eastAsia="仿宋_GB2312"/>
          <w:szCs w:val="24"/>
        </w:rPr>
        <w:fldChar w:fldCharType="begin"/>
      </w:r>
      <w:r>
        <w:rPr>
          <w:rFonts w:hint="eastAsia" w:ascii="Times New Roman" w:hAnsi="Times New Roman" w:eastAsia="仿宋_GB2312"/>
          <w:szCs w:val="24"/>
        </w:rPr>
        <w:instrText xml:space="preserve"> HYPERLINK \l _Toc1418600730 </w:instrText>
      </w:r>
      <w:r>
        <w:rPr>
          <w:rFonts w:hint="eastAsia" w:ascii="Times New Roman" w:hAnsi="Times New Roman" w:eastAsia="仿宋_GB2312"/>
          <w:szCs w:val="24"/>
        </w:rPr>
        <w:fldChar w:fldCharType="separate"/>
      </w:r>
      <w:r>
        <w:rPr>
          <w:rFonts w:hint="eastAsia" w:ascii="宋体" w:hAnsi="宋体"/>
        </w:rPr>
        <w:t>附件</w:t>
      </w:r>
      <w:r>
        <w:rPr>
          <w:rFonts w:hint="eastAsia" w:ascii="Times New Roman" w:hAnsi="Times New Roman"/>
        </w:rPr>
        <w:t>1</w:t>
      </w:r>
      <w:r>
        <w:rPr>
          <w:rFonts w:hint="eastAsia" w:ascii="宋体" w:hAnsi="宋体"/>
        </w:rPr>
        <w:t>-</w:t>
      </w:r>
      <w:r>
        <w:rPr>
          <w:rFonts w:hint="eastAsia" w:ascii="Times New Roman" w:hAnsi="Times New Roman"/>
        </w:rPr>
        <w:t>6</w:t>
      </w:r>
      <w:r>
        <w:rPr>
          <w:rFonts w:hint="eastAsia" w:ascii="宋体" w:hAnsi="宋体"/>
        </w:rPr>
        <w:t>：</w:t>
      </w:r>
      <w:r>
        <w:rPr>
          <w:rFonts w:hint="eastAsia" w:ascii="Times New Roman" w:hAnsi="Times New Roman"/>
        </w:rPr>
        <w:t>REITs</w:t>
      </w:r>
      <w:r>
        <w:rPr>
          <w:rFonts w:hint="eastAsia" w:ascii="宋体" w:hAnsi="宋体"/>
        </w:rPr>
        <w:t>全天候环境测试反馈表</w:t>
      </w:r>
      <w:r>
        <w:tab/>
      </w:r>
      <w:r>
        <w:fldChar w:fldCharType="begin"/>
      </w:r>
      <w:r>
        <w:instrText xml:space="preserve"> PAGEREF _Toc1418600730 \h </w:instrText>
      </w:r>
      <w:r>
        <w:fldChar w:fldCharType="separate"/>
      </w:r>
      <w:r>
        <w:t>45</w:t>
      </w:r>
      <w:r>
        <w:fldChar w:fldCharType="end"/>
      </w:r>
      <w:r>
        <w:rPr>
          <w:rFonts w:hint="eastAsia" w:ascii="Times New Roman" w:hAnsi="Times New Roman" w:eastAsia="仿宋_GB2312"/>
          <w:szCs w:val="24"/>
        </w:rPr>
        <w:fldChar w:fldCharType="end"/>
      </w:r>
    </w:p>
    <w:p w14:paraId="6229C599">
      <w:pPr>
        <w:pStyle w:val="7"/>
        <w:tabs>
          <w:tab w:val="right" w:leader="dot" w:pos="8306"/>
        </w:tabs>
      </w:pPr>
      <w:r>
        <w:rPr>
          <w:rFonts w:hint="eastAsia" w:ascii="Times New Roman" w:hAnsi="Times New Roman" w:eastAsia="仿宋_GB2312"/>
          <w:szCs w:val="24"/>
        </w:rPr>
        <w:fldChar w:fldCharType="begin"/>
      </w:r>
      <w:r>
        <w:rPr>
          <w:rFonts w:hint="eastAsia" w:ascii="Times New Roman" w:hAnsi="Times New Roman" w:eastAsia="仿宋_GB2312"/>
          <w:szCs w:val="24"/>
        </w:rPr>
        <w:instrText xml:space="preserve"> HYPERLINK \l _Toc505638593 </w:instrText>
      </w:r>
      <w:r>
        <w:rPr>
          <w:rFonts w:hint="eastAsia" w:ascii="Times New Roman" w:hAnsi="Times New Roman" w:eastAsia="仿宋_GB2312"/>
          <w:szCs w:val="24"/>
        </w:rPr>
        <w:fldChar w:fldCharType="separate"/>
      </w:r>
      <w:r>
        <w:rPr>
          <w:rFonts w:hint="eastAsia" w:ascii="宋体" w:hAnsi="宋体"/>
        </w:rPr>
        <w:t>附件</w:t>
      </w:r>
      <w:r>
        <w:rPr>
          <w:rFonts w:hint="eastAsia" w:ascii="Times New Roman" w:hAnsi="Times New Roman"/>
        </w:rPr>
        <w:t>1</w:t>
      </w:r>
      <w:r>
        <w:rPr>
          <w:rFonts w:hint="eastAsia" w:ascii="宋体" w:hAnsi="宋体"/>
        </w:rPr>
        <w:t>-</w:t>
      </w:r>
      <w:r>
        <w:rPr>
          <w:rFonts w:hint="eastAsia" w:ascii="Times New Roman" w:hAnsi="Times New Roman"/>
        </w:rPr>
        <w:t>7</w:t>
      </w:r>
      <w:r>
        <w:rPr>
          <w:rFonts w:hint="eastAsia" w:ascii="宋体" w:hAnsi="宋体"/>
        </w:rPr>
        <w:t>：代码、简称申请函</w:t>
      </w:r>
      <w:r>
        <w:tab/>
      </w:r>
      <w:r>
        <w:fldChar w:fldCharType="begin"/>
      </w:r>
      <w:r>
        <w:instrText xml:space="preserve"> PAGEREF _Toc505638593 \h </w:instrText>
      </w:r>
      <w:r>
        <w:fldChar w:fldCharType="separate"/>
      </w:r>
      <w:r>
        <w:t>46</w:t>
      </w:r>
      <w:r>
        <w:fldChar w:fldCharType="end"/>
      </w:r>
      <w:r>
        <w:rPr>
          <w:rFonts w:hint="eastAsia" w:ascii="Times New Roman" w:hAnsi="Times New Roman" w:eastAsia="仿宋_GB2312"/>
          <w:szCs w:val="24"/>
        </w:rPr>
        <w:fldChar w:fldCharType="end"/>
      </w:r>
    </w:p>
    <w:p w14:paraId="4E7248A8">
      <w:pPr>
        <w:pStyle w:val="7"/>
        <w:tabs>
          <w:tab w:val="right" w:leader="dot" w:pos="8306"/>
        </w:tabs>
      </w:pPr>
      <w:r>
        <w:rPr>
          <w:rFonts w:hint="eastAsia" w:ascii="Times New Roman" w:hAnsi="Times New Roman" w:eastAsia="仿宋_GB2312"/>
          <w:szCs w:val="24"/>
        </w:rPr>
        <w:fldChar w:fldCharType="begin"/>
      </w:r>
      <w:r>
        <w:rPr>
          <w:rFonts w:hint="eastAsia" w:ascii="Times New Roman" w:hAnsi="Times New Roman" w:eastAsia="仿宋_GB2312"/>
          <w:szCs w:val="24"/>
        </w:rPr>
        <w:instrText xml:space="preserve"> HYPERLINK \l _Toc1441226589 </w:instrText>
      </w:r>
      <w:r>
        <w:rPr>
          <w:rFonts w:hint="eastAsia" w:ascii="Times New Roman" w:hAnsi="Times New Roman" w:eastAsia="仿宋_GB2312"/>
          <w:szCs w:val="24"/>
        </w:rPr>
        <w:fldChar w:fldCharType="separate"/>
      </w:r>
      <w:r>
        <w:rPr>
          <w:rFonts w:hint="eastAsia" w:ascii="宋体" w:hAnsi="宋体"/>
        </w:rPr>
        <w:t>附件</w:t>
      </w:r>
      <w:r>
        <w:rPr>
          <w:rFonts w:hint="eastAsia" w:ascii="Times New Roman" w:hAnsi="Times New Roman"/>
        </w:rPr>
        <w:t>1</w:t>
      </w:r>
      <w:r>
        <w:rPr>
          <w:rFonts w:hint="eastAsia" w:ascii="宋体" w:hAnsi="宋体"/>
        </w:rPr>
        <w:t>-</w:t>
      </w:r>
      <w:r>
        <w:rPr>
          <w:rFonts w:hint="eastAsia" w:ascii="Times New Roman" w:hAnsi="Times New Roman"/>
        </w:rPr>
        <w:t>8</w:t>
      </w:r>
      <w:r>
        <w:rPr>
          <w:rFonts w:hint="eastAsia" w:ascii="宋体" w:hAnsi="宋体"/>
        </w:rPr>
        <w:t>：发售申请函</w:t>
      </w:r>
      <w:r>
        <w:tab/>
      </w:r>
      <w:r>
        <w:fldChar w:fldCharType="begin"/>
      </w:r>
      <w:r>
        <w:instrText xml:space="preserve"> PAGEREF _Toc1441226589 \h </w:instrText>
      </w:r>
      <w:r>
        <w:fldChar w:fldCharType="separate"/>
      </w:r>
      <w:r>
        <w:t>48</w:t>
      </w:r>
      <w:r>
        <w:fldChar w:fldCharType="end"/>
      </w:r>
      <w:r>
        <w:rPr>
          <w:rFonts w:hint="eastAsia" w:ascii="Times New Roman" w:hAnsi="Times New Roman" w:eastAsia="仿宋_GB2312"/>
          <w:szCs w:val="24"/>
        </w:rPr>
        <w:fldChar w:fldCharType="end"/>
      </w:r>
    </w:p>
    <w:p w14:paraId="5290E1A1">
      <w:pPr>
        <w:pStyle w:val="7"/>
        <w:tabs>
          <w:tab w:val="right" w:leader="dot" w:pos="8306"/>
        </w:tabs>
      </w:pPr>
      <w:r>
        <w:rPr>
          <w:rFonts w:hint="eastAsia" w:ascii="Times New Roman" w:hAnsi="Times New Roman" w:eastAsia="仿宋_GB2312"/>
          <w:szCs w:val="24"/>
        </w:rPr>
        <w:fldChar w:fldCharType="begin"/>
      </w:r>
      <w:r>
        <w:rPr>
          <w:rFonts w:hint="eastAsia" w:ascii="Times New Roman" w:hAnsi="Times New Roman" w:eastAsia="仿宋_GB2312"/>
          <w:szCs w:val="24"/>
        </w:rPr>
        <w:instrText xml:space="preserve"> HYPERLINK \l _Toc115006585 </w:instrText>
      </w:r>
      <w:r>
        <w:rPr>
          <w:rFonts w:hint="eastAsia" w:ascii="Times New Roman" w:hAnsi="Times New Roman" w:eastAsia="仿宋_GB2312"/>
          <w:szCs w:val="24"/>
        </w:rPr>
        <w:fldChar w:fldCharType="separate"/>
      </w:r>
      <w:r>
        <w:rPr>
          <w:rFonts w:hint="eastAsia" w:ascii="宋体" w:hAnsi="宋体"/>
        </w:rPr>
        <w:t>附件</w:t>
      </w:r>
      <w:r>
        <w:rPr>
          <w:rFonts w:hint="eastAsia" w:ascii="Times New Roman" w:hAnsi="Times New Roman"/>
        </w:rPr>
        <w:t>1</w:t>
      </w:r>
      <w:r>
        <w:rPr>
          <w:rFonts w:hint="eastAsia" w:ascii="宋体" w:hAnsi="宋体"/>
        </w:rPr>
        <w:t>-</w:t>
      </w:r>
      <w:r>
        <w:rPr>
          <w:rFonts w:hint="eastAsia" w:ascii="Times New Roman" w:hAnsi="Times New Roman"/>
        </w:rPr>
        <w:t>9</w:t>
      </w:r>
      <w:r>
        <w:rPr>
          <w:rFonts w:hint="eastAsia" w:ascii="宋体" w:hAnsi="宋体"/>
        </w:rPr>
        <w:t>：发行人自查和承诺反馈表</w:t>
      </w:r>
      <w:r>
        <w:tab/>
      </w:r>
      <w:r>
        <w:fldChar w:fldCharType="begin"/>
      </w:r>
      <w:r>
        <w:instrText xml:space="preserve"> PAGEREF _Toc115006585 \h </w:instrText>
      </w:r>
      <w:r>
        <w:fldChar w:fldCharType="separate"/>
      </w:r>
      <w:r>
        <w:t>49</w:t>
      </w:r>
      <w:r>
        <w:fldChar w:fldCharType="end"/>
      </w:r>
      <w:r>
        <w:rPr>
          <w:rFonts w:hint="eastAsia" w:ascii="Times New Roman" w:hAnsi="Times New Roman" w:eastAsia="仿宋_GB2312"/>
          <w:szCs w:val="24"/>
        </w:rPr>
        <w:fldChar w:fldCharType="end"/>
      </w:r>
    </w:p>
    <w:p w14:paraId="21BC3941">
      <w:pPr>
        <w:pStyle w:val="7"/>
        <w:tabs>
          <w:tab w:val="right" w:leader="dot" w:pos="8306"/>
        </w:tabs>
      </w:pPr>
      <w:r>
        <w:rPr>
          <w:rFonts w:hint="eastAsia" w:ascii="Times New Roman" w:hAnsi="Times New Roman" w:eastAsia="仿宋_GB2312"/>
          <w:szCs w:val="24"/>
        </w:rPr>
        <w:fldChar w:fldCharType="begin"/>
      </w:r>
      <w:r>
        <w:rPr>
          <w:rFonts w:hint="eastAsia" w:ascii="Times New Roman" w:hAnsi="Times New Roman" w:eastAsia="仿宋_GB2312"/>
          <w:szCs w:val="24"/>
        </w:rPr>
        <w:instrText xml:space="preserve"> HYPERLINK \l _Toc910126797 </w:instrText>
      </w:r>
      <w:r>
        <w:rPr>
          <w:rFonts w:hint="eastAsia" w:ascii="Times New Roman" w:hAnsi="Times New Roman" w:eastAsia="仿宋_GB2312"/>
          <w:szCs w:val="24"/>
        </w:rPr>
        <w:fldChar w:fldCharType="separate"/>
      </w:r>
      <w:r>
        <w:rPr>
          <w:rFonts w:hint="eastAsia" w:ascii="宋体" w:hAnsi="宋体"/>
        </w:rPr>
        <w:t>附件</w:t>
      </w:r>
      <w:r>
        <w:rPr>
          <w:rFonts w:hint="eastAsia" w:ascii="Times New Roman" w:hAnsi="Times New Roman"/>
        </w:rPr>
        <w:t>1</w:t>
      </w:r>
      <w:r>
        <w:rPr>
          <w:rFonts w:hint="eastAsia" w:ascii="宋体" w:hAnsi="宋体"/>
        </w:rPr>
        <w:t>-</w:t>
      </w:r>
      <w:r>
        <w:rPr>
          <w:rFonts w:hint="eastAsia" w:ascii="Times New Roman" w:hAnsi="Times New Roman"/>
        </w:rPr>
        <w:t>10</w:t>
      </w:r>
      <w:r>
        <w:rPr>
          <w:rFonts w:hint="eastAsia" w:ascii="宋体" w:hAnsi="宋体"/>
        </w:rPr>
        <w:t>：业务信息调整申请函</w:t>
      </w:r>
      <w:r>
        <w:tab/>
      </w:r>
      <w:r>
        <w:fldChar w:fldCharType="begin"/>
      </w:r>
      <w:r>
        <w:instrText xml:space="preserve"> PAGEREF _Toc910126797 \h </w:instrText>
      </w:r>
      <w:r>
        <w:fldChar w:fldCharType="separate"/>
      </w:r>
      <w:r>
        <w:t>50</w:t>
      </w:r>
      <w:r>
        <w:fldChar w:fldCharType="end"/>
      </w:r>
      <w:r>
        <w:rPr>
          <w:rFonts w:hint="eastAsia" w:ascii="Times New Roman" w:hAnsi="Times New Roman" w:eastAsia="仿宋_GB2312"/>
          <w:szCs w:val="24"/>
        </w:rPr>
        <w:fldChar w:fldCharType="end"/>
      </w:r>
    </w:p>
    <w:p w14:paraId="57DFFE59">
      <w:pPr>
        <w:pStyle w:val="7"/>
        <w:tabs>
          <w:tab w:val="right" w:leader="dot" w:pos="8306"/>
        </w:tabs>
      </w:pPr>
      <w:r>
        <w:rPr>
          <w:rFonts w:hint="eastAsia" w:ascii="Times New Roman" w:hAnsi="Times New Roman" w:eastAsia="仿宋_GB2312"/>
          <w:szCs w:val="24"/>
        </w:rPr>
        <w:fldChar w:fldCharType="begin"/>
      </w:r>
      <w:r>
        <w:rPr>
          <w:rFonts w:hint="eastAsia" w:ascii="Times New Roman" w:hAnsi="Times New Roman" w:eastAsia="仿宋_GB2312"/>
          <w:szCs w:val="24"/>
        </w:rPr>
        <w:instrText xml:space="preserve"> HYPERLINK \l _Toc2118149957 </w:instrText>
      </w:r>
      <w:r>
        <w:rPr>
          <w:rFonts w:hint="eastAsia" w:ascii="Times New Roman" w:hAnsi="Times New Roman" w:eastAsia="仿宋_GB2312"/>
          <w:szCs w:val="24"/>
        </w:rPr>
        <w:fldChar w:fldCharType="separate"/>
      </w:r>
      <w:r>
        <w:rPr>
          <w:rFonts w:hint="eastAsia" w:ascii="宋体" w:hAnsi="宋体"/>
        </w:rPr>
        <w:t>附件</w:t>
      </w:r>
      <w:r>
        <w:rPr>
          <w:rFonts w:hint="eastAsia" w:ascii="Times New Roman" w:hAnsi="Times New Roman"/>
        </w:rPr>
        <w:t>1</w:t>
      </w:r>
      <w:r>
        <w:rPr>
          <w:rFonts w:hint="eastAsia" w:ascii="宋体" w:hAnsi="宋体"/>
        </w:rPr>
        <w:t>-</w:t>
      </w:r>
      <w:r>
        <w:rPr>
          <w:rFonts w:hint="eastAsia" w:ascii="Times New Roman" w:hAnsi="Times New Roman"/>
        </w:rPr>
        <w:t>11</w:t>
      </w:r>
      <w:r>
        <w:rPr>
          <w:rFonts w:hint="eastAsia" w:ascii="宋体" w:hAnsi="宋体"/>
        </w:rPr>
        <w:t>：认购申请函</w:t>
      </w:r>
      <w:r>
        <w:tab/>
      </w:r>
      <w:r>
        <w:fldChar w:fldCharType="begin"/>
      </w:r>
      <w:r>
        <w:instrText xml:space="preserve"> PAGEREF _Toc2118149957 \h </w:instrText>
      </w:r>
      <w:r>
        <w:fldChar w:fldCharType="separate"/>
      </w:r>
      <w:r>
        <w:t>52</w:t>
      </w:r>
      <w:r>
        <w:fldChar w:fldCharType="end"/>
      </w:r>
      <w:r>
        <w:rPr>
          <w:rFonts w:hint="eastAsia" w:ascii="Times New Roman" w:hAnsi="Times New Roman" w:eastAsia="仿宋_GB2312"/>
          <w:szCs w:val="24"/>
        </w:rPr>
        <w:fldChar w:fldCharType="end"/>
      </w:r>
    </w:p>
    <w:p w14:paraId="3F39AD43">
      <w:pPr>
        <w:pStyle w:val="7"/>
        <w:tabs>
          <w:tab w:val="right" w:leader="dot" w:pos="8306"/>
        </w:tabs>
      </w:pPr>
      <w:r>
        <w:rPr>
          <w:rFonts w:hint="eastAsia" w:ascii="Times New Roman" w:hAnsi="Times New Roman" w:eastAsia="仿宋_GB2312"/>
          <w:szCs w:val="24"/>
        </w:rPr>
        <w:fldChar w:fldCharType="begin"/>
      </w:r>
      <w:r>
        <w:rPr>
          <w:rFonts w:hint="eastAsia" w:ascii="Times New Roman" w:hAnsi="Times New Roman" w:eastAsia="仿宋_GB2312"/>
          <w:szCs w:val="24"/>
        </w:rPr>
        <w:instrText xml:space="preserve"> HYPERLINK \l _Toc1607893359 </w:instrText>
      </w:r>
      <w:r>
        <w:rPr>
          <w:rFonts w:hint="eastAsia" w:ascii="Times New Roman" w:hAnsi="Times New Roman" w:eastAsia="仿宋_GB2312"/>
          <w:szCs w:val="24"/>
        </w:rPr>
        <w:fldChar w:fldCharType="separate"/>
      </w:r>
      <w:r>
        <w:rPr>
          <w:rFonts w:hint="eastAsia" w:ascii="宋体" w:hAnsi="宋体"/>
        </w:rPr>
        <w:t>附件</w:t>
      </w:r>
      <w:r>
        <w:rPr>
          <w:rFonts w:hint="eastAsia" w:ascii="Times New Roman" w:hAnsi="Times New Roman"/>
        </w:rPr>
        <w:t>1</w:t>
      </w:r>
      <w:r>
        <w:rPr>
          <w:rFonts w:hint="eastAsia" w:ascii="宋体" w:hAnsi="宋体"/>
        </w:rPr>
        <w:t>-</w:t>
      </w:r>
      <w:r>
        <w:rPr>
          <w:rFonts w:hint="eastAsia" w:ascii="Times New Roman" w:hAnsi="Times New Roman"/>
        </w:rPr>
        <w:t>12</w:t>
      </w:r>
      <w:r>
        <w:rPr>
          <w:rFonts w:hint="eastAsia" w:ascii="宋体" w:hAnsi="宋体"/>
        </w:rPr>
        <w:t>：认购日期变更申请函</w:t>
      </w:r>
      <w:r>
        <w:tab/>
      </w:r>
      <w:r>
        <w:fldChar w:fldCharType="begin"/>
      </w:r>
      <w:r>
        <w:instrText xml:space="preserve"> PAGEREF _Toc1607893359 \h </w:instrText>
      </w:r>
      <w:r>
        <w:fldChar w:fldCharType="separate"/>
      </w:r>
      <w:r>
        <w:t>53</w:t>
      </w:r>
      <w:r>
        <w:fldChar w:fldCharType="end"/>
      </w:r>
      <w:r>
        <w:rPr>
          <w:rFonts w:hint="eastAsia" w:ascii="Times New Roman" w:hAnsi="Times New Roman" w:eastAsia="仿宋_GB2312"/>
          <w:szCs w:val="24"/>
        </w:rPr>
        <w:fldChar w:fldCharType="end"/>
      </w:r>
    </w:p>
    <w:p w14:paraId="035308EE">
      <w:pPr>
        <w:pStyle w:val="7"/>
        <w:tabs>
          <w:tab w:val="right" w:leader="dot" w:pos="8306"/>
        </w:tabs>
      </w:pPr>
      <w:r>
        <w:rPr>
          <w:rFonts w:hint="eastAsia" w:ascii="Times New Roman" w:hAnsi="Times New Roman" w:eastAsia="仿宋_GB2312"/>
          <w:szCs w:val="24"/>
        </w:rPr>
        <w:fldChar w:fldCharType="begin"/>
      </w:r>
      <w:r>
        <w:rPr>
          <w:rFonts w:hint="eastAsia" w:ascii="Times New Roman" w:hAnsi="Times New Roman" w:eastAsia="仿宋_GB2312"/>
          <w:szCs w:val="24"/>
        </w:rPr>
        <w:instrText xml:space="preserve"> HYPERLINK \l _Toc1910228281 </w:instrText>
      </w:r>
      <w:r>
        <w:rPr>
          <w:rFonts w:hint="eastAsia" w:ascii="Times New Roman" w:hAnsi="Times New Roman" w:eastAsia="仿宋_GB2312"/>
          <w:szCs w:val="24"/>
        </w:rPr>
        <w:fldChar w:fldCharType="separate"/>
      </w:r>
      <w:r>
        <w:rPr>
          <w:rFonts w:hint="eastAsia" w:ascii="宋体" w:hAnsi="宋体"/>
        </w:rPr>
        <w:t>附件</w:t>
      </w:r>
      <w:r>
        <w:rPr>
          <w:rFonts w:hint="eastAsia" w:ascii="Times New Roman" w:hAnsi="Times New Roman"/>
        </w:rPr>
        <w:t>1</w:t>
      </w:r>
      <w:r>
        <w:rPr>
          <w:rFonts w:hint="eastAsia" w:ascii="宋体" w:hAnsi="宋体"/>
        </w:rPr>
        <w:t>-</w:t>
      </w:r>
      <w:r>
        <w:rPr>
          <w:rFonts w:hint="eastAsia" w:ascii="Times New Roman" w:hAnsi="Times New Roman"/>
        </w:rPr>
        <w:t>13</w:t>
      </w:r>
      <w:r>
        <w:rPr>
          <w:rFonts w:hint="eastAsia" w:ascii="宋体" w:hAnsi="宋体"/>
        </w:rPr>
        <w:t>：中止发售申请函</w:t>
      </w:r>
      <w:r>
        <w:tab/>
      </w:r>
      <w:r>
        <w:fldChar w:fldCharType="begin"/>
      </w:r>
      <w:r>
        <w:instrText xml:space="preserve"> PAGEREF _Toc1910228281 \h </w:instrText>
      </w:r>
      <w:r>
        <w:fldChar w:fldCharType="separate"/>
      </w:r>
      <w:r>
        <w:t>54</w:t>
      </w:r>
      <w:r>
        <w:fldChar w:fldCharType="end"/>
      </w:r>
      <w:r>
        <w:rPr>
          <w:rFonts w:hint="eastAsia" w:ascii="Times New Roman" w:hAnsi="Times New Roman" w:eastAsia="仿宋_GB2312"/>
          <w:szCs w:val="24"/>
        </w:rPr>
        <w:fldChar w:fldCharType="end"/>
      </w:r>
    </w:p>
    <w:p w14:paraId="4B55D5C4">
      <w:pPr>
        <w:pStyle w:val="7"/>
        <w:tabs>
          <w:tab w:val="right" w:leader="dot" w:pos="8306"/>
        </w:tabs>
      </w:pPr>
      <w:r>
        <w:rPr>
          <w:rFonts w:hint="eastAsia" w:ascii="Times New Roman" w:hAnsi="Times New Roman" w:eastAsia="仿宋_GB2312"/>
          <w:szCs w:val="24"/>
        </w:rPr>
        <w:fldChar w:fldCharType="begin"/>
      </w:r>
      <w:r>
        <w:rPr>
          <w:rFonts w:hint="eastAsia" w:ascii="Times New Roman" w:hAnsi="Times New Roman" w:eastAsia="仿宋_GB2312"/>
          <w:szCs w:val="24"/>
        </w:rPr>
        <w:instrText xml:space="preserve"> HYPERLINK \l _Toc1452848614 </w:instrText>
      </w:r>
      <w:r>
        <w:rPr>
          <w:rFonts w:hint="eastAsia" w:ascii="Times New Roman" w:hAnsi="Times New Roman" w:eastAsia="仿宋_GB2312"/>
          <w:szCs w:val="24"/>
        </w:rPr>
        <w:fldChar w:fldCharType="separate"/>
      </w:r>
      <w:r>
        <w:rPr>
          <w:rFonts w:hint="eastAsia" w:ascii="宋体" w:hAnsi="宋体"/>
        </w:rPr>
        <w:t>附件</w:t>
      </w:r>
      <w:r>
        <w:rPr>
          <w:rFonts w:hint="eastAsia" w:ascii="Times New Roman" w:hAnsi="Times New Roman"/>
        </w:rPr>
        <w:t>1</w:t>
      </w:r>
      <w:r>
        <w:rPr>
          <w:rFonts w:hint="eastAsia" w:ascii="宋体" w:hAnsi="宋体"/>
        </w:rPr>
        <w:t>-</w:t>
      </w:r>
      <w:r>
        <w:rPr>
          <w:rFonts w:hint="eastAsia" w:ascii="Times New Roman" w:hAnsi="Times New Roman"/>
        </w:rPr>
        <w:t>14</w:t>
      </w:r>
      <w:r>
        <w:rPr>
          <w:rFonts w:hint="eastAsia" w:ascii="宋体" w:hAnsi="宋体"/>
        </w:rPr>
        <w:t>：上市申请函</w:t>
      </w:r>
      <w:r>
        <w:tab/>
      </w:r>
      <w:r>
        <w:fldChar w:fldCharType="begin"/>
      </w:r>
      <w:r>
        <w:instrText xml:space="preserve"> PAGEREF _Toc1452848614 \h </w:instrText>
      </w:r>
      <w:r>
        <w:fldChar w:fldCharType="separate"/>
      </w:r>
      <w:r>
        <w:t>55</w:t>
      </w:r>
      <w:r>
        <w:fldChar w:fldCharType="end"/>
      </w:r>
      <w:r>
        <w:rPr>
          <w:rFonts w:hint="eastAsia" w:ascii="Times New Roman" w:hAnsi="Times New Roman" w:eastAsia="仿宋_GB2312"/>
          <w:szCs w:val="24"/>
        </w:rPr>
        <w:fldChar w:fldCharType="end"/>
      </w:r>
    </w:p>
    <w:p w14:paraId="12DC3F02">
      <w:pPr>
        <w:pStyle w:val="7"/>
        <w:tabs>
          <w:tab w:val="right" w:leader="dot" w:pos="8306"/>
        </w:tabs>
      </w:pPr>
      <w:r>
        <w:rPr>
          <w:rFonts w:hint="eastAsia" w:ascii="Times New Roman" w:hAnsi="Times New Roman" w:eastAsia="仿宋_GB2312"/>
          <w:szCs w:val="24"/>
        </w:rPr>
        <w:fldChar w:fldCharType="begin"/>
      </w:r>
      <w:r>
        <w:rPr>
          <w:rFonts w:hint="eastAsia" w:ascii="Times New Roman" w:hAnsi="Times New Roman" w:eastAsia="仿宋_GB2312"/>
          <w:szCs w:val="24"/>
        </w:rPr>
        <w:instrText xml:space="preserve"> HYPERLINK \l _Toc146621674 </w:instrText>
      </w:r>
      <w:r>
        <w:rPr>
          <w:rFonts w:hint="eastAsia" w:ascii="Times New Roman" w:hAnsi="Times New Roman" w:eastAsia="仿宋_GB2312"/>
          <w:szCs w:val="24"/>
        </w:rPr>
        <w:fldChar w:fldCharType="separate"/>
      </w:r>
      <w:r>
        <w:rPr>
          <w:rFonts w:hint="eastAsia" w:ascii="宋体" w:hAnsi="宋体"/>
        </w:rPr>
        <w:t>附件</w:t>
      </w:r>
      <w:r>
        <w:rPr>
          <w:rFonts w:hint="eastAsia" w:ascii="Times New Roman" w:hAnsi="Times New Roman"/>
        </w:rPr>
        <w:t>1</w:t>
      </w:r>
      <w:r>
        <w:rPr>
          <w:rFonts w:hint="eastAsia" w:ascii="宋体" w:hAnsi="宋体"/>
        </w:rPr>
        <w:t>-</w:t>
      </w:r>
      <w:r>
        <w:rPr>
          <w:rFonts w:hint="eastAsia" w:ascii="Times New Roman" w:hAnsi="Times New Roman"/>
        </w:rPr>
        <w:t>15</w:t>
      </w:r>
      <w:r>
        <w:rPr>
          <w:rFonts w:hint="eastAsia" w:ascii="宋体" w:hAnsi="宋体"/>
        </w:rPr>
        <w:t>：</w:t>
      </w:r>
      <w:r>
        <w:rPr>
          <w:rFonts w:hint="eastAsia" w:ascii="Times New Roman" w:hAnsi="Times New Roman"/>
        </w:rPr>
        <w:t>REITs</w:t>
      </w:r>
      <w:r>
        <w:rPr>
          <w:rFonts w:hint="eastAsia" w:ascii="宋体" w:hAnsi="宋体"/>
        </w:rPr>
        <w:t>账户信息</w:t>
      </w:r>
      <w:r>
        <w:tab/>
      </w:r>
      <w:r>
        <w:fldChar w:fldCharType="begin"/>
      </w:r>
      <w:r>
        <w:instrText xml:space="preserve"> PAGEREF _Toc146621674 \h </w:instrText>
      </w:r>
      <w:r>
        <w:fldChar w:fldCharType="separate"/>
      </w:r>
      <w:r>
        <w:t>57</w:t>
      </w:r>
      <w:r>
        <w:fldChar w:fldCharType="end"/>
      </w:r>
      <w:r>
        <w:rPr>
          <w:rFonts w:hint="eastAsia" w:ascii="Times New Roman" w:hAnsi="Times New Roman" w:eastAsia="仿宋_GB2312"/>
          <w:szCs w:val="24"/>
        </w:rPr>
        <w:fldChar w:fldCharType="end"/>
      </w:r>
    </w:p>
    <w:p w14:paraId="4CBEFDB6">
      <w:pPr>
        <w:pStyle w:val="7"/>
        <w:tabs>
          <w:tab w:val="right" w:leader="dot" w:pos="8306"/>
        </w:tabs>
      </w:pPr>
      <w:r>
        <w:rPr>
          <w:rFonts w:hint="eastAsia" w:ascii="Times New Roman" w:hAnsi="Times New Roman" w:eastAsia="仿宋_GB2312"/>
          <w:szCs w:val="24"/>
        </w:rPr>
        <w:fldChar w:fldCharType="begin"/>
      </w:r>
      <w:r>
        <w:rPr>
          <w:rFonts w:hint="eastAsia" w:ascii="Times New Roman" w:hAnsi="Times New Roman" w:eastAsia="仿宋_GB2312"/>
          <w:szCs w:val="24"/>
        </w:rPr>
        <w:instrText xml:space="preserve"> HYPERLINK \l _Toc1909752806 </w:instrText>
      </w:r>
      <w:r>
        <w:rPr>
          <w:rFonts w:hint="eastAsia" w:ascii="Times New Roman" w:hAnsi="Times New Roman" w:eastAsia="仿宋_GB2312"/>
          <w:szCs w:val="24"/>
        </w:rPr>
        <w:fldChar w:fldCharType="separate"/>
      </w:r>
      <w:r>
        <w:rPr>
          <w:rFonts w:hint="eastAsia" w:ascii="宋体" w:hAnsi="宋体"/>
        </w:rPr>
        <w:t>附件</w:t>
      </w:r>
      <w:r>
        <w:rPr>
          <w:rFonts w:hint="eastAsia" w:ascii="Times New Roman" w:hAnsi="Times New Roman"/>
        </w:rPr>
        <w:t>1</w:t>
      </w:r>
      <w:r>
        <w:rPr>
          <w:rFonts w:hint="eastAsia" w:ascii="宋体" w:hAnsi="宋体"/>
        </w:rPr>
        <w:t>-</w:t>
      </w:r>
      <w:r>
        <w:rPr>
          <w:rFonts w:hint="eastAsia" w:ascii="Times New Roman" w:hAnsi="Times New Roman"/>
        </w:rPr>
        <w:t>16</w:t>
      </w:r>
      <w:r>
        <w:rPr>
          <w:rFonts w:hint="eastAsia" w:ascii="宋体" w:hAnsi="宋体"/>
        </w:rPr>
        <w:t>：持有份额</w:t>
      </w:r>
      <w:r>
        <w:rPr>
          <w:rFonts w:hint="eastAsia" w:ascii="Times New Roman" w:hAnsi="Times New Roman"/>
        </w:rPr>
        <w:t>10%</w:t>
      </w:r>
      <w:r>
        <w:rPr>
          <w:rFonts w:hint="eastAsia" w:ascii="宋体" w:hAnsi="宋体"/>
        </w:rPr>
        <w:t>及以上基金持有人情况表</w:t>
      </w:r>
      <w:r>
        <w:tab/>
      </w:r>
      <w:r>
        <w:fldChar w:fldCharType="begin"/>
      </w:r>
      <w:r>
        <w:instrText xml:space="preserve"> PAGEREF _Toc1909752806 \h </w:instrText>
      </w:r>
      <w:r>
        <w:fldChar w:fldCharType="separate"/>
      </w:r>
      <w:r>
        <w:t>58</w:t>
      </w:r>
      <w:r>
        <w:fldChar w:fldCharType="end"/>
      </w:r>
      <w:r>
        <w:rPr>
          <w:rFonts w:hint="eastAsia" w:ascii="Times New Roman" w:hAnsi="Times New Roman" w:eastAsia="仿宋_GB2312"/>
          <w:szCs w:val="24"/>
        </w:rPr>
        <w:fldChar w:fldCharType="end"/>
      </w:r>
    </w:p>
    <w:p w14:paraId="46077667">
      <w:pPr>
        <w:pStyle w:val="7"/>
        <w:tabs>
          <w:tab w:val="right" w:leader="dot" w:pos="8306"/>
        </w:tabs>
      </w:pPr>
      <w:r>
        <w:rPr>
          <w:rFonts w:hint="eastAsia" w:ascii="Times New Roman" w:hAnsi="Times New Roman" w:eastAsia="仿宋_GB2312"/>
          <w:szCs w:val="24"/>
        </w:rPr>
        <w:fldChar w:fldCharType="begin"/>
      </w:r>
      <w:r>
        <w:rPr>
          <w:rFonts w:hint="eastAsia" w:ascii="Times New Roman" w:hAnsi="Times New Roman" w:eastAsia="仿宋_GB2312"/>
          <w:szCs w:val="24"/>
        </w:rPr>
        <w:instrText xml:space="preserve"> HYPERLINK \l _Toc1499765968 </w:instrText>
      </w:r>
      <w:r>
        <w:rPr>
          <w:rFonts w:hint="eastAsia" w:ascii="Times New Roman" w:hAnsi="Times New Roman" w:eastAsia="仿宋_GB2312"/>
          <w:szCs w:val="24"/>
        </w:rPr>
        <w:fldChar w:fldCharType="separate"/>
      </w:r>
      <w:r>
        <w:rPr>
          <w:rFonts w:hint="eastAsia" w:ascii="宋体" w:hAnsi="宋体"/>
        </w:rPr>
        <w:t>附件</w:t>
      </w:r>
      <w:r>
        <w:rPr>
          <w:rFonts w:hint="eastAsia" w:ascii="Times New Roman" w:hAnsi="Times New Roman"/>
        </w:rPr>
        <w:t>1</w:t>
      </w:r>
      <w:r>
        <w:rPr>
          <w:rFonts w:hint="eastAsia" w:ascii="宋体" w:hAnsi="宋体"/>
        </w:rPr>
        <w:t>-</w:t>
      </w:r>
      <w:r>
        <w:rPr>
          <w:rFonts w:hint="eastAsia" w:ascii="Times New Roman" w:hAnsi="Times New Roman"/>
        </w:rPr>
        <w:t>17</w:t>
      </w:r>
      <w:r>
        <w:rPr>
          <w:rFonts w:hint="eastAsia" w:ascii="宋体" w:hAnsi="宋体"/>
        </w:rPr>
        <w:t>：持有人结构申报表</w:t>
      </w:r>
      <w:r>
        <w:tab/>
      </w:r>
      <w:r>
        <w:fldChar w:fldCharType="begin"/>
      </w:r>
      <w:r>
        <w:instrText xml:space="preserve"> PAGEREF _Toc1499765968 \h </w:instrText>
      </w:r>
      <w:r>
        <w:fldChar w:fldCharType="separate"/>
      </w:r>
      <w:r>
        <w:t>60</w:t>
      </w:r>
      <w:r>
        <w:fldChar w:fldCharType="end"/>
      </w:r>
      <w:r>
        <w:rPr>
          <w:rFonts w:hint="eastAsia" w:ascii="Times New Roman" w:hAnsi="Times New Roman" w:eastAsia="仿宋_GB2312"/>
          <w:szCs w:val="24"/>
        </w:rPr>
        <w:fldChar w:fldCharType="end"/>
      </w:r>
    </w:p>
    <w:p w14:paraId="6EB5F26F">
      <w:pPr>
        <w:pStyle w:val="12"/>
        <w:tabs>
          <w:tab w:val="right" w:leader="dot" w:pos="8306"/>
        </w:tabs>
      </w:pPr>
      <w:r>
        <w:rPr>
          <w:rFonts w:hint="eastAsia" w:ascii="Times New Roman" w:hAnsi="Times New Roman" w:eastAsia="仿宋_GB2312"/>
          <w:szCs w:val="24"/>
        </w:rPr>
        <w:fldChar w:fldCharType="begin"/>
      </w:r>
      <w:r>
        <w:rPr>
          <w:rFonts w:hint="eastAsia" w:ascii="Times New Roman" w:hAnsi="Times New Roman" w:eastAsia="仿宋_GB2312"/>
          <w:szCs w:val="24"/>
        </w:rPr>
        <w:instrText xml:space="preserve"> HYPERLINK \l _Toc635264140 </w:instrText>
      </w:r>
      <w:r>
        <w:rPr>
          <w:rFonts w:hint="eastAsia" w:ascii="Times New Roman" w:hAnsi="Times New Roman" w:eastAsia="仿宋_GB2312"/>
          <w:szCs w:val="24"/>
        </w:rPr>
        <w:fldChar w:fldCharType="separate"/>
      </w:r>
      <w:r>
        <w:rPr>
          <w:rFonts w:hint="eastAsia" w:ascii="黑体" w:hAnsi="黑体" w:eastAsia="黑体"/>
          <w:szCs w:val="32"/>
        </w:rPr>
        <w:t>二、 公告文件要素</w:t>
      </w:r>
      <w:r>
        <w:tab/>
      </w:r>
      <w:r>
        <w:fldChar w:fldCharType="begin"/>
      </w:r>
      <w:r>
        <w:instrText xml:space="preserve"> PAGEREF _Toc635264140 \h </w:instrText>
      </w:r>
      <w:r>
        <w:fldChar w:fldCharType="separate"/>
      </w:r>
      <w:r>
        <w:t>62</w:t>
      </w:r>
      <w:r>
        <w:fldChar w:fldCharType="end"/>
      </w:r>
      <w:r>
        <w:rPr>
          <w:rFonts w:hint="eastAsia" w:ascii="Times New Roman" w:hAnsi="Times New Roman" w:eastAsia="仿宋_GB2312"/>
          <w:szCs w:val="24"/>
        </w:rPr>
        <w:fldChar w:fldCharType="end"/>
      </w:r>
    </w:p>
    <w:p w14:paraId="086F019B">
      <w:pPr>
        <w:pStyle w:val="7"/>
        <w:tabs>
          <w:tab w:val="right" w:leader="dot" w:pos="8306"/>
        </w:tabs>
      </w:pPr>
      <w:r>
        <w:rPr>
          <w:rFonts w:hint="eastAsia" w:ascii="Times New Roman" w:hAnsi="Times New Roman" w:eastAsia="仿宋_GB2312"/>
          <w:szCs w:val="24"/>
        </w:rPr>
        <w:fldChar w:fldCharType="begin"/>
      </w:r>
      <w:r>
        <w:rPr>
          <w:rFonts w:hint="eastAsia" w:ascii="Times New Roman" w:hAnsi="Times New Roman" w:eastAsia="仿宋_GB2312"/>
          <w:szCs w:val="24"/>
        </w:rPr>
        <w:instrText xml:space="preserve"> HYPERLINK \l _Toc1520784210 </w:instrText>
      </w:r>
      <w:r>
        <w:rPr>
          <w:rFonts w:hint="eastAsia" w:ascii="Times New Roman" w:hAnsi="Times New Roman" w:eastAsia="仿宋_GB2312"/>
          <w:szCs w:val="24"/>
        </w:rPr>
        <w:fldChar w:fldCharType="separate"/>
      </w:r>
      <w:r>
        <w:rPr>
          <w:rFonts w:hint="eastAsia" w:ascii="宋体" w:hAnsi="宋体"/>
        </w:rPr>
        <w:t>附件</w:t>
      </w:r>
      <w:r>
        <w:rPr>
          <w:rFonts w:hint="eastAsia" w:ascii="Times New Roman" w:hAnsi="Times New Roman"/>
        </w:rPr>
        <w:t>2</w:t>
      </w:r>
      <w:r>
        <w:rPr>
          <w:rFonts w:hint="eastAsia" w:ascii="宋体" w:hAnsi="宋体"/>
        </w:rPr>
        <w:t>-</w:t>
      </w:r>
      <w:r>
        <w:rPr>
          <w:rFonts w:hint="eastAsia" w:ascii="Times New Roman" w:hAnsi="Times New Roman"/>
        </w:rPr>
        <w:t>1</w:t>
      </w:r>
      <w:r>
        <w:rPr>
          <w:rFonts w:hint="eastAsia" w:ascii="宋体" w:hAnsi="宋体"/>
        </w:rPr>
        <w:t>：《询价公告》必备要素</w:t>
      </w:r>
      <w:r>
        <w:tab/>
      </w:r>
      <w:r>
        <w:fldChar w:fldCharType="begin"/>
      </w:r>
      <w:r>
        <w:instrText xml:space="preserve"> PAGEREF _Toc1520784210 \h </w:instrText>
      </w:r>
      <w:r>
        <w:fldChar w:fldCharType="separate"/>
      </w:r>
      <w:r>
        <w:t>62</w:t>
      </w:r>
      <w:r>
        <w:fldChar w:fldCharType="end"/>
      </w:r>
      <w:r>
        <w:rPr>
          <w:rFonts w:hint="eastAsia" w:ascii="Times New Roman" w:hAnsi="Times New Roman" w:eastAsia="仿宋_GB2312"/>
          <w:szCs w:val="24"/>
        </w:rPr>
        <w:fldChar w:fldCharType="end"/>
      </w:r>
    </w:p>
    <w:p w14:paraId="2518ADBF">
      <w:pPr>
        <w:pStyle w:val="7"/>
        <w:tabs>
          <w:tab w:val="right" w:leader="dot" w:pos="8306"/>
        </w:tabs>
      </w:pPr>
      <w:r>
        <w:rPr>
          <w:rFonts w:hint="eastAsia" w:ascii="Times New Roman" w:hAnsi="Times New Roman" w:eastAsia="仿宋_GB2312"/>
          <w:szCs w:val="24"/>
        </w:rPr>
        <w:fldChar w:fldCharType="begin"/>
      </w:r>
      <w:r>
        <w:rPr>
          <w:rFonts w:hint="eastAsia" w:ascii="Times New Roman" w:hAnsi="Times New Roman" w:eastAsia="仿宋_GB2312"/>
          <w:szCs w:val="24"/>
        </w:rPr>
        <w:instrText xml:space="preserve"> HYPERLINK \l _Toc2097242517 </w:instrText>
      </w:r>
      <w:r>
        <w:rPr>
          <w:rFonts w:hint="eastAsia" w:ascii="Times New Roman" w:hAnsi="Times New Roman" w:eastAsia="仿宋_GB2312"/>
          <w:szCs w:val="24"/>
        </w:rPr>
        <w:fldChar w:fldCharType="separate"/>
      </w:r>
      <w:r>
        <w:rPr>
          <w:rFonts w:hint="eastAsia" w:ascii="宋体" w:hAnsi="宋体"/>
        </w:rPr>
        <w:t>附件</w:t>
      </w:r>
      <w:r>
        <w:rPr>
          <w:rFonts w:hint="eastAsia" w:ascii="Times New Roman" w:hAnsi="Times New Roman"/>
        </w:rPr>
        <w:t>2</w:t>
      </w:r>
      <w:r>
        <w:rPr>
          <w:rFonts w:hint="eastAsia" w:ascii="宋体" w:hAnsi="宋体"/>
        </w:rPr>
        <w:t>-</w:t>
      </w:r>
      <w:r>
        <w:rPr>
          <w:rFonts w:hint="eastAsia" w:ascii="Times New Roman" w:hAnsi="Times New Roman"/>
        </w:rPr>
        <w:t>2</w:t>
      </w:r>
      <w:r>
        <w:rPr>
          <w:rFonts w:hint="eastAsia" w:ascii="宋体" w:hAnsi="宋体"/>
        </w:rPr>
        <w:t>：《发售公告》必备要素</w:t>
      </w:r>
      <w:r>
        <w:tab/>
      </w:r>
      <w:r>
        <w:fldChar w:fldCharType="begin"/>
      </w:r>
      <w:r>
        <w:instrText xml:space="preserve"> PAGEREF _Toc2097242517 \h </w:instrText>
      </w:r>
      <w:r>
        <w:fldChar w:fldCharType="separate"/>
      </w:r>
      <w:r>
        <w:t>64</w:t>
      </w:r>
      <w:r>
        <w:fldChar w:fldCharType="end"/>
      </w:r>
      <w:r>
        <w:rPr>
          <w:rFonts w:hint="eastAsia" w:ascii="Times New Roman" w:hAnsi="Times New Roman" w:eastAsia="仿宋_GB2312"/>
          <w:szCs w:val="24"/>
        </w:rPr>
        <w:fldChar w:fldCharType="end"/>
      </w:r>
    </w:p>
    <w:p w14:paraId="4C5F2C5A">
      <w:pPr>
        <w:pStyle w:val="7"/>
        <w:tabs>
          <w:tab w:val="right" w:leader="dot" w:pos="8306"/>
        </w:tabs>
      </w:pPr>
      <w:r>
        <w:rPr>
          <w:rFonts w:hint="eastAsia" w:ascii="Times New Roman" w:hAnsi="Times New Roman" w:eastAsia="仿宋_GB2312"/>
          <w:szCs w:val="24"/>
        </w:rPr>
        <w:fldChar w:fldCharType="begin"/>
      </w:r>
      <w:r>
        <w:rPr>
          <w:rFonts w:hint="eastAsia" w:ascii="Times New Roman" w:hAnsi="Times New Roman" w:eastAsia="仿宋_GB2312"/>
          <w:szCs w:val="24"/>
        </w:rPr>
        <w:instrText xml:space="preserve"> HYPERLINK \l _Toc1882462478 </w:instrText>
      </w:r>
      <w:r>
        <w:rPr>
          <w:rFonts w:hint="eastAsia" w:ascii="Times New Roman" w:hAnsi="Times New Roman" w:eastAsia="仿宋_GB2312"/>
          <w:szCs w:val="24"/>
        </w:rPr>
        <w:fldChar w:fldCharType="separate"/>
      </w:r>
      <w:r>
        <w:rPr>
          <w:rFonts w:hint="eastAsia" w:ascii="宋体" w:hAnsi="宋体"/>
        </w:rPr>
        <w:t>附件</w:t>
      </w:r>
      <w:r>
        <w:rPr>
          <w:rFonts w:hint="eastAsia" w:ascii="Times New Roman" w:hAnsi="Times New Roman"/>
        </w:rPr>
        <w:t>2</w:t>
      </w:r>
      <w:r>
        <w:rPr>
          <w:rFonts w:hint="eastAsia" w:ascii="宋体" w:hAnsi="宋体"/>
        </w:rPr>
        <w:t>-</w:t>
      </w:r>
      <w:r>
        <w:rPr>
          <w:rFonts w:hint="eastAsia" w:ascii="Times New Roman" w:hAnsi="Times New Roman"/>
        </w:rPr>
        <w:t>3</w:t>
      </w:r>
      <w:r>
        <w:rPr>
          <w:rFonts w:hint="eastAsia" w:ascii="宋体" w:hAnsi="宋体"/>
        </w:rPr>
        <w:t>：《基金合同生效公告》必备要素</w:t>
      </w:r>
      <w:r>
        <w:tab/>
      </w:r>
      <w:r>
        <w:fldChar w:fldCharType="begin"/>
      </w:r>
      <w:r>
        <w:instrText xml:space="preserve"> PAGEREF _Toc1882462478 \h </w:instrText>
      </w:r>
      <w:r>
        <w:fldChar w:fldCharType="separate"/>
      </w:r>
      <w:r>
        <w:t>66</w:t>
      </w:r>
      <w:r>
        <w:fldChar w:fldCharType="end"/>
      </w:r>
      <w:r>
        <w:rPr>
          <w:rFonts w:hint="eastAsia" w:ascii="Times New Roman" w:hAnsi="Times New Roman" w:eastAsia="仿宋_GB2312"/>
          <w:szCs w:val="24"/>
        </w:rPr>
        <w:fldChar w:fldCharType="end"/>
      </w:r>
    </w:p>
    <w:p w14:paraId="760A3964">
      <w:pPr>
        <w:pStyle w:val="7"/>
        <w:tabs>
          <w:tab w:val="right" w:leader="dot" w:pos="8306"/>
        </w:tabs>
      </w:pPr>
      <w:r>
        <w:rPr>
          <w:rFonts w:hint="eastAsia" w:ascii="Times New Roman" w:hAnsi="Times New Roman" w:eastAsia="仿宋_GB2312"/>
          <w:szCs w:val="24"/>
        </w:rPr>
        <w:fldChar w:fldCharType="begin"/>
      </w:r>
      <w:r>
        <w:rPr>
          <w:rFonts w:hint="eastAsia" w:ascii="Times New Roman" w:hAnsi="Times New Roman" w:eastAsia="仿宋_GB2312"/>
          <w:szCs w:val="24"/>
        </w:rPr>
        <w:instrText xml:space="preserve"> HYPERLINK \l _Toc1598617761 </w:instrText>
      </w:r>
      <w:r>
        <w:rPr>
          <w:rFonts w:hint="eastAsia" w:ascii="Times New Roman" w:hAnsi="Times New Roman" w:eastAsia="仿宋_GB2312"/>
          <w:szCs w:val="24"/>
        </w:rPr>
        <w:fldChar w:fldCharType="separate"/>
      </w:r>
      <w:r>
        <w:rPr>
          <w:rFonts w:hint="eastAsia" w:ascii="宋体" w:hAnsi="宋体"/>
        </w:rPr>
        <w:t>附件</w:t>
      </w:r>
      <w:r>
        <w:rPr>
          <w:rFonts w:hint="eastAsia" w:ascii="Times New Roman" w:hAnsi="Times New Roman"/>
        </w:rPr>
        <w:t>2</w:t>
      </w:r>
      <w:r>
        <w:rPr>
          <w:rFonts w:hint="eastAsia" w:ascii="宋体" w:hAnsi="宋体"/>
        </w:rPr>
        <w:t>-</w:t>
      </w:r>
      <w:r>
        <w:rPr>
          <w:rFonts w:hint="eastAsia" w:ascii="Times New Roman" w:hAnsi="Times New Roman"/>
        </w:rPr>
        <w:t>4</w:t>
      </w:r>
      <w:r>
        <w:rPr>
          <w:rFonts w:hint="eastAsia" w:ascii="宋体" w:hAnsi="宋体"/>
        </w:rPr>
        <w:t>：《限售/锁定公告》必备要素</w:t>
      </w:r>
      <w:r>
        <w:tab/>
      </w:r>
      <w:r>
        <w:fldChar w:fldCharType="begin"/>
      </w:r>
      <w:r>
        <w:instrText xml:space="preserve"> PAGEREF _Toc1598617761 \h </w:instrText>
      </w:r>
      <w:r>
        <w:fldChar w:fldCharType="separate"/>
      </w:r>
      <w:r>
        <w:t>67</w:t>
      </w:r>
      <w:r>
        <w:fldChar w:fldCharType="end"/>
      </w:r>
      <w:r>
        <w:rPr>
          <w:rFonts w:hint="eastAsia" w:ascii="Times New Roman" w:hAnsi="Times New Roman" w:eastAsia="仿宋_GB2312"/>
          <w:szCs w:val="24"/>
        </w:rPr>
        <w:fldChar w:fldCharType="end"/>
      </w:r>
    </w:p>
    <w:p w14:paraId="1E556B69">
      <w:pPr>
        <w:pStyle w:val="7"/>
        <w:tabs>
          <w:tab w:val="right" w:leader="dot" w:pos="8306"/>
        </w:tabs>
      </w:pPr>
      <w:r>
        <w:rPr>
          <w:rFonts w:hint="eastAsia" w:ascii="Times New Roman" w:hAnsi="Times New Roman" w:eastAsia="仿宋_GB2312"/>
          <w:szCs w:val="24"/>
        </w:rPr>
        <w:fldChar w:fldCharType="begin"/>
      </w:r>
      <w:r>
        <w:rPr>
          <w:rFonts w:hint="eastAsia" w:ascii="Times New Roman" w:hAnsi="Times New Roman" w:eastAsia="仿宋_GB2312"/>
          <w:szCs w:val="24"/>
        </w:rPr>
        <w:instrText xml:space="preserve"> HYPERLINK \l _Toc13270758 </w:instrText>
      </w:r>
      <w:r>
        <w:rPr>
          <w:rFonts w:hint="eastAsia" w:ascii="Times New Roman" w:hAnsi="Times New Roman" w:eastAsia="仿宋_GB2312"/>
          <w:szCs w:val="24"/>
        </w:rPr>
        <w:fldChar w:fldCharType="separate"/>
      </w:r>
      <w:r>
        <w:rPr>
          <w:rFonts w:hint="eastAsia" w:ascii="宋体" w:hAnsi="宋体"/>
        </w:rPr>
        <w:t>附件</w:t>
      </w:r>
      <w:r>
        <w:rPr>
          <w:rFonts w:hint="eastAsia" w:ascii="Times New Roman" w:hAnsi="Times New Roman"/>
        </w:rPr>
        <w:t>2</w:t>
      </w:r>
      <w:r>
        <w:rPr>
          <w:rFonts w:hint="eastAsia" w:ascii="宋体" w:hAnsi="宋体"/>
        </w:rPr>
        <w:t>-</w:t>
      </w:r>
      <w:r>
        <w:rPr>
          <w:rFonts w:hint="eastAsia" w:ascii="Times New Roman" w:hAnsi="Times New Roman"/>
        </w:rPr>
        <w:t>5</w:t>
      </w:r>
      <w:r>
        <w:rPr>
          <w:rFonts w:hint="eastAsia" w:ascii="宋体" w:hAnsi="宋体"/>
        </w:rPr>
        <w:t>：《上市交易公告书》必备要素</w:t>
      </w:r>
      <w:r>
        <w:tab/>
      </w:r>
      <w:r>
        <w:fldChar w:fldCharType="begin"/>
      </w:r>
      <w:r>
        <w:instrText xml:space="preserve"> PAGEREF _Toc13270758 \h </w:instrText>
      </w:r>
      <w:r>
        <w:fldChar w:fldCharType="separate"/>
      </w:r>
      <w:r>
        <w:t>68</w:t>
      </w:r>
      <w:r>
        <w:fldChar w:fldCharType="end"/>
      </w:r>
      <w:r>
        <w:rPr>
          <w:rFonts w:hint="eastAsia" w:ascii="Times New Roman" w:hAnsi="Times New Roman" w:eastAsia="仿宋_GB2312"/>
          <w:szCs w:val="24"/>
        </w:rPr>
        <w:fldChar w:fldCharType="end"/>
      </w:r>
    </w:p>
    <w:p w14:paraId="3C7C522A">
      <w:pPr>
        <w:spacing w:line="360" w:lineRule="exact"/>
        <w:rPr>
          <w:rFonts w:hint="eastAsia" w:ascii="仿宋_GB2312" w:hAnsi="黑体" w:eastAsia="仿宋_GB2312"/>
          <w:sz w:val="24"/>
          <w:szCs w:val="24"/>
        </w:rPr>
      </w:pPr>
      <w:r>
        <w:rPr>
          <w:rFonts w:hint="eastAsia" w:ascii="Times New Roman" w:hAnsi="Times New Roman" w:eastAsia="仿宋_GB2312"/>
          <w:szCs w:val="24"/>
        </w:rPr>
        <w:fldChar w:fldCharType="end"/>
      </w:r>
    </w:p>
    <w:p w14:paraId="0868DACC">
      <w:pPr>
        <w:pStyle w:val="13"/>
        <w:snapToGrid w:val="0"/>
        <w:spacing w:line="360" w:lineRule="auto"/>
        <w:jc w:val="center"/>
        <w:outlineLvl w:val="0"/>
        <w:rPr>
          <w:rFonts w:hint="eastAsia" w:ascii="黑体" w:hAnsi="黑体" w:eastAsia="黑体"/>
          <w:b/>
          <w:sz w:val="32"/>
          <w:szCs w:val="32"/>
        </w:rPr>
      </w:pPr>
      <w:r>
        <w:rPr>
          <w:rFonts w:ascii="黑体" w:hAnsi="黑体" w:eastAsia="黑体"/>
          <w:b/>
          <w:sz w:val="32"/>
          <w:szCs w:val="32"/>
        </w:rPr>
        <w:br w:type="page"/>
      </w:r>
      <w:bookmarkStart w:id="2" w:name="_Toc9075"/>
      <w:bookmarkStart w:id="3" w:name="_Toc1802212295"/>
      <w:bookmarkStart w:id="4" w:name="_Toc25516"/>
      <w:bookmarkStart w:id="5" w:name="_Toc16925"/>
      <w:bookmarkStart w:id="6" w:name="_Toc1613518987"/>
      <w:bookmarkStart w:id="7" w:name="_Toc1028000935"/>
      <w:bookmarkStart w:id="8" w:name="_Toc1029"/>
      <w:bookmarkStart w:id="9" w:name="_Toc7617"/>
      <w:bookmarkStart w:id="10" w:name="_Toc446"/>
      <w:bookmarkStart w:id="11" w:name="_Toc2085954929"/>
      <w:bookmarkStart w:id="12" w:name="_Toc394201832"/>
      <w:bookmarkStart w:id="13" w:name="_Toc10253"/>
      <w:bookmarkStart w:id="14" w:name="_Toc1404293682"/>
      <w:bookmarkStart w:id="15" w:name="_Toc21721"/>
      <w:bookmarkStart w:id="16" w:name="_Toc2863"/>
      <w:bookmarkStart w:id="17" w:name="_Toc15590"/>
      <w:bookmarkStart w:id="18" w:name="_Toc1892420555"/>
      <w:bookmarkStart w:id="19" w:name="_Toc5914"/>
      <w:bookmarkStart w:id="20" w:name="_Toc20553"/>
      <w:bookmarkStart w:id="21" w:name="_Toc65181407"/>
      <w:bookmarkStart w:id="22" w:name="_Toc4223"/>
      <w:bookmarkStart w:id="23" w:name="_Toc8598"/>
      <w:bookmarkStart w:id="24" w:name="_Toc70604204"/>
      <w:bookmarkStart w:id="25" w:name="_Toc18154"/>
      <w:bookmarkStart w:id="26" w:name="_Toc10478"/>
      <w:r>
        <w:rPr>
          <w:rFonts w:hint="eastAsia" w:ascii="黑体" w:hAnsi="黑体" w:eastAsia="黑体"/>
          <w:b/>
          <w:sz w:val="32"/>
          <w:szCs w:val="32"/>
        </w:rPr>
        <w:t>第一章  总则</w:t>
      </w:r>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p>
    <w:p w14:paraId="399E66CD">
      <w:pPr>
        <w:pStyle w:val="13"/>
        <w:snapToGrid w:val="0"/>
        <w:spacing w:before="0" w:beforeAutospacing="0" w:after="0" w:afterAutospacing="0" w:line="360" w:lineRule="auto"/>
        <w:ind w:firstLine="480" w:firstLineChars="200"/>
        <w:rPr>
          <w:rFonts w:hint="eastAsia" w:ascii="仿宋_GB2312" w:hAnsi="仿宋" w:eastAsia="仿宋_GB2312"/>
        </w:rPr>
      </w:pPr>
    </w:p>
    <w:p w14:paraId="0CDAA423">
      <w:pPr>
        <w:pStyle w:val="13"/>
        <w:snapToGrid w:val="0"/>
        <w:spacing w:before="0" w:beforeAutospacing="0" w:after="0" w:afterAutospacing="0" w:line="360" w:lineRule="auto"/>
        <w:ind w:firstLine="480" w:firstLineChars="200"/>
        <w:jc w:val="both"/>
        <w:rPr>
          <w:rFonts w:hint="eastAsia" w:ascii="仿宋_GB2312" w:hAnsi="仿宋" w:eastAsia="仿宋_GB2312"/>
        </w:rPr>
      </w:pPr>
      <w:r>
        <w:rPr>
          <w:rFonts w:hint="eastAsia" w:ascii="仿宋_GB2312" w:hAnsi="仿宋" w:eastAsia="仿宋_GB2312"/>
        </w:rPr>
        <w:t>为了规范上海证券交易所（以下简称本所）公开募集不动产投资信托基金（以下简称</w:t>
      </w:r>
      <w:r>
        <w:rPr>
          <w:rFonts w:hint="eastAsia" w:ascii="Times New Roman" w:hAnsi="Times New Roman" w:eastAsia="仿宋_GB2312"/>
        </w:rPr>
        <w:t>REITs</w:t>
      </w:r>
      <w:r>
        <w:rPr>
          <w:rFonts w:hint="eastAsia" w:ascii="仿宋_GB2312" w:hAnsi="仿宋" w:eastAsia="仿宋_GB2312"/>
        </w:rPr>
        <w:t>）的网下询价、认购、上市及相关信息披露工作，指导基金管理人、财务顾问以及网下机构投资者等市场参与机构办理</w:t>
      </w:r>
      <w:r>
        <w:rPr>
          <w:rFonts w:hint="eastAsia" w:ascii="Times New Roman" w:hAnsi="Times New Roman" w:eastAsia="仿宋_GB2312"/>
        </w:rPr>
        <w:t>REITs</w:t>
      </w:r>
      <w:r>
        <w:rPr>
          <w:rFonts w:hint="eastAsia" w:ascii="仿宋_GB2312" w:hAnsi="仿宋" w:eastAsia="仿宋_GB2312"/>
        </w:rPr>
        <w:t>发售上市业务，规范基金管理人、证券公司做好投资者适当性管理，提高本所业务受理效率和服务质量，制定本指南。</w:t>
      </w:r>
    </w:p>
    <w:p w14:paraId="3AD78824">
      <w:pPr>
        <w:pStyle w:val="13"/>
        <w:snapToGrid w:val="0"/>
        <w:spacing w:before="0" w:beforeAutospacing="0" w:after="0" w:afterAutospacing="0" w:line="360" w:lineRule="auto"/>
        <w:ind w:firstLine="480" w:firstLineChars="200"/>
        <w:jc w:val="both"/>
        <w:rPr>
          <w:rFonts w:hint="eastAsia" w:ascii="仿宋_GB2312" w:hAnsi="仿宋" w:eastAsia="仿宋_GB2312"/>
        </w:rPr>
      </w:pPr>
      <w:r>
        <w:rPr>
          <w:rFonts w:hint="eastAsia" w:ascii="仿宋_GB2312" w:hAnsi="仿宋" w:eastAsia="仿宋_GB2312"/>
        </w:rPr>
        <w:t>本指南适用于办理</w:t>
      </w:r>
      <w:r>
        <w:rPr>
          <w:rFonts w:hint="eastAsia" w:ascii="Times New Roman" w:hAnsi="Times New Roman" w:eastAsia="仿宋_GB2312"/>
        </w:rPr>
        <w:t>REITs</w:t>
      </w:r>
      <w:r>
        <w:rPr>
          <w:rFonts w:hint="eastAsia" w:ascii="仿宋_GB2312" w:hAnsi="仿宋" w:eastAsia="仿宋_GB2312"/>
        </w:rPr>
        <w:t>的发售与上市相关业务，依据《上海证券交易所证券投资基金上市规则（修订稿）》《上海证券交易所公开募集不动产投资信托基金</w:t>
      </w:r>
      <w:r>
        <w:rPr>
          <w:rFonts w:hint="eastAsia" w:ascii="Times New Roman" w:hAnsi="Times New Roman" w:eastAsia="仿宋_GB2312" w:cs="Times New Roman"/>
        </w:rPr>
        <w:t>（REITs）</w:t>
      </w:r>
      <w:r>
        <w:rPr>
          <w:rFonts w:hint="eastAsia" w:ascii="仿宋_GB2312" w:hAnsi="仿宋" w:eastAsia="仿宋_GB2312"/>
        </w:rPr>
        <w:t>业务办法（试行）</w:t>
      </w:r>
      <w:r>
        <w:rPr>
          <w:rFonts w:ascii="仿宋_GB2312" w:hAnsi="仿宋" w:eastAsia="仿宋_GB2312"/>
        </w:rPr>
        <w:t>》</w:t>
      </w:r>
      <w:r>
        <w:rPr>
          <w:rFonts w:hint="eastAsia" w:ascii="仿宋_GB2312" w:hAnsi="仿宋" w:eastAsia="仿宋_GB2312"/>
        </w:rPr>
        <w:t>《上海证券交易所公开募集不动产投资信托基金（</w:t>
      </w:r>
      <w:r>
        <w:rPr>
          <w:rFonts w:hint="eastAsia" w:ascii="Times New Roman" w:hAnsi="Times New Roman" w:eastAsia="仿宋_GB2312" w:cs="Times New Roman"/>
        </w:rPr>
        <w:t>REITs</w:t>
      </w:r>
      <w:r>
        <w:rPr>
          <w:rFonts w:hint="eastAsia" w:ascii="仿宋_GB2312" w:hAnsi="仿宋" w:eastAsia="仿宋_GB2312"/>
        </w:rPr>
        <w:t>）规则适用指引第</w:t>
      </w:r>
      <w:r>
        <w:rPr>
          <w:rFonts w:hint="eastAsia" w:ascii="Times New Roman" w:hAnsi="Times New Roman" w:eastAsia="仿宋_GB2312" w:cs="Times New Roman"/>
        </w:rPr>
        <w:t>2</w:t>
      </w:r>
      <w:r>
        <w:rPr>
          <w:rFonts w:hint="eastAsia" w:ascii="仿宋_GB2312" w:hAnsi="仿宋" w:eastAsia="仿宋_GB2312"/>
        </w:rPr>
        <w:t>号——发售业务（试行）</w:t>
      </w:r>
      <w:r>
        <w:rPr>
          <w:rFonts w:ascii="仿宋_GB2312" w:hAnsi="仿宋" w:eastAsia="仿宋_GB2312"/>
        </w:rPr>
        <w:t>》</w:t>
      </w:r>
      <w:r>
        <w:rPr>
          <w:rFonts w:hint="eastAsia" w:ascii="仿宋_GB2312" w:hAnsi="仿宋" w:eastAsia="仿宋_GB2312"/>
        </w:rPr>
        <w:t>等业务规则制定，本指南如有内容与</w:t>
      </w:r>
      <w:r>
        <w:rPr>
          <w:rFonts w:hint="eastAsia" w:ascii="Times New Roman" w:hAnsi="Times New Roman" w:eastAsia="仿宋_GB2312"/>
        </w:rPr>
        <w:t>REITs</w:t>
      </w:r>
      <w:r>
        <w:rPr>
          <w:rFonts w:hint="eastAsia" w:ascii="仿宋_GB2312" w:hAnsi="仿宋" w:eastAsia="仿宋_GB2312"/>
        </w:rPr>
        <w:t>法律法规及本所业务规则不一致的，以</w:t>
      </w:r>
      <w:r>
        <w:rPr>
          <w:rFonts w:hint="eastAsia" w:ascii="Times New Roman" w:hAnsi="Times New Roman" w:eastAsia="仿宋_GB2312"/>
        </w:rPr>
        <w:t>REITs</w:t>
      </w:r>
      <w:r>
        <w:rPr>
          <w:rFonts w:hint="eastAsia" w:ascii="仿宋_GB2312" w:hAnsi="仿宋" w:eastAsia="仿宋_GB2312"/>
        </w:rPr>
        <w:t>法律法规及本所业务规则为准；本指南对于</w:t>
      </w:r>
      <w:r>
        <w:rPr>
          <w:rFonts w:hint="eastAsia" w:ascii="Times New Roman" w:hAnsi="Times New Roman" w:eastAsia="仿宋_GB2312"/>
        </w:rPr>
        <w:t>REITs</w:t>
      </w:r>
      <w:r>
        <w:rPr>
          <w:rFonts w:hint="eastAsia" w:ascii="仿宋_GB2312" w:hAnsi="仿宋" w:eastAsia="仿宋_GB2312"/>
        </w:rPr>
        <w:t>发售、上市业务未列明事项，参照《上海证券交易所基金业务指南第</w:t>
      </w:r>
      <w:r>
        <w:rPr>
          <w:rFonts w:hint="eastAsia" w:ascii="Times New Roman" w:hAnsi="Times New Roman" w:eastAsia="仿宋_GB2312"/>
        </w:rPr>
        <w:t>1</w:t>
      </w:r>
      <w:r>
        <w:rPr>
          <w:rFonts w:hint="eastAsia" w:ascii="仿宋_GB2312" w:hAnsi="仿宋" w:eastAsia="仿宋_GB2312"/>
        </w:rPr>
        <w:t>号——业务办理（</w:t>
      </w:r>
      <w:r>
        <w:rPr>
          <w:rFonts w:ascii="Times New Roman" w:hAnsi="Times New Roman" w:eastAsia="仿宋_GB2312" w:cs="Times New Roman"/>
        </w:rPr>
        <w:t>2025年11</w:t>
      </w:r>
      <w:r>
        <w:rPr>
          <w:rFonts w:hint="eastAsia" w:ascii="仿宋_GB2312" w:hAnsi="仿宋" w:eastAsia="仿宋_GB2312"/>
        </w:rPr>
        <w:t>月修订）》办理。</w:t>
      </w:r>
    </w:p>
    <w:p w14:paraId="798E941B">
      <w:pPr>
        <w:pStyle w:val="13"/>
        <w:snapToGrid w:val="0"/>
        <w:spacing w:before="0" w:beforeAutospacing="0" w:after="0" w:afterAutospacing="0" w:line="360" w:lineRule="auto"/>
        <w:ind w:firstLine="480" w:firstLineChars="200"/>
        <w:jc w:val="both"/>
        <w:rPr>
          <w:rFonts w:hint="eastAsia" w:ascii="仿宋_GB2312" w:hAnsi="仿宋" w:eastAsia="仿宋_GB2312"/>
        </w:rPr>
      </w:pPr>
      <w:r>
        <w:rPr>
          <w:rFonts w:hint="eastAsia" w:ascii="仿宋_GB2312" w:hAnsi="仿宋" w:eastAsia="仿宋_GB2312"/>
        </w:rPr>
        <w:t>基金管理人、财务顾问应确保向本所提交的业务申请和基金公告内容一致，提供给媒体的基金公告内容</w:t>
      </w:r>
      <w:bookmarkStart w:id="1556" w:name="_GoBack"/>
      <w:bookmarkEnd w:id="1556"/>
      <w:r>
        <w:rPr>
          <w:rFonts w:hint="eastAsia" w:ascii="仿宋_GB2312" w:hAnsi="仿宋" w:eastAsia="仿宋_GB2312"/>
        </w:rPr>
        <w:t>和提供给本所的一致。</w:t>
      </w:r>
      <w:r>
        <w:rPr>
          <w:rFonts w:hint="eastAsia" w:ascii="Times New Roman" w:hAnsi="Times New Roman" w:eastAsia="仿宋_GB2312"/>
        </w:rPr>
        <w:t>REITs</w:t>
      </w:r>
      <w:r>
        <w:rPr>
          <w:rFonts w:hint="eastAsia" w:ascii="仿宋_GB2312" w:hAnsi="仿宋" w:eastAsia="仿宋_GB2312"/>
        </w:rPr>
        <w:t>的登记结算业务，按照中国证券登记结算有限责任公司（以下简称中国结算）及中国证券登记结算有限责任公司上海分公司（以下简称上海结算）有关规定办理。</w:t>
      </w:r>
    </w:p>
    <w:p w14:paraId="6DD4D780">
      <w:pPr>
        <w:pStyle w:val="13"/>
        <w:snapToGrid w:val="0"/>
        <w:spacing w:before="0" w:beforeAutospacing="0" w:after="0" w:afterAutospacing="0" w:line="360" w:lineRule="auto"/>
        <w:ind w:firstLine="480" w:firstLineChars="200"/>
        <w:jc w:val="both"/>
        <w:rPr>
          <w:rFonts w:hint="eastAsia" w:ascii="仿宋_GB2312" w:hAnsi="仿宋" w:eastAsia="仿宋_GB2312"/>
        </w:rPr>
      </w:pPr>
      <w:r>
        <w:rPr>
          <w:rFonts w:hint="eastAsia" w:ascii="仿宋_GB2312" w:hAnsi="仿宋" w:eastAsia="仿宋_GB2312"/>
        </w:rPr>
        <w:t>于本所网站发布的公告一经披露不予撤销或替换，信息披露义务人应当以保护基金份额持有人利益为根本出发点，按照法律、行政法规和中国证券监督管理委员会的规定披露基金信息，并保证所披露信息的真实性、准确性、完整性、及时性、简明性和易得性，不得有虚假记载、误导性陈述或重大遗漏。如无特殊说明，本指南中描述的日期均为交易日。</w:t>
      </w:r>
    </w:p>
    <w:p w14:paraId="195C47E8">
      <w:pPr>
        <w:pStyle w:val="13"/>
        <w:snapToGrid w:val="0"/>
        <w:spacing w:before="0" w:beforeAutospacing="0" w:after="0" w:afterAutospacing="0" w:line="360" w:lineRule="auto"/>
        <w:ind w:firstLine="480" w:firstLineChars="200"/>
        <w:jc w:val="both"/>
        <w:rPr>
          <w:rFonts w:hint="eastAsia" w:ascii="仿宋_GB2312" w:hAnsi="仿宋" w:eastAsia="仿宋_GB2312"/>
        </w:rPr>
      </w:pPr>
      <w:r>
        <w:rPr>
          <w:rFonts w:hint="eastAsia" w:ascii="仿宋_GB2312" w:hAnsi="仿宋" w:eastAsia="仿宋_GB2312"/>
        </w:rPr>
        <w:t>本所正式受理业务申请后，基金管理人/财务顾问应书面指定对口联络人，负责与本所沟通联络</w:t>
      </w:r>
      <w:r>
        <w:rPr>
          <w:rFonts w:hint="eastAsia" w:ascii="仿宋_GB2312" w:hAnsi="仿宋" w:eastAsia="仿宋_GB2312"/>
          <w:lang w:eastAsia="zh-CN"/>
        </w:rPr>
        <w:t>，</w:t>
      </w:r>
      <w:r>
        <w:rPr>
          <w:rFonts w:hint="eastAsia" w:ascii="仿宋_GB2312" w:hAnsi="仿宋" w:eastAsia="仿宋_GB2312"/>
        </w:rPr>
        <w:t>如因特殊情况确需更换联络人，须及时告知本所。基金管理人办理本指南相关业务时，可参考使用附件模板。</w:t>
      </w:r>
    </w:p>
    <w:p w14:paraId="043F533F">
      <w:pPr>
        <w:rPr>
          <w:b/>
          <w:sz w:val="32"/>
          <w:szCs w:val="32"/>
        </w:rPr>
      </w:pPr>
      <w:r>
        <w:rPr>
          <w:rFonts w:hint="eastAsia"/>
          <w:b/>
          <w:sz w:val="32"/>
          <w:szCs w:val="32"/>
        </w:rPr>
        <w:br w:type="page"/>
      </w:r>
    </w:p>
    <w:p w14:paraId="0C6941B3">
      <w:pPr>
        <w:pStyle w:val="13"/>
        <w:snapToGrid w:val="0"/>
        <w:spacing w:before="0" w:beforeAutospacing="0" w:after="0" w:afterAutospacing="0" w:line="360" w:lineRule="auto"/>
        <w:jc w:val="center"/>
        <w:outlineLvl w:val="0"/>
        <w:rPr>
          <w:rFonts w:hint="eastAsia" w:ascii="黑体" w:hAnsi="黑体" w:eastAsia="黑体"/>
          <w:b/>
          <w:sz w:val="32"/>
          <w:szCs w:val="32"/>
        </w:rPr>
      </w:pPr>
      <w:bookmarkStart w:id="27" w:name="_Toc18800"/>
      <w:bookmarkStart w:id="28" w:name="_Toc19159"/>
      <w:bookmarkStart w:id="29" w:name="_Toc24051"/>
      <w:bookmarkStart w:id="30" w:name="_Toc950"/>
      <w:bookmarkStart w:id="31" w:name="_Toc14856"/>
      <w:bookmarkStart w:id="32" w:name="_Toc3483"/>
      <w:bookmarkStart w:id="33" w:name="_Toc171272107"/>
      <w:bookmarkStart w:id="34" w:name="_Toc1092407560"/>
      <w:bookmarkStart w:id="35" w:name="_Toc70604205"/>
      <w:bookmarkStart w:id="36" w:name="_Toc30598"/>
      <w:bookmarkStart w:id="37" w:name="_Toc65181408"/>
      <w:bookmarkStart w:id="38" w:name="_Toc3058"/>
      <w:bookmarkStart w:id="39" w:name="_Toc30604"/>
      <w:bookmarkStart w:id="40" w:name="_Toc4026"/>
      <w:bookmarkStart w:id="41" w:name="_Toc1067518419"/>
      <w:bookmarkStart w:id="42" w:name="_Toc2099394836"/>
      <w:bookmarkStart w:id="43" w:name="_Toc776680888"/>
      <w:bookmarkStart w:id="44" w:name="_Toc1452438711"/>
      <w:bookmarkStart w:id="45" w:name="_Toc1469912099"/>
      <w:bookmarkStart w:id="46" w:name="_Toc4913"/>
      <w:bookmarkStart w:id="47" w:name="_Toc17185"/>
      <w:r>
        <w:rPr>
          <w:rFonts w:hint="eastAsia" w:ascii="黑体" w:hAnsi="黑体" w:eastAsia="黑体"/>
          <w:b/>
          <w:sz w:val="32"/>
          <w:szCs w:val="32"/>
        </w:rPr>
        <w:t>第二章  发售</w:t>
      </w:r>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p>
    <w:p w14:paraId="3D0A3124">
      <w:pPr>
        <w:pStyle w:val="13"/>
        <w:snapToGrid w:val="0"/>
        <w:spacing w:before="0" w:beforeAutospacing="0" w:after="0" w:afterAutospacing="0" w:line="360" w:lineRule="auto"/>
        <w:rPr>
          <w:rFonts w:hint="eastAsia" w:ascii="仿宋_GB2312" w:hAnsi="仿宋" w:eastAsia="仿宋_GB2312"/>
        </w:rPr>
      </w:pPr>
    </w:p>
    <w:p w14:paraId="4B0C05FF">
      <w:pPr>
        <w:pStyle w:val="13"/>
        <w:snapToGrid w:val="0"/>
        <w:spacing w:before="0" w:beforeAutospacing="0" w:after="0" w:afterAutospacing="0" w:line="360" w:lineRule="auto"/>
        <w:ind w:firstLine="480" w:firstLineChars="200"/>
        <w:rPr>
          <w:rFonts w:hint="eastAsia" w:ascii="仿宋_GB2312" w:hAnsi="仿宋" w:eastAsia="仿宋_GB2312"/>
        </w:rPr>
      </w:pPr>
      <w:r>
        <w:rPr>
          <w:rFonts w:hint="eastAsia" w:ascii="仿宋_GB2312" w:hAnsi="仿宋" w:eastAsia="仿宋_GB2312"/>
        </w:rPr>
        <w:t>本所根据基金管理人或财务顾问的书面委托，向符合条件的网下投资者提供网下发行电子平台（以下简称询价平台）进行询价报价和认购申报。询价平台面向发行人的接入端为</w:t>
      </w:r>
      <w:r>
        <w:rPr>
          <w:rFonts w:hint="eastAsia" w:ascii="Times New Roman" w:hAnsi="Times New Roman" w:eastAsia="仿宋_GB2312"/>
        </w:rPr>
        <w:t>REITs</w:t>
      </w:r>
      <w:r>
        <w:rPr>
          <w:rFonts w:hint="eastAsia" w:ascii="仿宋_GB2312" w:hAnsi="仿宋" w:eastAsia="仿宋_GB2312"/>
        </w:rPr>
        <w:t>业务管理系统平台（以下简称发行人系统），面向网下投资者的接入端为</w:t>
      </w:r>
      <w:r>
        <w:rPr>
          <w:rFonts w:hint="eastAsia" w:ascii="Times New Roman" w:hAnsi="Times New Roman" w:eastAsia="仿宋_GB2312"/>
        </w:rPr>
        <w:t>REITs</w:t>
      </w:r>
      <w:r>
        <w:rPr>
          <w:rFonts w:hint="eastAsia" w:ascii="仿宋_GB2312" w:hAnsi="仿宋" w:eastAsia="仿宋_GB2312"/>
        </w:rPr>
        <w:t>询价与认购系统（以下简称投资者系统）。</w:t>
      </w:r>
    </w:p>
    <w:p w14:paraId="274EF243">
      <w:pPr>
        <w:pStyle w:val="13"/>
        <w:snapToGrid w:val="0"/>
        <w:spacing w:before="0" w:beforeAutospacing="0" w:after="0" w:afterAutospacing="0" w:line="360" w:lineRule="auto"/>
        <w:rPr>
          <w:rFonts w:hint="eastAsia" w:ascii="仿宋_GB2312" w:hAnsi="仿宋" w:eastAsia="仿宋_GB2312"/>
        </w:rPr>
      </w:pPr>
    </w:p>
    <w:bookmarkEnd w:id="47"/>
    <w:p w14:paraId="1AB0BA07">
      <w:pPr>
        <w:pStyle w:val="30"/>
        <w:numPr>
          <w:ilvl w:val="0"/>
          <w:numId w:val="1"/>
        </w:numPr>
        <w:ind w:firstLineChars="0"/>
        <w:outlineLvl w:val="1"/>
        <w:rPr>
          <w:rFonts w:hint="eastAsia" w:ascii="黑体" w:hAnsi="黑体" w:eastAsia="黑体"/>
          <w:b/>
          <w:sz w:val="30"/>
          <w:szCs w:val="30"/>
        </w:rPr>
      </w:pPr>
      <w:bookmarkStart w:id="48" w:name="_Toc63093166"/>
      <w:bookmarkEnd w:id="48"/>
      <w:bookmarkStart w:id="49" w:name="_Toc63093356"/>
      <w:bookmarkEnd w:id="49"/>
      <w:bookmarkStart w:id="50" w:name="_Toc63093293"/>
      <w:bookmarkEnd w:id="50"/>
      <w:bookmarkStart w:id="51" w:name="_Toc63093230"/>
      <w:bookmarkEnd w:id="51"/>
      <w:bookmarkStart w:id="52" w:name="_Toc13747"/>
      <w:bookmarkStart w:id="53" w:name="_Toc22805"/>
      <w:bookmarkStart w:id="54" w:name="_Toc65181409"/>
      <w:bookmarkStart w:id="55" w:name="_Toc1627300373"/>
      <w:bookmarkStart w:id="56" w:name="_Toc724004201"/>
      <w:bookmarkStart w:id="57" w:name="_Toc70604206"/>
      <w:bookmarkStart w:id="58" w:name="_Toc14694"/>
      <w:bookmarkStart w:id="59" w:name="_Toc14825"/>
      <w:bookmarkStart w:id="60" w:name="_Toc21216"/>
      <w:bookmarkStart w:id="61" w:name="_Toc959118188"/>
      <w:bookmarkStart w:id="62" w:name="_Toc937813998"/>
      <w:bookmarkStart w:id="63" w:name="_Toc24664"/>
      <w:bookmarkStart w:id="64" w:name="_Toc22909"/>
      <w:bookmarkStart w:id="65" w:name="_Toc23736"/>
      <w:bookmarkStart w:id="66" w:name="_Toc24936"/>
      <w:bookmarkStart w:id="67" w:name="_Toc22858"/>
      <w:bookmarkStart w:id="68" w:name="_Toc10965"/>
      <w:bookmarkStart w:id="69" w:name="_Toc22559"/>
      <w:bookmarkStart w:id="70" w:name="_Toc963565631"/>
      <w:bookmarkStart w:id="71" w:name="_Toc1645543155"/>
      <w:bookmarkStart w:id="72" w:name="_Toc24221"/>
      <w:bookmarkStart w:id="73" w:name="_Toc21694"/>
      <w:bookmarkStart w:id="74" w:name="_Toc880616432"/>
      <w:bookmarkStart w:id="75" w:name="_Toc14422"/>
      <w:bookmarkStart w:id="76" w:name="_Toc4451"/>
      <w:r>
        <w:rPr>
          <w:rFonts w:hint="eastAsia" w:ascii="黑体" w:hAnsi="黑体" w:eastAsia="黑体"/>
          <w:b/>
          <w:sz w:val="30"/>
          <w:szCs w:val="30"/>
        </w:rPr>
        <w:t>发售前</w:t>
      </w:r>
      <w:bookmarkEnd w:id="52"/>
      <w:r>
        <w:rPr>
          <w:rFonts w:hint="eastAsia" w:ascii="黑体" w:hAnsi="黑体" w:eastAsia="黑体"/>
          <w:b/>
          <w:sz w:val="30"/>
          <w:szCs w:val="30"/>
        </w:rPr>
        <w:t>工作</w:t>
      </w:r>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p>
    <w:p w14:paraId="08DD4F2D">
      <w:pPr>
        <w:pStyle w:val="37"/>
        <w:numPr>
          <w:ilvl w:val="0"/>
          <w:numId w:val="2"/>
        </w:numPr>
        <w:ind w:firstLineChars="0"/>
        <w:outlineLvl w:val="2"/>
        <w:rPr>
          <w:rFonts w:hint="eastAsia" w:ascii="仿宋_GB2312" w:hAnsi="宋体" w:eastAsia="仿宋_GB2312"/>
          <w:b/>
          <w:bCs/>
          <w:sz w:val="28"/>
          <w:szCs w:val="28"/>
        </w:rPr>
      </w:pPr>
      <w:bookmarkStart w:id="77" w:name="_Toc62990927"/>
      <w:bookmarkEnd w:id="77"/>
      <w:bookmarkStart w:id="78" w:name="_Toc2099214120"/>
      <w:bookmarkStart w:id="79" w:name="_Toc2070544717"/>
      <w:bookmarkStart w:id="80" w:name="_Toc478835149"/>
      <w:bookmarkStart w:id="81" w:name="_Toc65181410"/>
      <w:bookmarkStart w:id="82" w:name="_Toc6573"/>
      <w:bookmarkStart w:id="83" w:name="_Toc70604207"/>
      <w:bookmarkStart w:id="84" w:name="_Toc451371384"/>
      <w:bookmarkStart w:id="85" w:name="_Toc1007403080"/>
      <w:bookmarkStart w:id="86" w:name="_Toc1624259046"/>
      <w:bookmarkStart w:id="87" w:name="_Toc142677127"/>
      <w:bookmarkStart w:id="88" w:name="_Toc5578"/>
      <w:bookmarkStart w:id="89" w:name="_Toc5214"/>
      <w:bookmarkStart w:id="90" w:name="_Toc22235"/>
      <w:bookmarkStart w:id="91" w:name="_Toc21242"/>
      <w:bookmarkStart w:id="92" w:name="_Toc7406"/>
      <w:bookmarkStart w:id="93" w:name="_Toc4541"/>
      <w:bookmarkStart w:id="94" w:name="_Toc10421"/>
      <w:bookmarkStart w:id="95" w:name="_Toc23279"/>
      <w:bookmarkStart w:id="96" w:name="_Toc1095"/>
      <w:bookmarkStart w:id="97" w:name="_Toc21280"/>
      <w:bookmarkStart w:id="98" w:name="_Toc10179"/>
      <w:bookmarkStart w:id="99" w:name="_Toc14363"/>
      <w:bookmarkStart w:id="100" w:name="_Toc18319"/>
      <w:bookmarkStart w:id="101" w:name="_Toc21724"/>
      <w:bookmarkStart w:id="102" w:name="_Toc27409"/>
      <w:r>
        <w:rPr>
          <w:rFonts w:hint="eastAsia" w:ascii="仿宋_GB2312" w:hAnsi="宋体" w:eastAsia="仿宋_GB2312"/>
          <w:b/>
          <w:bCs/>
          <w:sz w:val="28"/>
          <w:szCs w:val="28"/>
        </w:rPr>
        <w:t>数字证书申请</w:t>
      </w:r>
      <w:bookmarkEnd w:id="78"/>
      <w:bookmarkEnd w:id="79"/>
      <w:bookmarkEnd w:id="80"/>
      <w:bookmarkEnd w:id="81"/>
      <w:bookmarkEnd w:id="82"/>
      <w:bookmarkEnd w:id="83"/>
      <w:bookmarkEnd w:id="84"/>
      <w:bookmarkEnd w:id="85"/>
      <w:bookmarkEnd w:id="86"/>
      <w:bookmarkEnd w:id="87"/>
      <w:r>
        <w:rPr>
          <w:rFonts w:hint="eastAsia" w:ascii="仿宋_GB2312" w:hAnsi="宋体" w:eastAsia="仿宋_GB2312"/>
          <w:b/>
          <w:bCs/>
          <w:sz w:val="28"/>
          <w:szCs w:val="28"/>
        </w:rPr>
        <w:tab/>
      </w:r>
    </w:p>
    <w:p w14:paraId="2D332067">
      <w:pPr>
        <w:pStyle w:val="13"/>
        <w:numPr>
          <w:ilvl w:val="0"/>
          <w:numId w:val="3"/>
        </w:numPr>
        <w:snapToGrid w:val="0"/>
        <w:spacing w:before="0" w:beforeAutospacing="0" w:after="0" w:afterAutospacing="0" w:line="360" w:lineRule="auto"/>
        <w:ind w:left="426" w:firstLine="0"/>
        <w:jc w:val="both"/>
        <w:rPr>
          <w:rFonts w:hint="eastAsia" w:ascii="仿宋_GB2312" w:hAnsi="仿宋" w:eastAsia="仿宋_GB2312"/>
        </w:rPr>
      </w:pPr>
      <w:r>
        <w:rPr>
          <w:rFonts w:hint="eastAsia" w:ascii="仿宋_GB2312" w:hAnsi="仿宋" w:eastAsia="仿宋_GB2312"/>
        </w:rPr>
        <w:t>事项说明：</w:t>
      </w:r>
    </w:p>
    <w:p w14:paraId="1D6EEBF5">
      <w:pPr>
        <w:pStyle w:val="13"/>
        <w:numPr>
          <w:ilvl w:val="0"/>
          <w:numId w:val="4"/>
        </w:numPr>
        <w:snapToGrid w:val="0"/>
        <w:spacing w:before="0" w:beforeAutospacing="0" w:after="0" w:afterAutospacing="0" w:line="360" w:lineRule="auto"/>
        <w:jc w:val="both"/>
        <w:rPr>
          <w:rFonts w:hint="eastAsia" w:ascii="仿宋_GB2312" w:hAnsi="仿宋" w:eastAsia="仿宋_GB2312"/>
        </w:rPr>
      </w:pPr>
      <w:r>
        <w:rPr>
          <w:rFonts w:hint="eastAsia" w:ascii="仿宋_GB2312" w:hAnsi="仿宋" w:eastAsia="仿宋_GB2312"/>
        </w:rPr>
        <w:t>首次于本所办理</w:t>
      </w:r>
      <w:r>
        <w:rPr>
          <w:rFonts w:hint="eastAsia" w:ascii="Times New Roman" w:hAnsi="Times New Roman" w:eastAsia="仿宋_GB2312"/>
        </w:rPr>
        <w:t>REITs</w:t>
      </w:r>
      <w:r>
        <w:rPr>
          <w:rFonts w:hint="eastAsia" w:ascii="仿宋_GB2312" w:hAnsi="仿宋" w:eastAsia="仿宋_GB2312"/>
        </w:rPr>
        <w:t>业务的各业务参与人在办理以下对应平台的数字证书（以下简称</w:t>
      </w:r>
      <w:r>
        <w:rPr>
          <w:rFonts w:hint="eastAsia" w:ascii="Times New Roman" w:hAnsi="Times New Roman" w:eastAsia="仿宋_GB2312"/>
        </w:rPr>
        <w:t>CA</w:t>
      </w:r>
      <w:r>
        <w:rPr>
          <w:rFonts w:hint="eastAsia" w:ascii="仿宋_GB2312" w:hAnsi="仿宋" w:eastAsia="仿宋_GB2312"/>
        </w:rPr>
        <w:t>证书）后，方可在相应平台办理业务：</w:t>
      </w:r>
    </w:p>
    <w:p w14:paraId="435ED5FE">
      <w:pPr>
        <w:widowControl/>
        <w:numPr>
          <w:ilvl w:val="0"/>
          <w:numId w:val="5"/>
        </w:numPr>
        <w:snapToGrid w:val="0"/>
        <w:spacing w:line="360" w:lineRule="auto"/>
        <w:ind w:left="1276" w:hanging="425"/>
        <w:rPr>
          <w:rFonts w:hint="eastAsia" w:ascii="仿宋_GB2312" w:hAnsi="仿宋" w:eastAsia="仿宋_GB2312" w:cs="宋体"/>
          <w:color w:val="000000"/>
          <w:kern w:val="0"/>
          <w:sz w:val="24"/>
          <w:szCs w:val="24"/>
        </w:rPr>
      </w:pPr>
      <w:r>
        <w:rPr>
          <w:rFonts w:hint="eastAsia" w:ascii="仿宋_GB2312" w:hAnsi="仿宋" w:eastAsia="仿宋_GB2312" w:cs="宋体"/>
          <w:color w:val="000000"/>
          <w:kern w:val="0"/>
          <w:sz w:val="24"/>
          <w:szCs w:val="24"/>
        </w:rPr>
        <w:t>基金管理人需申请用于</w:t>
      </w:r>
      <w:r>
        <w:rPr>
          <w:rFonts w:hint="eastAsia" w:ascii="Times New Roman" w:hAnsi="Times New Roman" w:eastAsia="仿宋_GB2312" w:cs="宋体"/>
          <w:color w:val="000000"/>
          <w:kern w:val="0"/>
          <w:sz w:val="24"/>
          <w:szCs w:val="24"/>
        </w:rPr>
        <w:t>REITs</w:t>
      </w:r>
      <w:r>
        <w:rPr>
          <w:rFonts w:hint="eastAsia" w:ascii="仿宋_GB2312" w:hAnsi="仿宋" w:eastAsia="仿宋_GB2312" w:cs="宋体"/>
          <w:color w:val="000000"/>
          <w:kern w:val="0"/>
          <w:sz w:val="24"/>
          <w:szCs w:val="24"/>
        </w:rPr>
        <w:t>业务管理系统平台进行</w:t>
      </w:r>
      <w:r>
        <w:rPr>
          <w:rFonts w:hint="eastAsia" w:ascii="Times New Roman" w:hAnsi="Times New Roman" w:eastAsia="仿宋_GB2312" w:cs="宋体"/>
          <w:color w:val="000000"/>
          <w:kern w:val="0"/>
          <w:sz w:val="24"/>
          <w:szCs w:val="24"/>
        </w:rPr>
        <w:t>REITs</w:t>
      </w:r>
      <w:r>
        <w:rPr>
          <w:rFonts w:hint="eastAsia" w:ascii="仿宋_GB2312" w:hAnsi="仿宋" w:eastAsia="仿宋_GB2312" w:cs="宋体"/>
          <w:color w:val="000000"/>
          <w:kern w:val="0"/>
          <w:sz w:val="24"/>
          <w:szCs w:val="24"/>
        </w:rPr>
        <w:t>发售上市业务线上业务申请、信息披露办理的专用</w:t>
      </w:r>
      <w:r>
        <w:rPr>
          <w:rFonts w:hint="eastAsia" w:ascii="Times New Roman" w:hAnsi="Times New Roman" w:eastAsia="仿宋_GB2312" w:cs="宋体"/>
          <w:color w:val="000000"/>
          <w:kern w:val="0"/>
          <w:sz w:val="24"/>
          <w:szCs w:val="24"/>
        </w:rPr>
        <w:t>CA</w:t>
      </w:r>
      <w:r>
        <w:rPr>
          <w:rFonts w:hint="eastAsia" w:ascii="仿宋_GB2312" w:hAnsi="仿宋" w:eastAsia="仿宋_GB2312" w:cs="宋体"/>
          <w:color w:val="000000"/>
          <w:kern w:val="0"/>
          <w:sz w:val="24"/>
          <w:szCs w:val="24"/>
        </w:rPr>
        <w:t>证书（不同于</w:t>
      </w:r>
      <w:r>
        <w:rPr>
          <w:rFonts w:hint="eastAsia" w:ascii="Times New Roman" w:hAnsi="Times New Roman" w:eastAsia="仿宋_GB2312" w:cs="宋体"/>
          <w:color w:val="000000"/>
          <w:kern w:val="0"/>
          <w:sz w:val="24"/>
          <w:szCs w:val="24"/>
        </w:rPr>
        <w:t>REITs</w:t>
      </w:r>
      <w:r>
        <w:rPr>
          <w:rFonts w:hint="eastAsia" w:ascii="仿宋_GB2312" w:hAnsi="仿宋" w:eastAsia="仿宋_GB2312" w:cs="宋体"/>
          <w:color w:val="000000"/>
          <w:kern w:val="0"/>
          <w:sz w:val="24"/>
          <w:szCs w:val="24"/>
        </w:rPr>
        <w:t>项目申报系统的</w:t>
      </w:r>
      <w:r>
        <w:rPr>
          <w:rFonts w:hint="eastAsia" w:ascii="Times New Roman" w:hAnsi="Times New Roman" w:eastAsia="仿宋_GB2312" w:cs="宋体"/>
          <w:color w:val="000000"/>
          <w:kern w:val="0"/>
          <w:sz w:val="24"/>
          <w:szCs w:val="24"/>
        </w:rPr>
        <w:t>CA</w:t>
      </w:r>
      <w:r>
        <w:rPr>
          <w:rFonts w:hint="eastAsia" w:ascii="仿宋_GB2312" w:hAnsi="仿宋" w:eastAsia="仿宋_GB2312" w:cs="宋体"/>
          <w:color w:val="000000"/>
          <w:kern w:val="0"/>
          <w:sz w:val="24"/>
          <w:szCs w:val="24"/>
        </w:rPr>
        <w:t>证书）；</w:t>
      </w:r>
    </w:p>
    <w:p w14:paraId="28444FC3">
      <w:pPr>
        <w:widowControl/>
        <w:numPr>
          <w:ilvl w:val="0"/>
          <w:numId w:val="5"/>
        </w:numPr>
        <w:snapToGrid w:val="0"/>
        <w:spacing w:line="360" w:lineRule="auto"/>
        <w:ind w:left="1276" w:hanging="425"/>
        <w:rPr>
          <w:rFonts w:hint="eastAsia" w:ascii="仿宋_GB2312" w:hAnsi="仿宋" w:eastAsia="仿宋_GB2312" w:cs="宋体"/>
          <w:color w:val="000000"/>
          <w:kern w:val="0"/>
          <w:sz w:val="24"/>
          <w:szCs w:val="24"/>
        </w:rPr>
      </w:pPr>
      <w:r>
        <w:rPr>
          <w:rFonts w:hint="eastAsia" w:ascii="仿宋_GB2312" w:hAnsi="仿宋" w:eastAsia="仿宋_GB2312" w:cs="宋体"/>
          <w:color w:val="000000"/>
          <w:kern w:val="0"/>
          <w:sz w:val="24"/>
          <w:szCs w:val="24"/>
        </w:rPr>
        <w:t>基金管理人或其指定的财务顾问需申请用于登录发行人系统办理网下发售业务的专用</w:t>
      </w:r>
      <w:r>
        <w:rPr>
          <w:rFonts w:hint="eastAsia" w:ascii="Times New Roman" w:hAnsi="Times New Roman" w:eastAsia="仿宋_GB2312" w:cs="宋体"/>
          <w:color w:val="000000"/>
          <w:kern w:val="0"/>
          <w:sz w:val="24"/>
          <w:szCs w:val="24"/>
        </w:rPr>
        <w:t>CA</w:t>
      </w:r>
      <w:r>
        <w:rPr>
          <w:rFonts w:hint="eastAsia" w:ascii="仿宋_GB2312" w:hAnsi="仿宋" w:eastAsia="仿宋_GB2312" w:cs="宋体"/>
          <w:color w:val="000000"/>
          <w:kern w:val="0"/>
          <w:sz w:val="24"/>
          <w:szCs w:val="24"/>
        </w:rPr>
        <w:t>证书</w:t>
      </w:r>
      <w:r>
        <w:rPr>
          <w:rFonts w:hint="eastAsia" w:ascii="仿宋_GB2312" w:hAnsi="仿宋" w:eastAsia="仿宋_GB2312"/>
          <w:sz w:val="24"/>
          <w:szCs w:val="24"/>
        </w:rPr>
        <w:t>（</w:t>
      </w:r>
      <w:r>
        <w:rPr>
          <w:rFonts w:hint="eastAsia" w:ascii="仿宋_GB2312" w:hAnsi="仿宋" w:eastAsia="仿宋_GB2312" w:cs="宋体"/>
          <w:color w:val="000000"/>
          <w:kern w:val="0"/>
          <w:sz w:val="24"/>
          <w:szCs w:val="24"/>
        </w:rPr>
        <w:t>以下简称发行人</w:t>
      </w:r>
      <w:r>
        <w:rPr>
          <w:rFonts w:hint="eastAsia" w:ascii="Times New Roman" w:hAnsi="Times New Roman" w:eastAsia="仿宋_GB2312" w:cs="宋体"/>
          <w:color w:val="000000"/>
          <w:kern w:val="0"/>
          <w:sz w:val="24"/>
          <w:szCs w:val="24"/>
        </w:rPr>
        <w:t>CA</w:t>
      </w:r>
      <w:r>
        <w:rPr>
          <w:rFonts w:hint="eastAsia" w:ascii="仿宋_GB2312" w:hAnsi="仿宋" w:eastAsia="仿宋_GB2312" w:cs="宋体"/>
          <w:color w:val="000000"/>
          <w:kern w:val="0"/>
          <w:sz w:val="24"/>
          <w:szCs w:val="24"/>
        </w:rPr>
        <w:t>证书），已具备</w:t>
      </w:r>
      <w:r>
        <w:rPr>
          <w:rFonts w:hint="eastAsia" w:ascii="Times New Roman" w:hAnsi="Times New Roman" w:eastAsia="仿宋_GB2312" w:cs="宋体"/>
          <w:color w:val="000000"/>
          <w:kern w:val="0"/>
          <w:sz w:val="24"/>
          <w:szCs w:val="24"/>
        </w:rPr>
        <w:t>IPO</w:t>
      </w:r>
      <w:r>
        <w:rPr>
          <w:rFonts w:hint="eastAsia" w:ascii="仿宋_GB2312" w:hAnsi="仿宋" w:eastAsia="仿宋_GB2312" w:cs="宋体"/>
          <w:color w:val="000000"/>
          <w:kern w:val="0"/>
          <w:sz w:val="24"/>
          <w:szCs w:val="24"/>
        </w:rPr>
        <w:t>、债券承销商权限的可直接复用承销商证书，无需重复申请；</w:t>
      </w:r>
    </w:p>
    <w:p w14:paraId="5FB4A130">
      <w:pPr>
        <w:widowControl/>
        <w:numPr>
          <w:ilvl w:val="0"/>
          <w:numId w:val="5"/>
        </w:numPr>
        <w:snapToGrid w:val="0"/>
        <w:spacing w:line="360" w:lineRule="auto"/>
        <w:ind w:left="1276" w:hanging="425"/>
        <w:rPr>
          <w:rFonts w:hint="eastAsia" w:ascii="仿宋_GB2312" w:hAnsi="仿宋" w:eastAsia="仿宋_GB2312" w:cs="宋体"/>
          <w:color w:val="000000"/>
          <w:kern w:val="0"/>
          <w:sz w:val="24"/>
          <w:szCs w:val="24"/>
        </w:rPr>
      </w:pPr>
      <w:r>
        <w:rPr>
          <w:rFonts w:hint="eastAsia" w:ascii="仿宋_GB2312" w:hAnsi="仿宋" w:eastAsia="仿宋_GB2312" w:cs="宋体"/>
          <w:color w:val="000000"/>
          <w:kern w:val="0"/>
          <w:sz w:val="24"/>
          <w:szCs w:val="24"/>
        </w:rPr>
        <w:t>网下机构投资者需申请用于登录投资者系统办理网下询价、认购业务的专用</w:t>
      </w:r>
      <w:r>
        <w:rPr>
          <w:rFonts w:hint="eastAsia" w:ascii="Times New Roman" w:hAnsi="Times New Roman" w:eastAsia="仿宋_GB2312" w:cs="宋体"/>
          <w:color w:val="000000"/>
          <w:kern w:val="0"/>
          <w:sz w:val="24"/>
          <w:szCs w:val="24"/>
        </w:rPr>
        <w:t>CA</w:t>
      </w:r>
      <w:r>
        <w:rPr>
          <w:rFonts w:hint="eastAsia" w:ascii="仿宋_GB2312" w:hAnsi="仿宋" w:eastAsia="仿宋_GB2312" w:cs="宋体"/>
          <w:color w:val="000000"/>
          <w:kern w:val="0"/>
          <w:sz w:val="24"/>
          <w:szCs w:val="24"/>
        </w:rPr>
        <w:t>证书</w:t>
      </w:r>
      <w:r>
        <w:rPr>
          <w:rFonts w:hint="eastAsia" w:ascii="仿宋_GB2312" w:hAnsi="仿宋" w:eastAsia="仿宋_GB2312"/>
          <w:sz w:val="24"/>
          <w:szCs w:val="24"/>
        </w:rPr>
        <w:t>（</w:t>
      </w:r>
      <w:r>
        <w:rPr>
          <w:rFonts w:hint="eastAsia" w:ascii="仿宋_GB2312" w:hAnsi="仿宋" w:eastAsia="仿宋_GB2312" w:cs="宋体"/>
          <w:color w:val="000000"/>
          <w:kern w:val="0"/>
          <w:sz w:val="24"/>
          <w:szCs w:val="24"/>
        </w:rPr>
        <w:t>以下简称投资者</w:t>
      </w:r>
      <w:r>
        <w:rPr>
          <w:rFonts w:hint="eastAsia" w:ascii="Times New Roman" w:hAnsi="Times New Roman" w:eastAsia="仿宋_GB2312" w:cs="宋体"/>
          <w:color w:val="000000"/>
          <w:kern w:val="0"/>
          <w:sz w:val="24"/>
          <w:szCs w:val="24"/>
        </w:rPr>
        <w:t>CA</w:t>
      </w:r>
      <w:r>
        <w:rPr>
          <w:rFonts w:hint="eastAsia" w:ascii="仿宋_GB2312" w:hAnsi="仿宋" w:eastAsia="仿宋_GB2312" w:cs="宋体"/>
          <w:color w:val="000000"/>
          <w:kern w:val="0"/>
          <w:sz w:val="24"/>
          <w:szCs w:val="24"/>
        </w:rPr>
        <w:t>证书），已具备网下</w:t>
      </w:r>
      <w:r>
        <w:rPr>
          <w:rFonts w:hint="eastAsia" w:ascii="Times New Roman" w:hAnsi="Times New Roman" w:eastAsia="仿宋_GB2312" w:cs="宋体"/>
          <w:color w:val="000000"/>
          <w:kern w:val="0"/>
          <w:sz w:val="24"/>
          <w:szCs w:val="24"/>
        </w:rPr>
        <w:t>IPO</w:t>
      </w:r>
      <w:r>
        <w:rPr>
          <w:rFonts w:hint="eastAsia" w:ascii="仿宋_GB2312" w:hAnsi="仿宋" w:eastAsia="仿宋_GB2312" w:cs="宋体"/>
          <w:color w:val="000000"/>
          <w:kern w:val="0"/>
          <w:sz w:val="24"/>
          <w:szCs w:val="24"/>
        </w:rPr>
        <w:t>权限的网下机构投资者可直接复用</w:t>
      </w:r>
      <w:r>
        <w:rPr>
          <w:rFonts w:hint="eastAsia" w:ascii="Times New Roman" w:hAnsi="Times New Roman" w:eastAsia="仿宋_GB2312" w:cs="宋体"/>
          <w:color w:val="000000"/>
          <w:kern w:val="0"/>
          <w:sz w:val="24"/>
          <w:szCs w:val="24"/>
        </w:rPr>
        <w:t>IPO</w:t>
      </w:r>
      <w:r>
        <w:rPr>
          <w:rFonts w:hint="eastAsia" w:ascii="仿宋_GB2312" w:hAnsi="仿宋" w:eastAsia="仿宋_GB2312" w:cs="宋体"/>
          <w:color w:val="000000"/>
          <w:kern w:val="0"/>
          <w:sz w:val="24"/>
          <w:szCs w:val="24"/>
        </w:rPr>
        <w:t>的</w:t>
      </w:r>
      <w:r>
        <w:rPr>
          <w:rFonts w:hint="eastAsia" w:ascii="Times New Roman" w:hAnsi="Times New Roman" w:eastAsia="仿宋_GB2312" w:cs="宋体"/>
          <w:color w:val="000000"/>
          <w:kern w:val="0"/>
          <w:sz w:val="24"/>
          <w:szCs w:val="24"/>
        </w:rPr>
        <w:t>CA</w:t>
      </w:r>
      <w:r>
        <w:rPr>
          <w:rFonts w:hint="eastAsia" w:ascii="仿宋_GB2312" w:hAnsi="仿宋" w:eastAsia="仿宋_GB2312" w:cs="宋体"/>
          <w:color w:val="000000"/>
          <w:kern w:val="0"/>
          <w:sz w:val="24"/>
          <w:szCs w:val="24"/>
        </w:rPr>
        <w:t>证书，无需重复申请；</w:t>
      </w:r>
    </w:p>
    <w:p w14:paraId="2F9894DE">
      <w:pPr>
        <w:pStyle w:val="13"/>
        <w:numPr>
          <w:ilvl w:val="0"/>
          <w:numId w:val="4"/>
        </w:numPr>
        <w:snapToGrid w:val="0"/>
        <w:spacing w:before="0" w:beforeAutospacing="0" w:after="0" w:afterAutospacing="0" w:line="360" w:lineRule="auto"/>
        <w:jc w:val="both"/>
        <w:rPr>
          <w:rFonts w:hint="eastAsia" w:ascii="仿宋_GB2312" w:hAnsi="仿宋" w:eastAsia="仿宋_GB2312"/>
        </w:rPr>
      </w:pPr>
      <w:r>
        <w:rPr>
          <w:rFonts w:hint="eastAsia" w:ascii="仿宋_GB2312" w:hAnsi="仿宋" w:eastAsia="仿宋_GB2312"/>
        </w:rPr>
        <w:t>由</w:t>
      </w:r>
      <w:r>
        <w:rPr>
          <w:rFonts w:hint="eastAsia" w:ascii="Times New Roman" w:hAnsi="Times New Roman" w:eastAsia="仿宋_GB2312"/>
        </w:rPr>
        <w:t>IPO</w:t>
      </w:r>
      <w:r>
        <w:rPr>
          <w:rFonts w:hint="eastAsia" w:ascii="仿宋_GB2312" w:hAnsi="仿宋" w:eastAsia="仿宋_GB2312"/>
        </w:rPr>
        <w:t>主承销商代理统一申请</w:t>
      </w:r>
      <w:r>
        <w:rPr>
          <w:rFonts w:hint="eastAsia" w:ascii="Times New Roman" w:hAnsi="Times New Roman" w:eastAsia="仿宋_GB2312"/>
        </w:rPr>
        <w:t>IPO</w:t>
      </w:r>
      <w:r>
        <w:rPr>
          <w:rFonts w:hint="eastAsia" w:ascii="仿宋_GB2312" w:hAnsi="仿宋" w:eastAsia="仿宋_GB2312"/>
        </w:rPr>
        <w:t>网下机构投资者</w:t>
      </w:r>
      <w:r>
        <w:rPr>
          <w:rFonts w:hint="eastAsia" w:ascii="Times New Roman" w:hAnsi="Times New Roman" w:eastAsia="仿宋_GB2312"/>
        </w:rPr>
        <w:t>CA</w:t>
      </w:r>
      <w:r>
        <w:rPr>
          <w:rFonts w:hint="eastAsia" w:ascii="仿宋_GB2312" w:hAnsi="仿宋" w:eastAsia="仿宋_GB2312"/>
        </w:rPr>
        <w:t>证书时，将同步开通</w:t>
      </w:r>
      <w:r>
        <w:rPr>
          <w:rFonts w:hint="eastAsia" w:ascii="Times New Roman" w:hAnsi="Times New Roman" w:eastAsia="仿宋_GB2312"/>
        </w:rPr>
        <w:t>REITs</w:t>
      </w:r>
      <w:r>
        <w:rPr>
          <w:rFonts w:hint="eastAsia" w:ascii="仿宋_GB2312" w:hAnsi="仿宋" w:eastAsia="仿宋_GB2312"/>
        </w:rPr>
        <w:t>投资者权限；只具备</w:t>
      </w:r>
      <w:r>
        <w:rPr>
          <w:rFonts w:hint="eastAsia" w:ascii="Times New Roman" w:hAnsi="Times New Roman" w:eastAsia="仿宋_GB2312"/>
        </w:rPr>
        <w:t>REITs</w:t>
      </w:r>
      <w:r>
        <w:rPr>
          <w:rFonts w:hint="eastAsia" w:ascii="仿宋_GB2312" w:hAnsi="仿宋" w:eastAsia="仿宋_GB2312"/>
        </w:rPr>
        <w:t>网下机构投资者权限的投资者</w:t>
      </w:r>
      <w:r>
        <w:rPr>
          <w:rFonts w:hint="eastAsia" w:ascii="Times New Roman" w:hAnsi="Times New Roman" w:eastAsia="仿宋_GB2312"/>
        </w:rPr>
        <w:t>CA</w:t>
      </w:r>
      <w:r>
        <w:rPr>
          <w:rFonts w:hint="eastAsia" w:ascii="仿宋_GB2312" w:hAnsi="仿宋" w:eastAsia="仿宋_GB2312"/>
        </w:rPr>
        <w:t>证书必须由基金管理人代理统一申请。</w:t>
      </w:r>
    </w:p>
    <w:p w14:paraId="0B93C7BE">
      <w:pPr>
        <w:pStyle w:val="13"/>
        <w:numPr>
          <w:ilvl w:val="0"/>
          <w:numId w:val="4"/>
        </w:numPr>
        <w:snapToGrid w:val="0"/>
        <w:spacing w:before="0" w:beforeAutospacing="0" w:after="0" w:afterAutospacing="0" w:line="360" w:lineRule="auto"/>
        <w:jc w:val="both"/>
        <w:rPr>
          <w:rFonts w:hint="eastAsia" w:ascii="仿宋_GB2312" w:hAnsi="仿宋" w:eastAsia="仿宋_GB2312"/>
        </w:rPr>
      </w:pPr>
      <w:r>
        <w:rPr>
          <w:rFonts w:hint="eastAsia" w:ascii="仿宋_GB2312" w:hAnsi="仿宋" w:eastAsia="仿宋_GB2312"/>
        </w:rPr>
        <w:t>各业务参与人应于首次业务发起前至少</w:t>
      </w:r>
      <w:r>
        <w:rPr>
          <w:rFonts w:hint="eastAsia" w:ascii="Times New Roman" w:hAnsi="Times New Roman" w:eastAsia="仿宋_GB2312"/>
        </w:rPr>
        <w:t>10</w:t>
      </w:r>
      <w:r>
        <w:rPr>
          <w:rFonts w:hint="eastAsia" w:ascii="仿宋_GB2312" w:hAnsi="仿宋" w:eastAsia="仿宋_GB2312"/>
        </w:rPr>
        <w:t>个工作日完成相应</w:t>
      </w:r>
      <w:r>
        <w:rPr>
          <w:rFonts w:hint="eastAsia" w:ascii="Times New Roman" w:hAnsi="Times New Roman" w:eastAsia="仿宋_GB2312"/>
        </w:rPr>
        <w:t>CA</w:t>
      </w:r>
      <w:r>
        <w:rPr>
          <w:rFonts w:hint="eastAsia" w:ascii="仿宋_GB2312" w:hAnsi="仿宋" w:eastAsia="仿宋_GB2312"/>
        </w:rPr>
        <w:t>证书的申请工作。</w:t>
      </w:r>
    </w:p>
    <w:p w14:paraId="3F627540">
      <w:pPr>
        <w:pStyle w:val="13"/>
        <w:numPr>
          <w:ilvl w:val="0"/>
          <w:numId w:val="3"/>
        </w:numPr>
        <w:snapToGrid w:val="0"/>
        <w:spacing w:before="0" w:beforeAutospacing="0" w:after="0" w:afterAutospacing="0" w:line="360" w:lineRule="auto"/>
        <w:ind w:left="424" w:leftChars="202"/>
        <w:jc w:val="both"/>
        <w:rPr>
          <w:rFonts w:hint="eastAsia" w:ascii="仿宋_GB2312" w:hAnsi="仿宋" w:eastAsia="仿宋_GB2312"/>
        </w:rPr>
      </w:pPr>
      <w:r>
        <w:rPr>
          <w:rFonts w:hint="eastAsia" w:ascii="仿宋_GB2312" w:hAnsi="仿宋" w:eastAsia="仿宋_GB2312"/>
        </w:rPr>
        <w:t>业务办理流程：</w:t>
      </w:r>
    </w:p>
    <w:p w14:paraId="3F38FF0D">
      <w:pPr>
        <w:pStyle w:val="13"/>
        <w:numPr>
          <w:ilvl w:val="255"/>
          <w:numId w:val="0"/>
        </w:numPr>
        <w:snapToGrid w:val="0"/>
        <w:spacing w:before="0" w:beforeAutospacing="0" w:after="0" w:afterAutospacing="0" w:line="360" w:lineRule="auto"/>
        <w:ind w:left="424" w:leftChars="202"/>
        <w:jc w:val="both"/>
        <w:rPr>
          <w:rFonts w:hint="eastAsia" w:ascii="仿宋_GB2312" w:hAnsi="仿宋" w:eastAsia="仿宋_GB2312"/>
        </w:rPr>
      </w:pPr>
    </w:p>
    <w:p w14:paraId="089D77A8">
      <w:pPr>
        <w:numPr>
          <w:ilvl w:val="0"/>
          <w:numId w:val="6"/>
        </w:numPr>
        <w:snapToGrid w:val="0"/>
        <w:spacing w:line="360" w:lineRule="auto"/>
        <w:ind w:firstLine="480" w:firstLineChars="200"/>
        <w:rPr>
          <w:rFonts w:hint="eastAsia" w:ascii="仿宋_GB2312" w:hAnsi="仿宋" w:eastAsia="仿宋_GB2312" w:cs="宋体"/>
          <w:color w:val="000000"/>
          <w:kern w:val="0"/>
          <w:sz w:val="24"/>
          <w:szCs w:val="24"/>
        </w:rPr>
      </w:pPr>
      <w:r>
        <w:rPr>
          <w:rFonts w:hint="eastAsia" w:ascii="仿宋_GB2312" w:hAnsi="仿宋" w:eastAsia="仿宋_GB2312" w:cs="宋体"/>
          <w:color w:val="000000"/>
          <w:kern w:val="0"/>
          <w:sz w:val="24"/>
          <w:szCs w:val="24"/>
        </w:rPr>
        <w:t>详细办理流程请登录“本所网站－业务办理专区－</w:t>
      </w:r>
      <w:r>
        <w:fldChar w:fldCharType="begin"/>
      </w:r>
      <w:r>
        <w:instrText xml:space="preserve"> HYPERLINK "http://www.sse.com.cn/home/biz/cnsca/" \o "CA中心专区" </w:instrText>
      </w:r>
      <w:r>
        <w:fldChar w:fldCharType="separate"/>
      </w:r>
      <w:r>
        <w:rPr>
          <w:rStyle w:val="18"/>
          <w:rFonts w:ascii="Times New Roman" w:hAnsi="Times New Roman" w:eastAsia="仿宋_GB2312" w:cs="宋体"/>
          <w:color w:val="000000"/>
          <w:kern w:val="0"/>
          <w:sz w:val="24"/>
          <w:szCs w:val="24"/>
          <w:u w:val="none"/>
        </w:rPr>
        <w:t>CA</w:t>
      </w:r>
      <w:r>
        <w:rPr>
          <w:rStyle w:val="18"/>
          <w:rFonts w:ascii="仿宋_GB2312" w:hAnsi="仿宋" w:eastAsia="仿宋_GB2312" w:cs="宋体"/>
          <w:color w:val="000000"/>
          <w:kern w:val="0"/>
          <w:sz w:val="24"/>
          <w:szCs w:val="24"/>
          <w:u w:val="none"/>
        </w:rPr>
        <w:t>服务专区</w:t>
      </w:r>
      <w:r>
        <w:rPr>
          <w:rStyle w:val="18"/>
          <w:rFonts w:ascii="仿宋_GB2312" w:hAnsi="仿宋" w:eastAsia="仿宋_GB2312" w:cs="宋体"/>
          <w:color w:val="000000"/>
          <w:kern w:val="0"/>
          <w:sz w:val="24"/>
          <w:szCs w:val="24"/>
          <w:u w:val="none"/>
        </w:rPr>
        <w:fldChar w:fldCharType="end"/>
      </w:r>
      <w:r>
        <w:rPr>
          <w:rFonts w:ascii="仿宋_GB2312" w:hAnsi="仿宋" w:eastAsia="仿宋_GB2312" w:cs="宋体"/>
          <w:color w:val="000000"/>
          <w:kern w:val="0"/>
          <w:sz w:val="24"/>
          <w:szCs w:val="24"/>
        </w:rPr>
        <w:t>-业务流程”，地址：</w:t>
      </w:r>
      <w:r>
        <w:fldChar w:fldCharType="begin"/>
      </w:r>
      <w:r>
        <w:instrText xml:space="preserve"> HYPERLINK "http://www.sse.com.cn/home/biz/cnsca/" </w:instrText>
      </w:r>
      <w:r>
        <w:fldChar w:fldCharType="separate"/>
      </w:r>
      <w:r>
        <w:rPr>
          <w:rStyle w:val="18"/>
          <w:rFonts w:hint="eastAsia" w:ascii="Times New Roman" w:hAnsi="Times New Roman" w:eastAsia="仿宋_GB2312" w:cs="宋体"/>
          <w:color w:val="000000"/>
          <w:kern w:val="0"/>
          <w:sz w:val="24"/>
          <w:szCs w:val="24"/>
          <w:u w:val="none"/>
        </w:rPr>
        <w:t>http</w:t>
      </w:r>
      <w:r>
        <w:rPr>
          <w:rStyle w:val="18"/>
          <w:rFonts w:hint="eastAsia" w:ascii="仿宋_GB2312" w:eastAsia="仿宋_GB2312" w:cs="宋体"/>
          <w:color w:val="000000"/>
          <w:kern w:val="0"/>
          <w:sz w:val="24"/>
          <w:szCs w:val="24"/>
          <w:u w:val="none"/>
        </w:rPr>
        <w:t>://</w:t>
      </w:r>
      <w:r>
        <w:rPr>
          <w:rStyle w:val="18"/>
          <w:rFonts w:hint="eastAsia" w:ascii="Times New Roman" w:hAnsi="Times New Roman" w:eastAsia="仿宋_GB2312" w:cs="宋体"/>
          <w:color w:val="000000"/>
          <w:kern w:val="0"/>
          <w:sz w:val="24"/>
          <w:szCs w:val="24"/>
          <w:u w:val="none"/>
        </w:rPr>
        <w:t>www</w:t>
      </w:r>
      <w:r>
        <w:rPr>
          <w:rStyle w:val="18"/>
          <w:rFonts w:hint="eastAsia" w:ascii="仿宋_GB2312" w:eastAsia="仿宋_GB2312" w:cs="宋体"/>
          <w:color w:val="000000"/>
          <w:kern w:val="0"/>
          <w:sz w:val="24"/>
          <w:szCs w:val="24"/>
          <w:u w:val="none"/>
        </w:rPr>
        <w:t>.</w:t>
      </w:r>
      <w:r>
        <w:rPr>
          <w:rStyle w:val="18"/>
          <w:rFonts w:hint="eastAsia" w:ascii="Times New Roman" w:hAnsi="Times New Roman" w:eastAsia="仿宋_GB2312" w:cs="宋体"/>
          <w:color w:val="000000"/>
          <w:kern w:val="0"/>
          <w:sz w:val="24"/>
          <w:szCs w:val="24"/>
          <w:u w:val="none"/>
        </w:rPr>
        <w:t>sse</w:t>
      </w:r>
      <w:r>
        <w:rPr>
          <w:rStyle w:val="18"/>
          <w:rFonts w:hint="eastAsia" w:ascii="仿宋_GB2312" w:eastAsia="仿宋_GB2312" w:cs="宋体"/>
          <w:color w:val="000000"/>
          <w:kern w:val="0"/>
          <w:sz w:val="24"/>
          <w:szCs w:val="24"/>
          <w:u w:val="none"/>
        </w:rPr>
        <w:t>.</w:t>
      </w:r>
      <w:r>
        <w:rPr>
          <w:rStyle w:val="18"/>
          <w:rFonts w:hint="eastAsia" w:ascii="Times New Roman" w:hAnsi="Times New Roman" w:eastAsia="仿宋_GB2312" w:cs="宋体"/>
          <w:color w:val="000000"/>
          <w:kern w:val="0"/>
          <w:sz w:val="24"/>
          <w:szCs w:val="24"/>
          <w:u w:val="none"/>
        </w:rPr>
        <w:t>com</w:t>
      </w:r>
      <w:r>
        <w:rPr>
          <w:rStyle w:val="18"/>
          <w:rFonts w:hint="eastAsia" w:ascii="仿宋_GB2312" w:eastAsia="仿宋_GB2312" w:cs="宋体"/>
          <w:color w:val="000000"/>
          <w:kern w:val="0"/>
          <w:sz w:val="24"/>
          <w:szCs w:val="24"/>
          <w:u w:val="none"/>
        </w:rPr>
        <w:t>.</w:t>
      </w:r>
      <w:r>
        <w:rPr>
          <w:rStyle w:val="18"/>
          <w:rFonts w:hint="eastAsia" w:ascii="Times New Roman" w:hAnsi="Times New Roman" w:eastAsia="仿宋_GB2312" w:cs="宋体"/>
          <w:color w:val="000000"/>
          <w:kern w:val="0"/>
          <w:sz w:val="24"/>
          <w:szCs w:val="24"/>
          <w:u w:val="none"/>
        </w:rPr>
        <w:t>cn</w:t>
      </w:r>
      <w:r>
        <w:rPr>
          <w:rStyle w:val="18"/>
          <w:rFonts w:hint="eastAsia" w:ascii="仿宋_GB2312" w:eastAsia="仿宋_GB2312" w:cs="宋体"/>
          <w:color w:val="000000"/>
          <w:kern w:val="0"/>
          <w:sz w:val="24"/>
          <w:szCs w:val="24"/>
          <w:u w:val="none"/>
        </w:rPr>
        <w:t>/</w:t>
      </w:r>
      <w:r>
        <w:rPr>
          <w:rStyle w:val="18"/>
          <w:rFonts w:hint="eastAsia" w:ascii="Times New Roman" w:hAnsi="Times New Roman" w:eastAsia="仿宋_GB2312" w:cs="宋体"/>
          <w:color w:val="000000"/>
          <w:kern w:val="0"/>
          <w:sz w:val="24"/>
          <w:szCs w:val="24"/>
          <w:u w:val="none"/>
        </w:rPr>
        <w:t>home</w:t>
      </w:r>
      <w:r>
        <w:rPr>
          <w:rStyle w:val="18"/>
          <w:rFonts w:hint="eastAsia" w:ascii="仿宋_GB2312" w:eastAsia="仿宋_GB2312" w:cs="宋体"/>
          <w:color w:val="000000"/>
          <w:kern w:val="0"/>
          <w:sz w:val="24"/>
          <w:szCs w:val="24"/>
          <w:u w:val="none"/>
        </w:rPr>
        <w:t>/</w:t>
      </w:r>
      <w:r>
        <w:rPr>
          <w:rStyle w:val="18"/>
          <w:rFonts w:hint="eastAsia" w:ascii="Times New Roman" w:hAnsi="Times New Roman" w:eastAsia="仿宋_GB2312" w:cs="宋体"/>
          <w:color w:val="000000"/>
          <w:kern w:val="0"/>
          <w:sz w:val="24"/>
          <w:szCs w:val="24"/>
          <w:u w:val="none"/>
        </w:rPr>
        <w:t>biz</w:t>
      </w:r>
      <w:r>
        <w:rPr>
          <w:rStyle w:val="18"/>
          <w:rFonts w:hint="eastAsia" w:ascii="仿宋_GB2312" w:eastAsia="仿宋_GB2312" w:cs="宋体"/>
          <w:color w:val="000000"/>
          <w:kern w:val="0"/>
          <w:sz w:val="24"/>
          <w:szCs w:val="24"/>
          <w:u w:val="none"/>
        </w:rPr>
        <w:t>/</w:t>
      </w:r>
      <w:r>
        <w:rPr>
          <w:rStyle w:val="18"/>
          <w:rFonts w:hint="eastAsia" w:ascii="Times New Roman" w:hAnsi="Times New Roman" w:eastAsia="仿宋_GB2312" w:cs="宋体"/>
          <w:color w:val="000000"/>
          <w:kern w:val="0"/>
          <w:sz w:val="24"/>
          <w:szCs w:val="24"/>
          <w:u w:val="none"/>
        </w:rPr>
        <w:t>cnsca</w:t>
      </w:r>
      <w:r>
        <w:rPr>
          <w:rStyle w:val="18"/>
          <w:rFonts w:hint="eastAsia" w:ascii="仿宋_GB2312" w:eastAsia="仿宋_GB2312" w:cs="宋体"/>
          <w:color w:val="000000"/>
          <w:kern w:val="0"/>
          <w:sz w:val="24"/>
          <w:szCs w:val="24"/>
          <w:u w:val="none"/>
        </w:rPr>
        <w:t>/</w:t>
      </w:r>
      <w:r>
        <w:rPr>
          <w:rStyle w:val="18"/>
          <w:rFonts w:hint="eastAsia" w:ascii="仿宋_GB2312" w:eastAsia="仿宋_GB2312" w:cs="宋体"/>
          <w:color w:val="000000"/>
          <w:kern w:val="0"/>
          <w:sz w:val="24"/>
          <w:szCs w:val="24"/>
          <w:u w:val="none"/>
        </w:rPr>
        <w:fldChar w:fldCharType="end"/>
      </w:r>
      <w:r>
        <w:rPr>
          <w:rFonts w:hint="eastAsia" w:ascii="仿宋_GB2312" w:hAnsi="仿宋" w:eastAsia="仿宋_GB2312" w:cs="宋体"/>
          <w:color w:val="000000"/>
          <w:kern w:val="0"/>
          <w:sz w:val="24"/>
          <w:szCs w:val="24"/>
        </w:rPr>
        <w:t>。</w:t>
      </w:r>
    </w:p>
    <w:p w14:paraId="1C042B05">
      <w:pPr>
        <w:numPr>
          <w:ilvl w:val="0"/>
          <w:numId w:val="6"/>
        </w:numPr>
        <w:snapToGrid w:val="0"/>
        <w:spacing w:line="360" w:lineRule="auto"/>
        <w:ind w:firstLine="480" w:firstLineChars="200"/>
        <w:rPr>
          <w:rFonts w:hint="eastAsia" w:ascii="仿宋_GB2312" w:hAnsi="仿宋" w:eastAsia="仿宋_GB2312" w:cs="宋体"/>
          <w:color w:val="000000"/>
          <w:kern w:val="0"/>
          <w:sz w:val="24"/>
          <w:szCs w:val="24"/>
        </w:rPr>
      </w:pPr>
      <w:r>
        <w:rPr>
          <w:rFonts w:hint="eastAsia" w:ascii="仿宋_GB2312" w:hAnsi="仿宋" w:eastAsia="仿宋_GB2312" w:cs="宋体"/>
          <w:color w:val="000000"/>
          <w:kern w:val="0"/>
          <w:sz w:val="24"/>
          <w:szCs w:val="24"/>
        </w:rPr>
        <w:t>除</w:t>
      </w:r>
      <w:r>
        <w:rPr>
          <w:rFonts w:hint="eastAsia" w:ascii="Times New Roman" w:hAnsi="Times New Roman" w:eastAsia="仿宋_GB2312" w:cs="宋体"/>
          <w:color w:val="000000"/>
          <w:kern w:val="0"/>
          <w:sz w:val="24"/>
          <w:szCs w:val="24"/>
        </w:rPr>
        <w:t>CA</w:t>
      </w:r>
      <w:r>
        <w:rPr>
          <w:rFonts w:hint="eastAsia" w:ascii="仿宋_GB2312" w:hAnsi="仿宋" w:eastAsia="仿宋_GB2312" w:cs="宋体"/>
          <w:color w:val="000000"/>
          <w:kern w:val="0"/>
          <w:sz w:val="24"/>
          <w:szCs w:val="24"/>
        </w:rPr>
        <w:t>证书申请必要提交附件外，发行人</w:t>
      </w:r>
      <w:r>
        <w:rPr>
          <w:rFonts w:hint="eastAsia" w:ascii="Times New Roman" w:hAnsi="Times New Roman" w:eastAsia="仿宋_GB2312" w:cs="宋体"/>
          <w:color w:val="000000"/>
          <w:kern w:val="0"/>
          <w:sz w:val="24"/>
          <w:szCs w:val="24"/>
        </w:rPr>
        <w:t>CA</w:t>
      </w:r>
      <w:r>
        <w:rPr>
          <w:rFonts w:hint="eastAsia" w:ascii="仿宋_GB2312" w:hAnsi="仿宋" w:eastAsia="仿宋_GB2312" w:cs="宋体"/>
          <w:color w:val="000000"/>
          <w:kern w:val="0"/>
          <w:sz w:val="24"/>
          <w:szCs w:val="24"/>
        </w:rPr>
        <w:t>证书、投资者</w:t>
      </w:r>
      <w:r>
        <w:rPr>
          <w:rFonts w:hint="eastAsia" w:ascii="Times New Roman" w:hAnsi="Times New Roman" w:eastAsia="仿宋_GB2312" w:cs="宋体"/>
          <w:color w:val="000000"/>
          <w:kern w:val="0"/>
          <w:sz w:val="24"/>
          <w:szCs w:val="24"/>
        </w:rPr>
        <w:t>CA</w:t>
      </w:r>
      <w:r>
        <w:rPr>
          <w:rFonts w:hint="eastAsia" w:ascii="仿宋_GB2312" w:hAnsi="仿宋" w:eastAsia="仿宋_GB2312" w:cs="宋体"/>
          <w:color w:val="000000"/>
          <w:kern w:val="0"/>
          <w:sz w:val="24"/>
          <w:szCs w:val="24"/>
        </w:rPr>
        <w:t>证书申请还需额外提交以下文件：</w:t>
      </w:r>
    </w:p>
    <w:p w14:paraId="66F32120">
      <w:pPr>
        <w:widowControl/>
        <w:numPr>
          <w:ilvl w:val="0"/>
          <w:numId w:val="7"/>
        </w:numPr>
        <w:tabs>
          <w:tab w:val="left" w:pos="1276"/>
          <w:tab w:val="clear" w:pos="1440"/>
        </w:tabs>
        <w:snapToGrid w:val="0"/>
        <w:spacing w:line="360" w:lineRule="auto"/>
        <w:ind w:left="1276" w:hanging="425"/>
        <w:rPr>
          <w:rFonts w:hint="eastAsia" w:ascii="仿宋_GB2312" w:hAnsi="仿宋" w:eastAsia="仿宋_GB2312" w:cs="宋体"/>
          <w:color w:val="000000"/>
          <w:kern w:val="0"/>
          <w:sz w:val="24"/>
          <w:szCs w:val="24"/>
        </w:rPr>
      </w:pPr>
      <w:r>
        <w:rPr>
          <w:rFonts w:hint="eastAsia" w:ascii="仿宋_GB2312" w:hAnsi="仿宋" w:eastAsia="仿宋_GB2312" w:cs="宋体"/>
          <w:color w:val="000000"/>
          <w:kern w:val="0"/>
          <w:sz w:val="24"/>
          <w:szCs w:val="24"/>
        </w:rPr>
        <w:t>基金管理人或财务顾问首次申请发行人</w:t>
      </w:r>
      <w:r>
        <w:rPr>
          <w:rFonts w:hint="eastAsia" w:ascii="Times New Roman" w:hAnsi="Times New Roman" w:eastAsia="仿宋_GB2312" w:cs="宋体"/>
          <w:color w:val="000000"/>
          <w:kern w:val="0"/>
          <w:sz w:val="24"/>
          <w:szCs w:val="24"/>
        </w:rPr>
        <w:t>CA</w:t>
      </w:r>
      <w:r>
        <w:rPr>
          <w:rFonts w:hint="eastAsia" w:ascii="仿宋_GB2312" w:hAnsi="仿宋" w:eastAsia="仿宋_GB2312" w:cs="宋体"/>
          <w:color w:val="000000"/>
          <w:kern w:val="0"/>
          <w:sz w:val="24"/>
          <w:szCs w:val="24"/>
        </w:rPr>
        <w:t>证书的，需提交经办人身份证明（签字扫描件）、申请机构的业务办理授权（格式参考附件</w:t>
      </w:r>
      <w:r>
        <w:rPr>
          <w:rFonts w:hint="eastAsia" w:ascii="Times New Roman" w:hAnsi="Times New Roman" w:eastAsia="仿宋_GB2312" w:cs="宋体"/>
          <w:color w:val="000000"/>
          <w:kern w:val="0"/>
          <w:sz w:val="24"/>
          <w:szCs w:val="24"/>
        </w:rPr>
        <w:t>1</w:t>
      </w:r>
      <w:r>
        <w:rPr>
          <w:rFonts w:hint="eastAsia" w:ascii="仿宋_GB2312" w:hAnsi="仿宋" w:eastAsia="仿宋_GB2312" w:cs="宋体"/>
          <w:color w:val="000000"/>
          <w:kern w:val="0"/>
          <w:sz w:val="24"/>
          <w:szCs w:val="24"/>
        </w:rPr>
        <w:t>-</w:t>
      </w:r>
      <w:r>
        <w:rPr>
          <w:rFonts w:hint="eastAsia" w:ascii="Times New Roman" w:hAnsi="Times New Roman" w:eastAsia="仿宋_GB2312" w:cs="宋体"/>
          <w:color w:val="000000"/>
          <w:kern w:val="0"/>
          <w:sz w:val="24"/>
          <w:szCs w:val="24"/>
        </w:rPr>
        <w:t>1</w:t>
      </w:r>
      <w:r>
        <w:rPr>
          <w:rFonts w:hint="eastAsia" w:ascii="仿宋_GB2312" w:hAnsi="仿宋" w:eastAsia="仿宋_GB2312" w:cs="宋体"/>
          <w:color w:val="000000"/>
          <w:kern w:val="0"/>
          <w:sz w:val="24"/>
          <w:szCs w:val="24"/>
        </w:rPr>
        <w:t>，盖章扫描件），如为财务顾问，还应提交基金管理人指定发行人的授权（格式参考附件</w:t>
      </w:r>
      <w:r>
        <w:rPr>
          <w:rFonts w:hint="eastAsia" w:ascii="Times New Roman" w:hAnsi="Times New Roman" w:eastAsia="仿宋_GB2312" w:cs="宋体"/>
          <w:color w:val="000000"/>
          <w:kern w:val="0"/>
          <w:sz w:val="24"/>
          <w:szCs w:val="24"/>
        </w:rPr>
        <w:t>1</w:t>
      </w:r>
      <w:r>
        <w:rPr>
          <w:rFonts w:hint="eastAsia" w:ascii="仿宋_GB2312" w:hAnsi="仿宋" w:eastAsia="仿宋_GB2312" w:cs="宋体"/>
          <w:color w:val="000000"/>
          <w:kern w:val="0"/>
          <w:sz w:val="24"/>
          <w:szCs w:val="24"/>
        </w:rPr>
        <w:t>-</w:t>
      </w:r>
      <w:r>
        <w:rPr>
          <w:rFonts w:hint="eastAsia" w:ascii="Times New Roman" w:hAnsi="Times New Roman" w:eastAsia="仿宋_GB2312" w:cs="宋体"/>
          <w:color w:val="000000"/>
          <w:kern w:val="0"/>
          <w:sz w:val="24"/>
          <w:szCs w:val="24"/>
        </w:rPr>
        <w:t>2</w:t>
      </w:r>
      <w:r>
        <w:rPr>
          <w:rFonts w:hint="eastAsia" w:ascii="仿宋_GB2312" w:hAnsi="仿宋" w:eastAsia="仿宋_GB2312" w:cs="宋体"/>
          <w:color w:val="000000"/>
          <w:kern w:val="0"/>
          <w:sz w:val="24"/>
          <w:szCs w:val="24"/>
        </w:rPr>
        <w:t>，盖章扫描件）；</w:t>
      </w:r>
    </w:p>
    <w:p w14:paraId="184ABF50">
      <w:pPr>
        <w:widowControl/>
        <w:numPr>
          <w:ilvl w:val="0"/>
          <w:numId w:val="7"/>
        </w:numPr>
        <w:tabs>
          <w:tab w:val="left" w:pos="1276"/>
          <w:tab w:val="clear" w:pos="1440"/>
        </w:tabs>
        <w:snapToGrid w:val="0"/>
        <w:spacing w:line="360" w:lineRule="auto"/>
        <w:ind w:left="1276" w:hanging="425"/>
        <w:rPr>
          <w:rFonts w:hint="eastAsia" w:ascii="仿宋_GB2312" w:hAnsi="仿宋" w:eastAsia="仿宋_GB2312" w:cs="宋体"/>
          <w:color w:val="000000"/>
          <w:kern w:val="0"/>
          <w:sz w:val="24"/>
          <w:szCs w:val="24"/>
        </w:rPr>
      </w:pPr>
      <w:r>
        <w:rPr>
          <w:rFonts w:hint="eastAsia" w:ascii="仿宋_GB2312" w:hAnsi="仿宋" w:eastAsia="仿宋_GB2312" w:cs="宋体"/>
          <w:color w:val="000000"/>
          <w:kern w:val="0"/>
          <w:sz w:val="24"/>
          <w:szCs w:val="24"/>
        </w:rPr>
        <w:t>由基金管理人代为统一申请只具备</w:t>
      </w:r>
      <w:r>
        <w:rPr>
          <w:rFonts w:hint="eastAsia" w:ascii="Times New Roman" w:hAnsi="Times New Roman" w:eastAsia="仿宋_GB2312" w:cs="宋体"/>
          <w:color w:val="000000"/>
          <w:kern w:val="0"/>
          <w:sz w:val="24"/>
          <w:szCs w:val="24"/>
        </w:rPr>
        <w:t>REITs</w:t>
      </w:r>
      <w:r>
        <w:rPr>
          <w:rFonts w:hint="eastAsia" w:ascii="仿宋_GB2312" w:hAnsi="仿宋" w:eastAsia="仿宋_GB2312" w:cs="宋体"/>
          <w:color w:val="000000"/>
          <w:kern w:val="0"/>
          <w:sz w:val="24"/>
          <w:szCs w:val="24"/>
        </w:rPr>
        <w:t>网下机构投资者权限的投资者</w:t>
      </w:r>
      <w:r>
        <w:rPr>
          <w:rFonts w:hint="eastAsia" w:ascii="Times New Roman" w:hAnsi="Times New Roman" w:eastAsia="仿宋_GB2312" w:cs="宋体"/>
          <w:color w:val="000000"/>
          <w:kern w:val="0"/>
          <w:sz w:val="24"/>
          <w:szCs w:val="24"/>
        </w:rPr>
        <w:t>CA</w:t>
      </w:r>
      <w:r>
        <w:rPr>
          <w:rFonts w:hint="eastAsia" w:ascii="仿宋_GB2312" w:hAnsi="仿宋" w:eastAsia="仿宋_GB2312" w:cs="宋体"/>
          <w:color w:val="000000"/>
          <w:kern w:val="0"/>
          <w:sz w:val="24"/>
          <w:szCs w:val="24"/>
        </w:rPr>
        <w:t>证书的，基金管理人需提前核实网下机构投资者的身份信息，并提交网下机构投资者证书申请授权（格式参考附件</w:t>
      </w:r>
      <w:r>
        <w:rPr>
          <w:rFonts w:hint="eastAsia" w:ascii="Times New Roman" w:hAnsi="Times New Roman" w:eastAsia="仿宋_GB2312" w:cs="宋体"/>
          <w:color w:val="000000"/>
          <w:kern w:val="0"/>
          <w:sz w:val="24"/>
          <w:szCs w:val="24"/>
        </w:rPr>
        <w:t>1</w:t>
      </w:r>
      <w:r>
        <w:rPr>
          <w:rFonts w:hint="eastAsia" w:ascii="仿宋_GB2312" w:hAnsi="仿宋" w:eastAsia="仿宋_GB2312" w:cs="宋体"/>
          <w:color w:val="000000"/>
          <w:kern w:val="0"/>
          <w:sz w:val="24"/>
          <w:szCs w:val="24"/>
        </w:rPr>
        <w:t>-</w:t>
      </w:r>
      <w:r>
        <w:rPr>
          <w:rFonts w:hint="eastAsia" w:ascii="Times New Roman" w:hAnsi="Times New Roman" w:eastAsia="仿宋_GB2312" w:cs="宋体"/>
          <w:color w:val="000000"/>
          <w:kern w:val="0"/>
          <w:sz w:val="24"/>
          <w:szCs w:val="24"/>
        </w:rPr>
        <w:t>3</w:t>
      </w:r>
      <w:r>
        <w:rPr>
          <w:rFonts w:hint="eastAsia" w:ascii="仿宋_GB2312" w:hAnsi="仿宋" w:eastAsia="仿宋_GB2312" w:cs="宋体"/>
          <w:color w:val="000000"/>
          <w:kern w:val="0"/>
          <w:sz w:val="24"/>
          <w:szCs w:val="24"/>
        </w:rPr>
        <w:t>，盖章扫描件）、代网下机构投资者申请证书的承诺（格式参考附件</w:t>
      </w:r>
      <w:r>
        <w:rPr>
          <w:rFonts w:hint="eastAsia" w:ascii="Times New Roman" w:hAnsi="Times New Roman" w:eastAsia="仿宋_GB2312" w:cs="宋体"/>
          <w:color w:val="000000"/>
          <w:kern w:val="0"/>
          <w:sz w:val="24"/>
          <w:szCs w:val="24"/>
        </w:rPr>
        <w:t>1</w:t>
      </w:r>
      <w:r>
        <w:rPr>
          <w:rFonts w:hint="eastAsia" w:ascii="仿宋_GB2312" w:hAnsi="仿宋" w:eastAsia="仿宋_GB2312" w:cs="宋体"/>
          <w:color w:val="000000"/>
          <w:kern w:val="0"/>
          <w:sz w:val="24"/>
          <w:szCs w:val="24"/>
        </w:rPr>
        <w:t>-</w:t>
      </w:r>
      <w:r>
        <w:rPr>
          <w:rFonts w:hint="eastAsia" w:ascii="Times New Roman" w:hAnsi="Times New Roman" w:eastAsia="仿宋_GB2312" w:cs="宋体"/>
          <w:color w:val="000000"/>
          <w:kern w:val="0"/>
          <w:sz w:val="24"/>
          <w:szCs w:val="24"/>
        </w:rPr>
        <w:t>4</w:t>
      </w:r>
      <w:r>
        <w:rPr>
          <w:rFonts w:hint="eastAsia" w:ascii="仿宋_GB2312" w:hAnsi="仿宋" w:eastAsia="仿宋_GB2312" w:cs="宋体"/>
          <w:color w:val="000000"/>
          <w:kern w:val="0"/>
          <w:sz w:val="24"/>
          <w:szCs w:val="24"/>
        </w:rPr>
        <w:t>，盖章扫描件）。</w:t>
      </w:r>
    </w:p>
    <w:p w14:paraId="069A2F1E">
      <w:pPr>
        <w:widowControl/>
        <w:tabs>
          <w:tab w:val="left" w:pos="1440"/>
        </w:tabs>
        <w:snapToGrid w:val="0"/>
        <w:spacing w:line="360" w:lineRule="auto"/>
        <w:rPr>
          <w:rFonts w:hint="eastAsia" w:ascii="仿宋_GB2312" w:hAnsi="仿宋" w:eastAsia="仿宋_GB2312" w:cs="宋体"/>
          <w:color w:val="000000"/>
          <w:kern w:val="0"/>
          <w:sz w:val="24"/>
          <w:szCs w:val="24"/>
        </w:rPr>
      </w:pPr>
    </w:p>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p w14:paraId="640E3736">
      <w:pPr>
        <w:pStyle w:val="37"/>
        <w:numPr>
          <w:ilvl w:val="0"/>
          <w:numId w:val="2"/>
        </w:numPr>
        <w:ind w:firstLineChars="0"/>
        <w:outlineLvl w:val="2"/>
        <w:rPr>
          <w:rFonts w:hint="eastAsia" w:ascii="仿宋_GB2312" w:hAnsi="宋体" w:eastAsia="仿宋_GB2312"/>
          <w:b/>
          <w:bCs/>
          <w:sz w:val="28"/>
          <w:szCs w:val="28"/>
        </w:rPr>
      </w:pPr>
      <w:bookmarkStart w:id="103" w:name="_Toc852766382"/>
      <w:bookmarkStart w:id="104" w:name="_Toc828339676"/>
      <w:bookmarkStart w:id="105" w:name="_Toc559415016"/>
      <w:bookmarkStart w:id="106" w:name="_Toc1661652936"/>
      <w:bookmarkStart w:id="107" w:name="_Toc963616067"/>
      <w:bookmarkStart w:id="108" w:name="_Toc1698458623"/>
      <w:bookmarkStart w:id="109" w:name="_Toc1134442237"/>
      <w:bookmarkStart w:id="110" w:name="_Toc70604208"/>
      <w:r>
        <w:rPr>
          <w:rFonts w:hint="eastAsia" w:ascii="仿宋_GB2312" w:hAnsi="宋体" w:eastAsia="仿宋_GB2312"/>
          <w:b/>
          <w:bCs/>
          <w:sz w:val="28"/>
          <w:szCs w:val="28"/>
        </w:rPr>
        <w:t>全天候环境测试</w:t>
      </w:r>
      <w:bookmarkEnd w:id="103"/>
      <w:bookmarkEnd w:id="104"/>
      <w:bookmarkEnd w:id="105"/>
      <w:bookmarkEnd w:id="106"/>
      <w:bookmarkEnd w:id="107"/>
      <w:bookmarkEnd w:id="108"/>
      <w:bookmarkEnd w:id="109"/>
      <w:bookmarkEnd w:id="110"/>
    </w:p>
    <w:p w14:paraId="1068FDFE">
      <w:pPr>
        <w:pStyle w:val="13"/>
        <w:numPr>
          <w:ilvl w:val="0"/>
          <w:numId w:val="8"/>
        </w:numPr>
        <w:snapToGrid w:val="0"/>
        <w:spacing w:before="0" w:beforeAutospacing="0" w:after="0" w:afterAutospacing="0" w:line="360" w:lineRule="auto"/>
        <w:jc w:val="both"/>
        <w:rPr>
          <w:rFonts w:hint="eastAsia" w:ascii="仿宋_GB2312" w:hAnsi="仿宋" w:eastAsia="仿宋_GB2312"/>
        </w:rPr>
      </w:pPr>
      <w:r>
        <w:rPr>
          <w:rFonts w:hint="eastAsia" w:ascii="仿宋_GB2312" w:hAnsi="仿宋" w:eastAsia="仿宋_GB2312"/>
        </w:rPr>
        <w:t>注意事项：</w:t>
      </w:r>
    </w:p>
    <w:p w14:paraId="26E4B7EA">
      <w:pPr>
        <w:pStyle w:val="13"/>
        <w:numPr>
          <w:ilvl w:val="0"/>
          <w:numId w:val="9"/>
        </w:numPr>
        <w:snapToGrid w:val="0"/>
        <w:spacing w:before="0" w:beforeAutospacing="0" w:after="0" w:afterAutospacing="0" w:line="360" w:lineRule="auto"/>
        <w:jc w:val="both"/>
        <w:rPr>
          <w:rFonts w:hint="eastAsia" w:ascii="仿宋_GB2312" w:hAnsi="仿宋" w:eastAsia="仿宋_GB2312"/>
        </w:rPr>
      </w:pPr>
      <w:r>
        <w:rPr>
          <w:rFonts w:hint="eastAsia" w:ascii="仿宋_GB2312" w:hAnsi="仿宋" w:eastAsia="仿宋_GB2312"/>
        </w:rPr>
        <w:t>基金管理人首次与本所合作开发</w:t>
      </w:r>
      <w:r>
        <w:rPr>
          <w:rFonts w:hint="eastAsia" w:ascii="Times New Roman" w:hAnsi="Times New Roman" w:eastAsia="仿宋_GB2312"/>
        </w:rPr>
        <w:t>REITs</w:t>
      </w:r>
      <w:r>
        <w:rPr>
          <w:rFonts w:hint="eastAsia" w:ascii="仿宋_GB2312" w:hAnsi="仿宋" w:eastAsia="仿宋_GB2312"/>
        </w:rPr>
        <w:t>的，应申请参加本业务。</w:t>
      </w:r>
    </w:p>
    <w:p w14:paraId="0D454991">
      <w:pPr>
        <w:pStyle w:val="13"/>
        <w:numPr>
          <w:ilvl w:val="0"/>
          <w:numId w:val="9"/>
        </w:numPr>
        <w:snapToGrid w:val="0"/>
        <w:spacing w:before="0" w:beforeAutospacing="0" w:after="0" w:afterAutospacing="0" w:line="360" w:lineRule="auto"/>
        <w:jc w:val="both"/>
        <w:rPr>
          <w:rFonts w:hint="eastAsia" w:ascii="仿宋_GB2312" w:hAnsi="仿宋" w:eastAsia="仿宋_GB2312"/>
        </w:rPr>
      </w:pPr>
      <w:r>
        <w:rPr>
          <w:rFonts w:hint="eastAsia" w:ascii="仿宋_GB2312" w:hAnsi="仿宋" w:eastAsia="仿宋_GB2312"/>
        </w:rPr>
        <w:t>基金管理人可根据产品需要申请参加本业务。</w:t>
      </w:r>
    </w:p>
    <w:p w14:paraId="3623F16E">
      <w:pPr>
        <w:pStyle w:val="13"/>
        <w:numPr>
          <w:ilvl w:val="0"/>
          <w:numId w:val="9"/>
        </w:numPr>
        <w:snapToGrid w:val="0"/>
        <w:spacing w:before="0" w:beforeAutospacing="0" w:after="0" w:afterAutospacing="0" w:line="360" w:lineRule="auto"/>
        <w:jc w:val="both"/>
        <w:rPr>
          <w:rFonts w:hint="eastAsia" w:ascii="仿宋_GB2312" w:hAnsi="仿宋" w:eastAsia="仿宋_GB2312"/>
        </w:rPr>
      </w:pPr>
      <w:r>
        <w:rPr>
          <w:rFonts w:hint="eastAsia" w:ascii="仿宋_GB2312" w:hAnsi="仿宋" w:eastAsia="仿宋_GB2312"/>
        </w:rPr>
        <w:t>如需通过</w:t>
      </w:r>
      <w:r>
        <w:rPr>
          <w:rFonts w:hint="eastAsia" w:ascii="Times New Roman" w:hAnsi="Times New Roman" w:eastAsia="仿宋_GB2312"/>
        </w:rPr>
        <w:t>VPN</w:t>
      </w:r>
      <w:r>
        <w:rPr>
          <w:rFonts w:hint="eastAsia" w:ascii="仿宋_GB2312" w:hAnsi="仿宋" w:eastAsia="仿宋_GB2312"/>
        </w:rPr>
        <w:t>远程参加全天候环境测试，请参见本所网站“服务-交易服务-交易技术支持专区-技术服务”栏目的《上海证券交易所技术服务指南》，安装</w:t>
      </w:r>
      <w:r>
        <w:rPr>
          <w:rFonts w:hint="eastAsia" w:ascii="Times New Roman" w:hAnsi="Times New Roman" w:eastAsia="仿宋_GB2312"/>
        </w:rPr>
        <w:t>VPN</w:t>
      </w:r>
      <w:r>
        <w:rPr>
          <w:rFonts w:hint="eastAsia" w:ascii="仿宋_GB2312" w:hAnsi="仿宋" w:eastAsia="仿宋_GB2312"/>
        </w:rPr>
        <w:t>客户端软件包。</w:t>
      </w:r>
    </w:p>
    <w:p w14:paraId="1BF1D3D1">
      <w:pPr>
        <w:pStyle w:val="13"/>
        <w:numPr>
          <w:ilvl w:val="0"/>
          <w:numId w:val="9"/>
        </w:numPr>
        <w:snapToGrid w:val="0"/>
        <w:spacing w:before="0" w:beforeAutospacing="0" w:after="0" w:afterAutospacing="0" w:line="360" w:lineRule="auto"/>
        <w:jc w:val="both"/>
        <w:rPr>
          <w:rFonts w:hint="eastAsia" w:ascii="仿宋_GB2312" w:hAnsi="仿宋" w:eastAsia="仿宋_GB2312"/>
        </w:rPr>
      </w:pPr>
      <w:r>
        <w:rPr>
          <w:rFonts w:hint="eastAsia" w:ascii="仿宋_GB2312" w:hAnsi="仿宋" w:eastAsia="仿宋_GB2312"/>
        </w:rPr>
        <w:t>基金管理人申请全天候环境</w:t>
      </w:r>
      <w:r>
        <w:rPr>
          <w:rFonts w:hint="eastAsia" w:ascii="Times New Roman" w:hAnsi="Times New Roman" w:eastAsia="仿宋_GB2312"/>
        </w:rPr>
        <w:t>REITs</w:t>
      </w:r>
      <w:r>
        <w:rPr>
          <w:rFonts w:hint="eastAsia" w:ascii="仿宋_GB2312" w:hAnsi="仿宋" w:eastAsia="仿宋_GB2312"/>
        </w:rPr>
        <w:t>测试应满足以下条件：</w:t>
      </w:r>
    </w:p>
    <w:p w14:paraId="2757BE03">
      <w:pPr>
        <w:widowControl/>
        <w:numPr>
          <w:ilvl w:val="0"/>
          <w:numId w:val="10"/>
        </w:numPr>
        <w:tabs>
          <w:tab w:val="left" w:pos="1276"/>
          <w:tab w:val="clear" w:pos="1020"/>
        </w:tabs>
        <w:snapToGrid w:val="0"/>
        <w:spacing w:line="360" w:lineRule="auto"/>
        <w:ind w:left="1276" w:hanging="425"/>
        <w:rPr>
          <w:rFonts w:hint="eastAsia" w:ascii="仿宋_GB2312" w:hAnsi="仿宋" w:eastAsia="仿宋_GB2312" w:cs="宋体"/>
          <w:color w:val="000000"/>
          <w:kern w:val="0"/>
          <w:sz w:val="24"/>
        </w:rPr>
      </w:pPr>
      <w:r>
        <w:rPr>
          <w:rFonts w:hint="eastAsia" w:ascii="仿宋_GB2312" w:hAnsi="仿宋" w:eastAsia="仿宋_GB2312" w:cs="宋体"/>
          <w:color w:val="000000"/>
          <w:kern w:val="0"/>
          <w:sz w:val="24"/>
        </w:rPr>
        <w:t>基金及其项目已被本所</w:t>
      </w:r>
      <w:r>
        <w:rPr>
          <w:rFonts w:hint="eastAsia" w:ascii="Times New Roman" w:hAnsi="Times New Roman" w:eastAsia="仿宋_GB2312" w:cs="宋体"/>
          <w:color w:val="000000"/>
          <w:kern w:val="0"/>
          <w:sz w:val="24"/>
        </w:rPr>
        <w:t>REITs</w:t>
      </w:r>
      <w:r>
        <w:rPr>
          <w:rFonts w:hint="eastAsia" w:ascii="仿宋_GB2312" w:hAnsi="仿宋" w:eastAsia="仿宋_GB2312" w:cs="宋体"/>
          <w:color w:val="000000"/>
          <w:kern w:val="0"/>
          <w:sz w:val="24"/>
        </w:rPr>
        <w:t>项目申报系统受理；</w:t>
      </w:r>
    </w:p>
    <w:p w14:paraId="6C213EB2">
      <w:pPr>
        <w:widowControl/>
        <w:numPr>
          <w:ilvl w:val="0"/>
          <w:numId w:val="10"/>
        </w:numPr>
        <w:tabs>
          <w:tab w:val="left" w:pos="1276"/>
          <w:tab w:val="clear" w:pos="1020"/>
        </w:tabs>
        <w:snapToGrid w:val="0"/>
        <w:spacing w:line="360" w:lineRule="auto"/>
        <w:ind w:left="1276" w:hanging="425"/>
        <w:rPr>
          <w:rFonts w:hint="eastAsia" w:ascii="仿宋_GB2312" w:hAnsi="仿宋" w:eastAsia="仿宋_GB2312" w:cs="宋体"/>
          <w:color w:val="000000"/>
          <w:kern w:val="0"/>
          <w:sz w:val="24"/>
        </w:rPr>
      </w:pPr>
      <w:r>
        <w:rPr>
          <w:rFonts w:hint="eastAsia" w:ascii="仿宋_GB2312" w:hAnsi="仿宋" w:eastAsia="仿宋_GB2312" w:cs="宋体"/>
          <w:color w:val="000000"/>
          <w:kern w:val="0"/>
          <w:sz w:val="24"/>
        </w:rPr>
        <w:t>基金管理人拟上市的</w:t>
      </w:r>
      <w:r>
        <w:rPr>
          <w:rFonts w:hint="eastAsia" w:ascii="Times New Roman" w:hAnsi="Times New Roman" w:eastAsia="仿宋_GB2312" w:cs="宋体"/>
          <w:color w:val="000000"/>
          <w:kern w:val="0"/>
          <w:sz w:val="24"/>
        </w:rPr>
        <w:t>REITs</w:t>
      </w:r>
      <w:r>
        <w:rPr>
          <w:rFonts w:hint="eastAsia" w:ascii="仿宋_GB2312" w:hAnsi="仿宋" w:eastAsia="仿宋_GB2312" w:cs="宋体"/>
          <w:color w:val="000000"/>
          <w:kern w:val="0"/>
          <w:sz w:val="24"/>
        </w:rPr>
        <w:t>技术系统已准备就绪并完成公司内部业务测试；</w:t>
      </w:r>
    </w:p>
    <w:p w14:paraId="526F290D">
      <w:pPr>
        <w:widowControl/>
        <w:numPr>
          <w:ilvl w:val="0"/>
          <w:numId w:val="10"/>
        </w:numPr>
        <w:tabs>
          <w:tab w:val="left" w:pos="1276"/>
          <w:tab w:val="clear" w:pos="1020"/>
        </w:tabs>
        <w:snapToGrid w:val="0"/>
        <w:spacing w:line="360" w:lineRule="auto"/>
        <w:ind w:left="1276" w:hanging="425"/>
        <w:rPr>
          <w:rFonts w:hint="eastAsia" w:ascii="仿宋_GB2312" w:hAnsi="仿宋" w:eastAsia="仿宋_GB2312" w:cs="宋体"/>
          <w:color w:val="000000"/>
          <w:kern w:val="0"/>
          <w:sz w:val="24"/>
        </w:rPr>
      </w:pPr>
      <w:r>
        <w:rPr>
          <w:rFonts w:hint="eastAsia" w:ascii="仿宋_GB2312" w:hAnsi="仿宋" w:eastAsia="仿宋_GB2312" w:cs="宋体"/>
          <w:color w:val="000000"/>
          <w:kern w:val="0"/>
          <w:sz w:val="24"/>
        </w:rPr>
        <w:t>本所要求的其他条件。</w:t>
      </w:r>
    </w:p>
    <w:p w14:paraId="0D86B144">
      <w:pPr>
        <w:pStyle w:val="13"/>
        <w:numPr>
          <w:ilvl w:val="0"/>
          <w:numId w:val="8"/>
        </w:numPr>
        <w:snapToGrid w:val="0"/>
        <w:spacing w:before="0" w:beforeAutospacing="0" w:after="0" w:afterAutospacing="0" w:line="360" w:lineRule="auto"/>
        <w:jc w:val="both"/>
        <w:rPr>
          <w:rFonts w:hint="eastAsia" w:ascii="仿宋_GB2312" w:hAnsi="仿宋" w:eastAsia="仿宋_GB2312"/>
        </w:rPr>
      </w:pPr>
      <w:r>
        <w:rPr>
          <w:rFonts w:hint="eastAsia" w:ascii="仿宋_GB2312" w:hAnsi="仿宋" w:eastAsia="仿宋_GB2312"/>
        </w:rPr>
        <w:t>业务办理流程：</w:t>
      </w:r>
    </w:p>
    <w:p w14:paraId="034B3381">
      <w:pPr>
        <w:pStyle w:val="13"/>
        <w:snapToGrid w:val="0"/>
        <w:spacing w:before="0" w:beforeAutospacing="0" w:after="0" w:afterAutospacing="0" w:line="360" w:lineRule="auto"/>
        <w:jc w:val="both"/>
        <w:rPr>
          <w:rFonts w:hint="eastAsia" w:ascii="仿宋_GB2312" w:hAnsi="仿宋" w:eastAsia="仿宋_GB2312"/>
        </w:rPr>
      </w:pPr>
    </w:p>
    <w:p w14:paraId="77039F5F">
      <w:pPr>
        <w:pStyle w:val="13"/>
        <w:numPr>
          <w:ilvl w:val="0"/>
          <w:numId w:val="11"/>
        </w:numPr>
        <w:snapToGrid w:val="0"/>
        <w:spacing w:before="0" w:beforeAutospacing="0" w:after="0" w:afterAutospacing="0" w:line="360" w:lineRule="auto"/>
        <w:jc w:val="both"/>
        <w:rPr>
          <w:rFonts w:hint="eastAsia" w:ascii="仿宋_GB2312" w:hAnsi="仿宋" w:eastAsia="仿宋_GB2312"/>
        </w:rPr>
      </w:pPr>
      <w:r>
        <w:rPr>
          <w:rFonts w:hint="eastAsia" w:ascii="仿宋_GB2312" w:hAnsi="仿宋" w:eastAsia="仿宋_GB2312"/>
        </w:rPr>
        <w:t>名称释义：</w:t>
      </w:r>
    </w:p>
    <w:p w14:paraId="6105F29A">
      <w:pPr>
        <w:pStyle w:val="13"/>
        <w:snapToGrid w:val="0"/>
        <w:spacing w:before="0" w:beforeAutospacing="0" w:after="0" w:afterAutospacing="0" w:line="360" w:lineRule="auto"/>
        <w:ind w:left="419" w:firstLine="360" w:firstLineChars="150"/>
        <w:jc w:val="both"/>
        <w:rPr>
          <w:rFonts w:hint="eastAsia" w:ascii="仿宋_GB2312" w:hAnsi="仿宋" w:eastAsia="仿宋_GB2312"/>
        </w:rPr>
      </w:pPr>
      <w:r>
        <w:rPr>
          <w:rFonts w:hint="eastAsia" w:ascii="Times New Roman" w:hAnsi="Times New Roman" w:eastAsia="仿宋_GB2312"/>
        </w:rPr>
        <w:t>T</w:t>
      </w:r>
      <w:r>
        <w:rPr>
          <w:rFonts w:hint="eastAsia" w:ascii="仿宋_GB2312" w:hAnsi="仿宋" w:eastAsia="仿宋_GB2312"/>
        </w:rPr>
        <w:t>日-全天候专项测试申请日</w:t>
      </w:r>
    </w:p>
    <w:p w14:paraId="3C38EEDD">
      <w:pPr>
        <w:pStyle w:val="13"/>
        <w:snapToGrid w:val="0"/>
        <w:spacing w:before="0" w:beforeAutospacing="0" w:after="0" w:afterAutospacing="0" w:line="360" w:lineRule="auto"/>
        <w:ind w:left="779"/>
        <w:jc w:val="both"/>
        <w:rPr>
          <w:rFonts w:hint="eastAsia" w:ascii="仿宋_GB2312" w:hAnsi="仿宋" w:eastAsia="仿宋_GB2312"/>
        </w:rPr>
      </w:pPr>
      <w:r>
        <w:rPr>
          <w:rFonts w:hint="eastAsia" w:ascii="Times New Roman" w:hAnsi="Times New Roman" w:eastAsia="仿宋_GB2312"/>
        </w:rPr>
        <w:t>L</w:t>
      </w:r>
      <w:r>
        <w:rPr>
          <w:rFonts w:hint="eastAsia" w:ascii="仿宋_GB2312" w:hAnsi="仿宋" w:eastAsia="仿宋_GB2312"/>
        </w:rPr>
        <w:t>日-基金管理人正式进行</w:t>
      </w:r>
      <w:r>
        <w:rPr>
          <w:rFonts w:hint="eastAsia" w:ascii="Times New Roman" w:hAnsi="Times New Roman" w:eastAsia="仿宋_GB2312"/>
        </w:rPr>
        <w:t>VPN</w:t>
      </w:r>
      <w:r>
        <w:rPr>
          <w:rFonts w:hint="eastAsia" w:ascii="仿宋_GB2312" w:hAnsi="仿宋" w:eastAsia="仿宋_GB2312"/>
        </w:rPr>
        <w:t>接入全天候测试环境日</w:t>
      </w:r>
    </w:p>
    <w:p w14:paraId="6F3063DB">
      <w:pPr>
        <w:pStyle w:val="13"/>
        <w:snapToGrid w:val="0"/>
        <w:spacing w:before="0" w:beforeAutospacing="0" w:after="0" w:afterAutospacing="0" w:line="360" w:lineRule="auto"/>
        <w:ind w:left="779"/>
        <w:jc w:val="both"/>
        <w:rPr>
          <w:rFonts w:hint="eastAsia" w:ascii="仿宋_GB2312" w:hAnsi="仿宋" w:eastAsia="仿宋_GB2312"/>
        </w:rPr>
      </w:pPr>
      <w:r>
        <w:rPr>
          <w:rFonts w:hint="eastAsia" w:ascii="Times New Roman" w:hAnsi="Times New Roman" w:eastAsia="仿宋_GB2312"/>
        </w:rPr>
        <w:t>N</w:t>
      </w:r>
      <w:r>
        <w:rPr>
          <w:rFonts w:hint="eastAsia" w:ascii="仿宋_GB2312" w:hAnsi="仿宋" w:eastAsia="仿宋_GB2312"/>
        </w:rPr>
        <w:t>日-基金测试完成日</w:t>
      </w:r>
    </w:p>
    <w:p w14:paraId="2E73C504">
      <w:pPr>
        <w:pStyle w:val="13"/>
        <w:snapToGrid w:val="0"/>
        <w:spacing w:before="0" w:beforeAutospacing="0" w:after="0" w:afterAutospacing="0" w:line="360" w:lineRule="auto"/>
        <w:ind w:left="419"/>
        <w:jc w:val="both"/>
        <w:rPr>
          <w:rFonts w:hint="eastAsia" w:ascii="仿宋_GB2312" w:hAnsi="仿宋" w:eastAsia="仿宋_GB2312"/>
        </w:rPr>
      </w:pPr>
    </w:p>
    <w:p w14:paraId="2A59F90E">
      <w:pPr>
        <w:tabs>
          <w:tab w:val="left" w:pos="3420"/>
        </w:tabs>
        <w:snapToGrid w:val="0"/>
        <w:spacing w:line="360" w:lineRule="auto"/>
        <w:ind w:left="420"/>
        <w:rPr>
          <w:rFonts w:hint="eastAsia" w:ascii="仿宋_GB2312" w:hAnsi="仿宋" w:eastAsia="仿宋_GB2312" w:cs="宋体"/>
          <w:color w:val="000000"/>
          <w:kern w:val="0"/>
          <w:sz w:val="24"/>
        </w:rPr>
      </w:pPr>
      <w:r>
        <w:rPr>
          <w:rFonts w:hint="eastAsia" w:ascii="Times New Roman" w:hAnsi="Times New Roman" w:eastAsia="仿宋_GB2312" w:cs="宋体"/>
          <w:color w:val="000000"/>
          <w:kern w:val="0"/>
          <w:sz w:val="24"/>
        </w:rPr>
        <w:t>T</w:t>
      </w:r>
      <w:r>
        <w:rPr>
          <w:rFonts w:hint="eastAsia" w:ascii="仿宋_GB2312" w:hAnsi="仿宋" w:eastAsia="仿宋_GB2312" w:cs="宋体"/>
          <w:color w:val="000000"/>
          <w:kern w:val="0"/>
          <w:sz w:val="24"/>
        </w:rPr>
        <w:t>日</w:t>
      </w:r>
    </w:p>
    <w:p w14:paraId="58B45651">
      <w:pPr>
        <w:numPr>
          <w:ilvl w:val="0"/>
          <w:numId w:val="12"/>
        </w:numPr>
        <w:snapToGrid w:val="0"/>
        <w:spacing w:line="360" w:lineRule="auto"/>
        <w:ind w:firstLine="480" w:firstLineChars="200"/>
        <w:rPr>
          <w:rFonts w:hint="eastAsia" w:ascii="仿宋_GB2312" w:hAnsi="仿宋" w:eastAsia="仿宋_GB2312" w:cs="宋体"/>
          <w:color w:val="000000"/>
          <w:kern w:val="0"/>
          <w:sz w:val="24"/>
        </w:rPr>
      </w:pPr>
      <w:r>
        <w:rPr>
          <w:rFonts w:hint="eastAsia" w:ascii="仿宋_GB2312" w:hAnsi="仿宋" w:eastAsia="仿宋_GB2312" w:cs="宋体"/>
          <w:color w:val="000000"/>
          <w:kern w:val="0"/>
          <w:sz w:val="24"/>
        </w:rPr>
        <w:t>基金管理人递交全天候环境测试申请（格式参考附件</w:t>
      </w:r>
      <w:r>
        <w:rPr>
          <w:rFonts w:hint="eastAsia" w:ascii="Times New Roman" w:hAnsi="Times New Roman" w:eastAsia="仿宋_GB2312" w:cs="宋体"/>
          <w:color w:val="000000"/>
          <w:kern w:val="0"/>
          <w:sz w:val="24"/>
        </w:rPr>
        <w:t>1</w:t>
      </w:r>
      <w:r>
        <w:rPr>
          <w:rFonts w:hint="eastAsia" w:ascii="仿宋_GB2312" w:hAnsi="仿宋" w:eastAsia="仿宋_GB2312" w:cs="宋体"/>
          <w:color w:val="000000"/>
          <w:kern w:val="0"/>
          <w:sz w:val="24"/>
        </w:rPr>
        <w:t>-</w:t>
      </w:r>
      <w:r>
        <w:rPr>
          <w:rFonts w:hint="eastAsia" w:ascii="Times New Roman" w:hAnsi="Times New Roman" w:eastAsia="仿宋_GB2312" w:cs="宋体"/>
          <w:color w:val="000000"/>
          <w:kern w:val="0"/>
          <w:sz w:val="24"/>
        </w:rPr>
        <w:t>5</w:t>
      </w:r>
      <w:r>
        <w:rPr>
          <w:rFonts w:hint="eastAsia" w:ascii="仿宋_GB2312" w:hAnsi="仿宋" w:eastAsia="仿宋_GB2312" w:cs="宋体"/>
          <w:color w:val="000000"/>
          <w:kern w:val="0"/>
          <w:sz w:val="24"/>
        </w:rPr>
        <w:t>，盖章扫描件）及以下材料：</w:t>
      </w:r>
    </w:p>
    <w:p w14:paraId="19603F2A">
      <w:pPr>
        <w:widowControl/>
        <w:numPr>
          <w:ilvl w:val="0"/>
          <w:numId w:val="13"/>
        </w:numPr>
        <w:snapToGrid w:val="0"/>
        <w:spacing w:line="360" w:lineRule="auto"/>
        <w:ind w:hanging="540"/>
        <w:rPr>
          <w:rFonts w:hint="eastAsia" w:ascii="仿宋_GB2312" w:hAnsi="仿宋" w:eastAsia="仿宋_GB2312" w:cs="宋体"/>
          <w:color w:val="000000"/>
          <w:kern w:val="0"/>
          <w:sz w:val="24"/>
        </w:rPr>
      </w:pPr>
      <w:r>
        <w:rPr>
          <w:rFonts w:hint="eastAsia" w:ascii="仿宋_GB2312" w:hAnsi="仿宋" w:eastAsia="仿宋_GB2312" w:cs="宋体"/>
          <w:color w:val="000000"/>
          <w:kern w:val="0"/>
          <w:sz w:val="24"/>
        </w:rPr>
        <w:t>基金管理人自身技术系统改造就绪情况介绍和内部测试报告；</w:t>
      </w:r>
    </w:p>
    <w:p w14:paraId="1C63EAA7">
      <w:pPr>
        <w:widowControl/>
        <w:numPr>
          <w:ilvl w:val="0"/>
          <w:numId w:val="13"/>
        </w:numPr>
        <w:snapToGrid w:val="0"/>
        <w:spacing w:line="360" w:lineRule="auto"/>
        <w:ind w:hanging="540"/>
        <w:rPr>
          <w:rFonts w:hint="eastAsia" w:ascii="仿宋_GB2312" w:hAnsi="仿宋" w:eastAsia="仿宋_GB2312" w:cs="宋体"/>
          <w:color w:val="000000"/>
          <w:kern w:val="0"/>
          <w:sz w:val="24"/>
        </w:rPr>
      </w:pPr>
      <w:r>
        <w:rPr>
          <w:rFonts w:hint="eastAsia" w:ascii="仿宋_GB2312" w:hAnsi="仿宋" w:eastAsia="仿宋_GB2312" w:cs="宋体"/>
          <w:color w:val="000000"/>
          <w:kern w:val="0"/>
          <w:sz w:val="24"/>
        </w:rPr>
        <w:t>基金简要情况说明，包括产品进展、产品方案和本产品方案与旗下已上市产品的业务及技术差异；</w:t>
      </w:r>
    </w:p>
    <w:p w14:paraId="402DCB94">
      <w:pPr>
        <w:widowControl/>
        <w:numPr>
          <w:ilvl w:val="0"/>
          <w:numId w:val="13"/>
        </w:numPr>
        <w:snapToGrid w:val="0"/>
        <w:spacing w:line="360" w:lineRule="auto"/>
        <w:ind w:hanging="540"/>
        <w:rPr>
          <w:rFonts w:hint="eastAsia" w:ascii="仿宋_GB2312" w:hAnsi="仿宋" w:eastAsia="仿宋_GB2312" w:cs="宋体"/>
          <w:color w:val="000000"/>
          <w:kern w:val="0"/>
          <w:sz w:val="24"/>
        </w:rPr>
      </w:pPr>
      <w:r>
        <w:rPr>
          <w:rFonts w:hint="eastAsia" w:ascii="仿宋_GB2312" w:hAnsi="仿宋" w:eastAsia="仿宋_GB2312" w:cs="宋体"/>
          <w:color w:val="000000"/>
          <w:kern w:val="0"/>
          <w:sz w:val="24"/>
        </w:rPr>
        <w:t>全天候环境测试申请材料，包括全天候环境测试申请表、测试环境使用风险承诺书、测试环境使用保密承诺书（公司）和测试环境使用保密承诺书（个人）。上述申请材料请至本所网站交易技术支持专区下载。</w:t>
      </w:r>
    </w:p>
    <w:p w14:paraId="37E7CE79">
      <w:pPr>
        <w:widowControl/>
        <w:numPr>
          <w:ilvl w:val="0"/>
          <w:numId w:val="13"/>
        </w:numPr>
        <w:snapToGrid w:val="0"/>
        <w:spacing w:line="360" w:lineRule="auto"/>
        <w:ind w:hanging="540"/>
        <w:rPr>
          <w:rFonts w:hint="eastAsia" w:ascii="仿宋_GB2312" w:hAnsi="仿宋" w:eastAsia="仿宋_GB2312" w:cs="宋体"/>
          <w:color w:val="000000"/>
          <w:kern w:val="0"/>
          <w:sz w:val="24"/>
        </w:rPr>
      </w:pPr>
      <w:r>
        <w:rPr>
          <w:rFonts w:hint="eastAsia" w:ascii="仿宋_GB2312" w:hAnsi="仿宋" w:eastAsia="仿宋_GB2312" w:cs="宋体"/>
          <w:color w:val="000000"/>
          <w:kern w:val="0"/>
          <w:sz w:val="24"/>
        </w:rPr>
        <w:t>本所要求的其他材料。</w:t>
      </w:r>
    </w:p>
    <w:p w14:paraId="52E8CC66">
      <w:pPr>
        <w:numPr>
          <w:ilvl w:val="0"/>
          <w:numId w:val="12"/>
        </w:numPr>
        <w:snapToGrid w:val="0"/>
        <w:spacing w:line="360" w:lineRule="auto"/>
        <w:ind w:firstLine="480" w:firstLineChars="200"/>
        <w:rPr>
          <w:rFonts w:hint="eastAsia" w:ascii="仿宋_GB2312" w:hAnsi="仿宋" w:eastAsia="仿宋_GB2312" w:cs="宋体"/>
          <w:color w:val="000000"/>
          <w:kern w:val="0"/>
          <w:sz w:val="24"/>
        </w:rPr>
      </w:pPr>
      <w:r>
        <w:rPr>
          <w:rFonts w:hint="eastAsia" w:ascii="仿宋_GB2312" w:hAnsi="仿宋" w:eastAsia="仿宋_GB2312" w:cs="宋体"/>
          <w:color w:val="000000"/>
          <w:kern w:val="0"/>
          <w:sz w:val="24"/>
        </w:rPr>
        <w:t>申请</w:t>
      </w:r>
      <w:r>
        <w:rPr>
          <w:rFonts w:hint="eastAsia" w:ascii="Times New Roman" w:hAnsi="Times New Roman" w:eastAsia="仿宋_GB2312" w:cs="宋体"/>
          <w:color w:val="000000"/>
          <w:kern w:val="0"/>
          <w:sz w:val="24"/>
        </w:rPr>
        <w:t>VPN</w:t>
      </w:r>
      <w:r>
        <w:rPr>
          <w:rFonts w:hint="eastAsia" w:ascii="仿宋_GB2312" w:hAnsi="仿宋" w:eastAsia="仿宋_GB2312" w:cs="宋体"/>
          <w:color w:val="000000"/>
          <w:kern w:val="0"/>
          <w:sz w:val="24"/>
        </w:rPr>
        <w:t>接入测试的，基金管理人需要递交测试环境远程接入申请表、测试环境使用风险承诺书和测试环境使用保密承诺书（公司），并申请开通</w:t>
      </w:r>
      <w:r>
        <w:rPr>
          <w:rFonts w:hint="eastAsia" w:ascii="Times New Roman" w:hAnsi="Times New Roman" w:eastAsia="仿宋_GB2312" w:cs="宋体"/>
          <w:color w:val="000000"/>
          <w:kern w:val="0"/>
          <w:sz w:val="24"/>
        </w:rPr>
        <w:t>VPN</w:t>
      </w:r>
      <w:r>
        <w:rPr>
          <w:rFonts w:hint="eastAsia" w:ascii="仿宋_GB2312" w:hAnsi="仿宋" w:eastAsia="仿宋_GB2312" w:cs="宋体"/>
          <w:color w:val="000000"/>
          <w:kern w:val="0"/>
          <w:sz w:val="24"/>
        </w:rPr>
        <w:t>。具体流程可参见本所网站“服务-交易服务-交易技术支持专区-技术服务”栏目中相应文档。</w:t>
      </w:r>
    </w:p>
    <w:p w14:paraId="47F65A18">
      <w:pPr>
        <w:snapToGrid w:val="0"/>
        <w:spacing w:line="360" w:lineRule="auto"/>
        <w:ind w:left="420"/>
        <w:rPr>
          <w:rFonts w:hint="eastAsia" w:ascii="仿宋_GB2312" w:hAnsi="仿宋" w:eastAsia="仿宋_GB2312" w:cs="宋体"/>
          <w:color w:val="000000"/>
          <w:kern w:val="0"/>
          <w:sz w:val="24"/>
        </w:rPr>
      </w:pPr>
    </w:p>
    <w:p w14:paraId="50EB19EB">
      <w:pPr>
        <w:snapToGrid w:val="0"/>
        <w:spacing w:line="360" w:lineRule="auto"/>
        <w:ind w:left="420"/>
        <w:rPr>
          <w:rFonts w:hint="eastAsia" w:ascii="仿宋_GB2312" w:hAnsi="仿宋" w:eastAsia="仿宋_GB2312" w:cs="宋体"/>
          <w:color w:val="000000"/>
          <w:kern w:val="0"/>
          <w:sz w:val="24"/>
        </w:rPr>
      </w:pPr>
      <w:r>
        <w:rPr>
          <w:rFonts w:hint="eastAsia" w:ascii="Times New Roman" w:hAnsi="Times New Roman" w:eastAsia="仿宋_GB2312" w:cs="宋体"/>
          <w:color w:val="000000"/>
          <w:kern w:val="0"/>
          <w:sz w:val="24"/>
        </w:rPr>
        <w:t>T</w:t>
      </w:r>
      <w:r>
        <w:rPr>
          <w:rFonts w:hint="eastAsia" w:ascii="仿宋_GB2312" w:hAnsi="仿宋" w:eastAsia="仿宋_GB2312" w:cs="宋体"/>
          <w:color w:val="000000"/>
          <w:kern w:val="0"/>
          <w:sz w:val="24"/>
        </w:rPr>
        <w:t>日</w:t>
      </w:r>
    </w:p>
    <w:p w14:paraId="664E25FC">
      <w:pPr>
        <w:numPr>
          <w:ilvl w:val="0"/>
          <w:numId w:val="12"/>
        </w:numPr>
        <w:snapToGrid w:val="0"/>
        <w:spacing w:line="360" w:lineRule="auto"/>
        <w:ind w:firstLine="480" w:firstLineChars="200"/>
        <w:rPr>
          <w:rFonts w:hint="eastAsia" w:ascii="仿宋_GB2312" w:hAnsi="仿宋" w:eastAsia="仿宋_GB2312" w:cs="宋体"/>
          <w:color w:val="000000"/>
          <w:kern w:val="0"/>
          <w:sz w:val="24"/>
        </w:rPr>
      </w:pPr>
      <w:r>
        <w:rPr>
          <w:rFonts w:hint="eastAsia" w:ascii="仿宋_GB2312" w:hAnsi="仿宋" w:eastAsia="仿宋_GB2312" w:cs="宋体"/>
          <w:color w:val="000000"/>
          <w:kern w:val="0"/>
          <w:sz w:val="24"/>
        </w:rPr>
        <w:t>本所收到基金管理人的测试申请后，对测试材料进行初步审核，经审核符合本所测试条件的，由本所技术公司通知基金管理人具体测试时间。</w:t>
      </w:r>
    </w:p>
    <w:p w14:paraId="5F1417AD">
      <w:pPr>
        <w:snapToGrid w:val="0"/>
        <w:spacing w:line="360" w:lineRule="auto"/>
        <w:ind w:left="420"/>
        <w:rPr>
          <w:rFonts w:hint="eastAsia" w:ascii="仿宋_GB2312" w:hAnsi="仿宋" w:eastAsia="仿宋_GB2312" w:cs="宋体"/>
          <w:color w:val="000000"/>
          <w:kern w:val="0"/>
          <w:sz w:val="24"/>
        </w:rPr>
      </w:pPr>
    </w:p>
    <w:p w14:paraId="20DD2D9A">
      <w:pPr>
        <w:snapToGrid w:val="0"/>
        <w:spacing w:line="360" w:lineRule="auto"/>
        <w:ind w:left="420"/>
        <w:rPr>
          <w:rFonts w:hint="eastAsia" w:ascii="仿宋_GB2312" w:hAnsi="仿宋" w:eastAsia="仿宋_GB2312" w:cs="宋体"/>
          <w:color w:val="000000"/>
          <w:kern w:val="0"/>
          <w:sz w:val="24"/>
        </w:rPr>
      </w:pPr>
      <w:r>
        <w:rPr>
          <w:rFonts w:hint="eastAsia" w:ascii="Times New Roman" w:hAnsi="Times New Roman" w:eastAsia="仿宋_GB2312" w:cs="宋体"/>
          <w:color w:val="000000"/>
          <w:kern w:val="0"/>
          <w:sz w:val="24"/>
        </w:rPr>
        <w:t>L</w:t>
      </w:r>
      <w:r>
        <w:rPr>
          <w:rFonts w:hint="eastAsia" w:ascii="仿宋_GB2312" w:hAnsi="仿宋" w:eastAsia="仿宋_GB2312" w:cs="宋体"/>
          <w:color w:val="000000"/>
          <w:kern w:val="0"/>
          <w:sz w:val="24"/>
        </w:rPr>
        <w:t>-</w:t>
      </w:r>
      <w:r>
        <w:rPr>
          <w:rFonts w:hint="eastAsia" w:ascii="Times New Roman" w:hAnsi="Times New Roman" w:eastAsia="仿宋_GB2312" w:cs="宋体"/>
          <w:color w:val="000000"/>
          <w:kern w:val="0"/>
          <w:sz w:val="24"/>
        </w:rPr>
        <w:t>2</w:t>
      </w:r>
      <w:r>
        <w:rPr>
          <w:rFonts w:hint="eastAsia" w:ascii="仿宋_GB2312" w:hAnsi="仿宋" w:eastAsia="仿宋_GB2312" w:cs="宋体"/>
          <w:color w:val="000000"/>
          <w:kern w:val="0"/>
          <w:sz w:val="24"/>
        </w:rPr>
        <w:t>日前</w:t>
      </w:r>
    </w:p>
    <w:p w14:paraId="602B3A0B">
      <w:pPr>
        <w:numPr>
          <w:ilvl w:val="0"/>
          <w:numId w:val="12"/>
        </w:numPr>
        <w:snapToGrid w:val="0"/>
        <w:spacing w:line="360" w:lineRule="auto"/>
        <w:ind w:firstLine="480" w:firstLineChars="200"/>
        <w:rPr>
          <w:rFonts w:hint="eastAsia" w:ascii="仿宋_GB2312" w:hAnsi="仿宋" w:eastAsia="仿宋_GB2312" w:cs="宋体"/>
          <w:color w:val="000000"/>
          <w:kern w:val="0"/>
          <w:sz w:val="24"/>
        </w:rPr>
      </w:pPr>
      <w:r>
        <w:rPr>
          <w:rFonts w:hint="eastAsia" w:ascii="仿宋_GB2312" w:hAnsi="仿宋" w:eastAsia="仿宋_GB2312" w:cs="宋体"/>
          <w:color w:val="000000"/>
          <w:kern w:val="0"/>
          <w:sz w:val="24"/>
        </w:rPr>
        <w:t>本所技术公司视情况要求提供基金管理人测试数据，基金管理人根据要求提供测试用例、测试数据等。</w:t>
      </w:r>
    </w:p>
    <w:p w14:paraId="755EB4AD">
      <w:pPr>
        <w:snapToGrid w:val="0"/>
        <w:spacing w:line="360" w:lineRule="auto"/>
        <w:ind w:left="420"/>
        <w:rPr>
          <w:rFonts w:hint="eastAsia" w:ascii="仿宋_GB2312" w:hAnsi="仿宋" w:eastAsia="仿宋_GB2312" w:cs="宋体"/>
          <w:color w:val="000000"/>
          <w:kern w:val="0"/>
          <w:sz w:val="24"/>
        </w:rPr>
      </w:pPr>
    </w:p>
    <w:p w14:paraId="4D463447">
      <w:pPr>
        <w:snapToGrid w:val="0"/>
        <w:spacing w:line="360" w:lineRule="auto"/>
        <w:ind w:left="420"/>
        <w:rPr>
          <w:rFonts w:hint="eastAsia" w:ascii="仿宋_GB2312" w:hAnsi="仿宋" w:eastAsia="仿宋_GB2312" w:cs="宋体"/>
          <w:color w:val="000000"/>
          <w:kern w:val="0"/>
          <w:sz w:val="24"/>
        </w:rPr>
      </w:pPr>
      <w:r>
        <w:rPr>
          <w:rFonts w:hint="eastAsia" w:ascii="Times New Roman" w:hAnsi="Times New Roman" w:eastAsia="仿宋_GB2312" w:cs="宋体"/>
          <w:color w:val="000000"/>
          <w:kern w:val="0"/>
          <w:sz w:val="24"/>
        </w:rPr>
        <w:t>L</w:t>
      </w:r>
      <w:r>
        <w:rPr>
          <w:rFonts w:hint="eastAsia" w:ascii="仿宋_GB2312" w:hAnsi="仿宋" w:eastAsia="仿宋_GB2312" w:cs="宋体"/>
          <w:color w:val="000000"/>
          <w:kern w:val="0"/>
          <w:sz w:val="24"/>
        </w:rPr>
        <w:t>-</w:t>
      </w:r>
      <w:r>
        <w:rPr>
          <w:rFonts w:hint="eastAsia" w:ascii="Times New Roman" w:hAnsi="Times New Roman" w:eastAsia="仿宋_GB2312" w:cs="宋体"/>
          <w:color w:val="000000"/>
          <w:kern w:val="0"/>
          <w:sz w:val="24"/>
        </w:rPr>
        <w:t>1</w:t>
      </w:r>
      <w:r>
        <w:rPr>
          <w:rFonts w:hint="eastAsia" w:ascii="仿宋_GB2312" w:hAnsi="仿宋" w:eastAsia="仿宋_GB2312" w:cs="宋体"/>
          <w:color w:val="000000"/>
          <w:kern w:val="0"/>
          <w:sz w:val="24"/>
        </w:rPr>
        <w:t>日</w:t>
      </w:r>
    </w:p>
    <w:p w14:paraId="19506322">
      <w:pPr>
        <w:numPr>
          <w:ilvl w:val="0"/>
          <w:numId w:val="12"/>
        </w:numPr>
        <w:snapToGrid w:val="0"/>
        <w:spacing w:line="360" w:lineRule="auto"/>
        <w:ind w:firstLine="480" w:firstLineChars="200"/>
        <w:rPr>
          <w:rFonts w:hint="eastAsia" w:ascii="仿宋_GB2312" w:hAnsi="仿宋" w:eastAsia="仿宋_GB2312" w:cs="宋体"/>
          <w:color w:val="000000"/>
          <w:kern w:val="0"/>
          <w:sz w:val="24"/>
        </w:rPr>
      </w:pPr>
      <w:r>
        <w:rPr>
          <w:rFonts w:hint="eastAsia" w:ascii="仿宋_GB2312" w:hAnsi="仿宋" w:eastAsia="仿宋_GB2312" w:cs="宋体"/>
          <w:color w:val="000000"/>
          <w:kern w:val="0"/>
          <w:sz w:val="24"/>
        </w:rPr>
        <w:t>基金管理人应完成测试联机工作。</w:t>
      </w:r>
    </w:p>
    <w:p w14:paraId="3BF7D2F0">
      <w:pPr>
        <w:snapToGrid w:val="0"/>
        <w:spacing w:line="360" w:lineRule="auto"/>
        <w:ind w:left="420"/>
        <w:rPr>
          <w:rFonts w:hint="eastAsia" w:ascii="仿宋_GB2312" w:hAnsi="仿宋" w:eastAsia="仿宋_GB2312" w:cs="宋体"/>
          <w:color w:val="000000"/>
          <w:kern w:val="0"/>
          <w:sz w:val="24"/>
        </w:rPr>
      </w:pPr>
    </w:p>
    <w:p w14:paraId="2D6414E2">
      <w:pPr>
        <w:snapToGrid w:val="0"/>
        <w:spacing w:line="360" w:lineRule="auto"/>
        <w:ind w:left="420"/>
        <w:rPr>
          <w:rFonts w:hint="eastAsia" w:ascii="仿宋_GB2312" w:hAnsi="仿宋" w:eastAsia="仿宋_GB2312" w:cs="宋体"/>
          <w:color w:val="000000"/>
          <w:kern w:val="0"/>
          <w:sz w:val="24"/>
        </w:rPr>
      </w:pPr>
      <w:r>
        <w:rPr>
          <w:rFonts w:hint="eastAsia" w:ascii="Times New Roman" w:hAnsi="Times New Roman" w:eastAsia="仿宋_GB2312" w:cs="宋体"/>
          <w:color w:val="000000"/>
          <w:kern w:val="0"/>
          <w:sz w:val="24"/>
        </w:rPr>
        <w:t>L</w:t>
      </w:r>
      <w:r>
        <w:rPr>
          <w:rFonts w:hint="eastAsia" w:ascii="仿宋_GB2312" w:hAnsi="仿宋" w:eastAsia="仿宋_GB2312" w:cs="宋体"/>
          <w:color w:val="000000"/>
          <w:kern w:val="0"/>
          <w:sz w:val="24"/>
        </w:rPr>
        <w:t>日</w:t>
      </w:r>
    </w:p>
    <w:p w14:paraId="7381F7D1">
      <w:pPr>
        <w:numPr>
          <w:ilvl w:val="0"/>
          <w:numId w:val="12"/>
        </w:numPr>
        <w:snapToGrid w:val="0"/>
        <w:spacing w:line="360" w:lineRule="auto"/>
        <w:ind w:firstLine="480" w:firstLineChars="200"/>
        <w:rPr>
          <w:rFonts w:hint="eastAsia" w:ascii="仿宋_GB2312" w:hAnsi="仿宋" w:eastAsia="仿宋_GB2312" w:cs="宋体"/>
          <w:color w:val="000000"/>
          <w:kern w:val="0"/>
          <w:sz w:val="24"/>
        </w:rPr>
      </w:pPr>
      <w:r>
        <w:rPr>
          <w:rFonts w:hint="eastAsia" w:ascii="仿宋_GB2312" w:hAnsi="仿宋" w:eastAsia="仿宋_GB2312" w:cs="宋体"/>
          <w:color w:val="000000"/>
          <w:kern w:val="0"/>
          <w:sz w:val="24"/>
        </w:rPr>
        <w:t>基金管理人按照规定进行（</w:t>
      </w:r>
      <w:r>
        <w:rPr>
          <w:rFonts w:hint="eastAsia" w:ascii="Times New Roman" w:hAnsi="Times New Roman" w:eastAsia="仿宋_GB2312" w:cs="宋体"/>
          <w:color w:val="000000"/>
          <w:kern w:val="0"/>
          <w:sz w:val="24"/>
        </w:rPr>
        <w:t>VPN</w:t>
      </w:r>
      <w:r>
        <w:rPr>
          <w:rFonts w:hint="eastAsia" w:ascii="仿宋_GB2312" w:hAnsi="仿宋" w:eastAsia="仿宋_GB2312" w:cs="宋体"/>
          <w:color w:val="000000"/>
          <w:kern w:val="0"/>
          <w:sz w:val="24"/>
        </w:rPr>
        <w:t>接入）全天候环境测试。</w:t>
      </w:r>
    </w:p>
    <w:p w14:paraId="5C0D0556">
      <w:pPr>
        <w:snapToGrid w:val="0"/>
        <w:spacing w:line="360" w:lineRule="auto"/>
        <w:ind w:left="420"/>
        <w:rPr>
          <w:rFonts w:hint="eastAsia" w:ascii="仿宋_GB2312" w:hAnsi="仿宋" w:eastAsia="仿宋_GB2312" w:cs="宋体"/>
          <w:color w:val="000000"/>
          <w:kern w:val="0"/>
          <w:sz w:val="24"/>
        </w:rPr>
      </w:pPr>
    </w:p>
    <w:p w14:paraId="7A928A2F">
      <w:pPr>
        <w:snapToGrid w:val="0"/>
        <w:spacing w:line="360" w:lineRule="auto"/>
        <w:ind w:left="420"/>
        <w:rPr>
          <w:rFonts w:hint="eastAsia" w:ascii="仿宋_GB2312" w:hAnsi="仿宋" w:eastAsia="仿宋_GB2312" w:cs="宋体"/>
          <w:color w:val="000000"/>
          <w:kern w:val="0"/>
          <w:sz w:val="24"/>
        </w:rPr>
      </w:pPr>
      <w:r>
        <w:rPr>
          <w:rFonts w:hint="eastAsia" w:ascii="Times New Roman" w:hAnsi="Times New Roman" w:eastAsia="仿宋_GB2312" w:cs="宋体"/>
          <w:color w:val="000000"/>
          <w:kern w:val="0"/>
          <w:sz w:val="24"/>
        </w:rPr>
        <w:t>N</w:t>
      </w:r>
      <w:r>
        <w:rPr>
          <w:rFonts w:hint="eastAsia" w:ascii="仿宋_GB2312" w:hAnsi="仿宋" w:eastAsia="仿宋_GB2312" w:cs="宋体"/>
          <w:color w:val="000000"/>
          <w:kern w:val="0"/>
          <w:sz w:val="24"/>
        </w:rPr>
        <w:t>日</w:t>
      </w:r>
    </w:p>
    <w:p w14:paraId="62CC1406">
      <w:pPr>
        <w:numPr>
          <w:ilvl w:val="0"/>
          <w:numId w:val="12"/>
        </w:numPr>
        <w:snapToGrid w:val="0"/>
        <w:spacing w:line="360" w:lineRule="auto"/>
        <w:ind w:firstLine="480" w:firstLineChars="200"/>
        <w:rPr>
          <w:rFonts w:hint="eastAsia" w:ascii="宋体" w:hAnsi="宋体"/>
          <w:sz w:val="28"/>
          <w:szCs w:val="28"/>
        </w:rPr>
      </w:pPr>
      <w:r>
        <w:rPr>
          <w:rFonts w:hint="eastAsia" w:ascii="仿宋_GB2312" w:hAnsi="仿宋" w:eastAsia="仿宋_GB2312" w:cs="宋体"/>
          <w:color w:val="000000"/>
          <w:kern w:val="0"/>
          <w:sz w:val="24"/>
        </w:rPr>
        <w:t>基金管理人提交</w:t>
      </w:r>
      <w:r>
        <w:rPr>
          <w:rFonts w:hint="eastAsia" w:ascii="Times New Roman" w:hAnsi="Times New Roman" w:eastAsia="仿宋_GB2312" w:cs="宋体"/>
          <w:color w:val="000000"/>
          <w:kern w:val="0"/>
          <w:sz w:val="24"/>
        </w:rPr>
        <w:t>REITs</w:t>
      </w:r>
      <w:r>
        <w:rPr>
          <w:rFonts w:hint="eastAsia" w:ascii="仿宋_GB2312" w:hAnsi="仿宋" w:eastAsia="仿宋_GB2312" w:cs="宋体"/>
          <w:color w:val="000000"/>
          <w:kern w:val="0"/>
          <w:sz w:val="24"/>
        </w:rPr>
        <w:t>全天候环境测试反馈表（格式参考附件</w:t>
      </w:r>
      <w:r>
        <w:rPr>
          <w:rFonts w:hint="eastAsia" w:ascii="Times New Roman" w:hAnsi="Times New Roman" w:eastAsia="仿宋_GB2312" w:cs="宋体"/>
          <w:color w:val="000000"/>
          <w:kern w:val="0"/>
          <w:sz w:val="24"/>
        </w:rPr>
        <w:t>1</w:t>
      </w:r>
      <w:r>
        <w:rPr>
          <w:rFonts w:hint="eastAsia" w:ascii="仿宋_GB2312" w:hAnsi="仿宋" w:eastAsia="仿宋_GB2312" w:cs="宋体"/>
          <w:color w:val="000000"/>
          <w:kern w:val="0"/>
          <w:sz w:val="24"/>
        </w:rPr>
        <w:t>-</w:t>
      </w:r>
      <w:r>
        <w:rPr>
          <w:rFonts w:hint="eastAsia" w:ascii="Times New Roman" w:hAnsi="Times New Roman" w:eastAsia="仿宋_GB2312" w:cs="宋体"/>
          <w:color w:val="000000"/>
          <w:kern w:val="0"/>
          <w:sz w:val="24"/>
        </w:rPr>
        <w:t>6</w:t>
      </w:r>
      <w:r>
        <w:rPr>
          <w:rFonts w:hint="eastAsia" w:ascii="仿宋_GB2312" w:hAnsi="仿宋" w:eastAsia="仿宋_GB2312" w:cs="宋体"/>
          <w:color w:val="000000"/>
          <w:kern w:val="0"/>
          <w:sz w:val="24"/>
        </w:rPr>
        <w:t>）。</w:t>
      </w:r>
    </w:p>
    <w:p w14:paraId="4A291A32">
      <w:pPr>
        <w:tabs>
          <w:tab w:val="left" w:pos="420"/>
        </w:tabs>
        <w:snapToGrid w:val="0"/>
        <w:spacing w:line="360" w:lineRule="auto"/>
        <w:ind w:left="420" w:firstLine="560"/>
        <w:rPr>
          <w:rFonts w:hint="eastAsia" w:ascii="宋体" w:hAnsi="宋体"/>
          <w:sz w:val="28"/>
          <w:szCs w:val="28"/>
        </w:rPr>
      </w:pPr>
    </w:p>
    <w:p w14:paraId="25DEDF36">
      <w:pPr>
        <w:pStyle w:val="37"/>
        <w:numPr>
          <w:ilvl w:val="0"/>
          <w:numId w:val="2"/>
        </w:numPr>
        <w:ind w:firstLineChars="0"/>
        <w:outlineLvl w:val="2"/>
        <w:rPr>
          <w:rFonts w:hint="eastAsia" w:ascii="仿宋_GB2312" w:hAnsi="宋体" w:eastAsia="仿宋_GB2312"/>
          <w:b/>
          <w:bCs/>
          <w:sz w:val="28"/>
          <w:szCs w:val="28"/>
        </w:rPr>
      </w:pPr>
      <w:bookmarkStart w:id="111" w:name="_Toc512588843"/>
      <w:bookmarkStart w:id="112" w:name="_Toc1572953554"/>
      <w:bookmarkStart w:id="113" w:name="_Toc1963335869"/>
      <w:bookmarkStart w:id="114" w:name="_Toc2036060876"/>
      <w:bookmarkStart w:id="115" w:name="_Toc431"/>
      <w:bookmarkStart w:id="116" w:name="_Toc8107"/>
      <w:bookmarkStart w:id="117" w:name="_Toc15395"/>
      <w:bookmarkStart w:id="118" w:name="_Toc10117"/>
      <w:bookmarkStart w:id="119" w:name="_Toc2567"/>
      <w:bookmarkStart w:id="120" w:name="_Toc2090648761"/>
      <w:bookmarkStart w:id="121" w:name="_Toc24414"/>
      <w:bookmarkStart w:id="122" w:name="_Toc21190"/>
      <w:bookmarkStart w:id="123" w:name="_Toc11306"/>
      <w:bookmarkStart w:id="124" w:name="_Toc13084"/>
      <w:bookmarkStart w:id="125" w:name="_Toc31001"/>
      <w:bookmarkStart w:id="126" w:name="_Toc30379"/>
      <w:bookmarkStart w:id="127" w:name="_Toc30518"/>
      <w:bookmarkStart w:id="128" w:name="_Toc262857920"/>
      <w:bookmarkStart w:id="129" w:name="_Toc22377"/>
      <w:bookmarkStart w:id="130" w:name="_Toc20362234"/>
      <w:bookmarkStart w:id="131" w:name="_Toc735"/>
      <w:bookmarkStart w:id="132" w:name="_Toc22926"/>
      <w:bookmarkStart w:id="133" w:name="_Toc70604209"/>
      <w:bookmarkStart w:id="134" w:name="_Toc65181412"/>
      <w:bookmarkStart w:id="135" w:name="_Toc26220"/>
      <w:r>
        <w:rPr>
          <w:rFonts w:hint="eastAsia" w:ascii="仿宋_GB2312" w:hAnsi="宋体" w:eastAsia="仿宋_GB2312"/>
          <w:b/>
          <w:bCs/>
          <w:sz w:val="28"/>
          <w:szCs w:val="28"/>
        </w:rPr>
        <w:t>代码、简称申请</w:t>
      </w:r>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r>
        <w:rPr>
          <w:rFonts w:ascii="仿宋_GB2312" w:hAnsi="宋体" w:eastAsia="仿宋_GB2312"/>
          <w:b/>
          <w:bCs/>
          <w:sz w:val="28"/>
          <w:szCs w:val="28"/>
        </w:rPr>
        <w:tab/>
      </w:r>
    </w:p>
    <w:p w14:paraId="7225D56F">
      <w:pPr>
        <w:pStyle w:val="13"/>
        <w:numPr>
          <w:ilvl w:val="1"/>
          <w:numId w:val="14"/>
        </w:numPr>
        <w:snapToGrid w:val="0"/>
        <w:spacing w:before="0" w:beforeAutospacing="0" w:after="0" w:afterAutospacing="0" w:line="360" w:lineRule="auto"/>
        <w:jc w:val="both"/>
        <w:rPr>
          <w:rFonts w:hint="eastAsia" w:ascii="仿宋_GB2312" w:hAnsi="仿宋" w:eastAsia="仿宋_GB2312"/>
        </w:rPr>
      </w:pPr>
      <w:r>
        <w:rPr>
          <w:rFonts w:hint="eastAsia" w:ascii="仿宋_GB2312" w:hAnsi="仿宋" w:eastAsia="仿宋_GB2312"/>
        </w:rPr>
        <w:t>注意事项：</w:t>
      </w:r>
    </w:p>
    <w:p w14:paraId="3079F3B8">
      <w:pPr>
        <w:pStyle w:val="13"/>
        <w:numPr>
          <w:ilvl w:val="0"/>
          <w:numId w:val="15"/>
        </w:numPr>
        <w:snapToGrid w:val="0"/>
        <w:spacing w:before="0" w:beforeAutospacing="0" w:after="0" w:afterAutospacing="0" w:line="360" w:lineRule="auto"/>
        <w:ind w:right="155" w:rightChars="74"/>
        <w:jc w:val="both"/>
        <w:rPr>
          <w:rFonts w:hint="eastAsia" w:ascii="仿宋_GB2312" w:hAnsi="仿宋" w:eastAsia="仿宋_GB2312"/>
        </w:rPr>
      </w:pPr>
      <w:r>
        <w:rPr>
          <w:rFonts w:hint="eastAsia" w:ascii="仿宋_GB2312" w:hAnsi="仿宋" w:eastAsia="仿宋_GB2312"/>
        </w:rPr>
        <w:t>本流程适用于在本所上市交易的</w:t>
      </w:r>
      <w:r>
        <w:rPr>
          <w:rFonts w:hint="eastAsia" w:ascii="Times New Roman" w:hAnsi="Times New Roman" w:eastAsia="仿宋_GB2312"/>
        </w:rPr>
        <w:t>REITs</w:t>
      </w:r>
      <w:r>
        <w:rPr>
          <w:rFonts w:hint="eastAsia" w:ascii="仿宋_GB2312" w:hAnsi="仿宋" w:eastAsia="仿宋_GB2312"/>
        </w:rPr>
        <w:t>。</w:t>
      </w:r>
    </w:p>
    <w:p w14:paraId="25F60EA2">
      <w:pPr>
        <w:pStyle w:val="13"/>
        <w:numPr>
          <w:ilvl w:val="0"/>
          <w:numId w:val="15"/>
        </w:numPr>
        <w:snapToGrid w:val="0"/>
        <w:spacing w:before="0" w:beforeAutospacing="0" w:after="0" w:afterAutospacing="0" w:line="360" w:lineRule="auto"/>
        <w:jc w:val="both"/>
        <w:rPr>
          <w:rFonts w:hint="eastAsia" w:ascii="仿宋_GB2312" w:hAnsi="仿宋" w:eastAsia="仿宋_GB2312"/>
        </w:rPr>
      </w:pPr>
      <w:r>
        <w:rPr>
          <w:rFonts w:hint="eastAsia" w:ascii="Times New Roman" w:hAnsi="Times New Roman" w:eastAsia="仿宋_GB2312"/>
        </w:rPr>
        <w:t>REITs</w:t>
      </w:r>
      <w:r>
        <w:rPr>
          <w:rFonts w:hint="eastAsia" w:ascii="仿宋_GB2312" w:hAnsi="仿宋" w:eastAsia="仿宋_GB2312"/>
        </w:rPr>
        <w:t>代码及简称由本所按照集中管理，有效使用的原则，做好日常维护。</w:t>
      </w:r>
      <w:r>
        <w:rPr>
          <w:rFonts w:hint="eastAsia" w:ascii="仿宋_GB2312" w:hAnsi="仿宋" w:eastAsia="仿宋_GB2312" w:cs="宋体"/>
          <w:color w:val="000000"/>
          <w:kern w:val="0"/>
          <w:sz w:val="24"/>
        </w:rPr>
        <w:t>基金管理人在获得证监会批文后，可以向本所正式提交REITs代码简称申请。</w:t>
      </w:r>
    </w:p>
    <w:p w14:paraId="45E34175">
      <w:pPr>
        <w:pStyle w:val="13"/>
        <w:numPr>
          <w:ilvl w:val="0"/>
          <w:numId w:val="15"/>
        </w:numPr>
        <w:snapToGrid w:val="0"/>
        <w:spacing w:before="0" w:beforeAutospacing="0" w:after="0" w:afterAutospacing="0" w:line="360" w:lineRule="auto"/>
        <w:jc w:val="both"/>
        <w:rPr>
          <w:rFonts w:hint="eastAsia" w:ascii="仿宋_GB2312" w:hAnsi="仿宋" w:eastAsia="仿宋_GB2312"/>
        </w:rPr>
      </w:pPr>
      <w:r>
        <w:rPr>
          <w:rFonts w:hint="eastAsia" w:ascii="仿宋_GB2312" w:hAnsi="仿宋" w:eastAsia="仿宋_GB2312"/>
          <w:lang w:val="en-US" w:eastAsia="zh-CN"/>
        </w:rPr>
        <w:t>REITs代码</w:t>
      </w:r>
    </w:p>
    <w:p w14:paraId="2280BBE9">
      <w:pPr>
        <w:pStyle w:val="13"/>
        <w:numPr>
          <w:ilvl w:val="0"/>
          <w:numId w:val="16"/>
        </w:numPr>
        <w:snapToGrid w:val="0"/>
        <w:spacing w:before="0" w:beforeAutospacing="0" w:after="0" w:afterAutospacing="0" w:line="360" w:lineRule="auto"/>
        <w:ind w:left="0" w:firstLine="480" w:firstLineChars="200"/>
        <w:jc w:val="both"/>
        <w:rPr>
          <w:rFonts w:hint="eastAsia" w:ascii="仿宋_GB2312" w:hAnsi="仿宋" w:eastAsia="仿宋_GB2312"/>
        </w:rPr>
      </w:pPr>
      <w:r>
        <w:rPr>
          <w:rFonts w:hint="eastAsia" w:ascii="仿宋_GB2312" w:hAnsi="仿宋" w:eastAsia="仿宋_GB2312" w:cs="宋体"/>
          <w:color w:val="000000"/>
          <w:kern w:val="0"/>
          <w:sz w:val="24"/>
          <w:lang w:eastAsia="zh-CN"/>
        </w:rPr>
        <w:t>不同资产类型的</w:t>
      </w:r>
      <w:r>
        <w:rPr>
          <w:rFonts w:hint="eastAsia" w:ascii="仿宋_GB2312" w:hAnsi="仿宋" w:eastAsia="仿宋_GB2312" w:cs="宋体"/>
          <w:color w:val="000000"/>
          <w:kern w:val="0"/>
          <w:sz w:val="24"/>
          <w:lang w:val="en-US" w:eastAsia="zh-CN"/>
        </w:rPr>
        <w:t>REITs使用不同代码段。</w:t>
      </w:r>
      <w:r>
        <w:rPr>
          <w:rFonts w:hint="eastAsia" w:ascii="仿宋_GB2312" w:hAnsi="仿宋" w:eastAsia="仿宋_GB2312"/>
        </w:rPr>
        <w:t>不同</w:t>
      </w:r>
      <w:r>
        <w:rPr>
          <w:rFonts w:hint="eastAsia" w:ascii="Times New Roman" w:hAnsi="Times New Roman" w:eastAsia="仿宋_GB2312"/>
        </w:rPr>
        <w:t>REITs</w:t>
      </w:r>
      <w:r>
        <w:rPr>
          <w:rFonts w:hint="eastAsia" w:ascii="仿宋_GB2312" w:hAnsi="仿宋" w:eastAsia="仿宋_GB2312"/>
        </w:rPr>
        <w:t>产品的代码不可复用。</w:t>
      </w:r>
    </w:p>
    <w:p w14:paraId="7DDF21D0">
      <w:pPr>
        <w:pStyle w:val="13"/>
        <w:numPr>
          <w:ilvl w:val="0"/>
          <w:numId w:val="16"/>
        </w:numPr>
        <w:snapToGrid w:val="0"/>
        <w:spacing w:before="0" w:beforeAutospacing="0" w:after="0" w:afterAutospacing="0" w:line="360" w:lineRule="auto"/>
        <w:ind w:left="0" w:firstLine="480" w:firstLineChars="200"/>
        <w:jc w:val="both"/>
        <w:rPr>
          <w:rFonts w:hint="eastAsia" w:ascii="仿宋_GB2312" w:hAnsi="仿宋" w:eastAsia="仿宋_GB2312"/>
        </w:rPr>
      </w:pPr>
      <w:r>
        <w:rPr>
          <w:rFonts w:hint="eastAsia" w:ascii="仿宋_GB2312" w:hAnsi="仿宋" w:eastAsia="仿宋_GB2312"/>
          <w:lang w:eastAsia="zh-CN"/>
        </w:rPr>
        <w:t>基础设施</w:t>
      </w:r>
      <w:r>
        <w:rPr>
          <w:rFonts w:hint="eastAsia" w:ascii="仿宋_GB2312" w:hAnsi="仿宋" w:eastAsia="仿宋_GB2312"/>
          <w:lang w:val="en-US" w:eastAsia="zh-CN"/>
        </w:rPr>
        <w:t>REITs代码段为508000-508099。基金管理人可在该代码段中自行选择未被使用代码，并在</w:t>
      </w:r>
      <w:r>
        <w:rPr>
          <w:rFonts w:hint="eastAsia" w:ascii="仿宋_GB2312" w:hAnsi="仿宋" w:eastAsia="仿宋_GB2312"/>
        </w:rPr>
        <w:t>代码简称申请函中注明，本所确认后完成代码发放。</w:t>
      </w:r>
    </w:p>
    <w:p w14:paraId="77CD8CA7">
      <w:pPr>
        <w:pStyle w:val="13"/>
        <w:numPr>
          <w:ilvl w:val="0"/>
          <w:numId w:val="16"/>
        </w:numPr>
        <w:snapToGrid w:val="0"/>
        <w:spacing w:before="0" w:beforeAutospacing="0" w:after="0" w:afterAutospacing="0" w:line="360" w:lineRule="auto"/>
        <w:ind w:left="0" w:firstLine="480" w:firstLineChars="200"/>
        <w:jc w:val="both"/>
        <w:rPr>
          <w:rFonts w:hint="eastAsia" w:ascii="仿宋_GB2312" w:hAnsi="仿宋" w:eastAsia="仿宋_GB2312"/>
        </w:rPr>
      </w:pPr>
      <w:r>
        <w:rPr>
          <w:rFonts w:hint="eastAsia" w:ascii="仿宋_GB2312" w:hAnsi="仿宋" w:eastAsia="仿宋_GB2312"/>
          <w:lang w:eastAsia="zh-CN"/>
        </w:rPr>
        <w:t>商业不动产</w:t>
      </w:r>
      <w:r>
        <w:rPr>
          <w:rFonts w:hint="eastAsia" w:ascii="仿宋_GB2312" w:hAnsi="仿宋" w:eastAsia="仿宋_GB2312"/>
          <w:lang w:val="en-US" w:eastAsia="zh-CN"/>
        </w:rPr>
        <w:t>REITs代码段为508600-508799。本所按照基金管理人提交代码简称申请流程的先后顺序，由系统</w:t>
      </w:r>
      <w:r>
        <w:rPr>
          <w:rFonts w:hint="eastAsia" w:ascii="仿宋_GB2312" w:hAnsi="仿宋" w:eastAsia="仿宋_GB2312"/>
        </w:rPr>
        <w:t>按</w:t>
      </w:r>
      <w:r>
        <w:rPr>
          <w:rFonts w:hint="eastAsia" w:ascii="仿宋_GB2312" w:hAnsi="仿宋" w:eastAsia="仿宋_GB2312"/>
          <w:lang w:eastAsia="zh-CN"/>
        </w:rPr>
        <w:t>未被使用代码从小到大的</w:t>
      </w:r>
      <w:r>
        <w:rPr>
          <w:rFonts w:hint="eastAsia" w:ascii="仿宋_GB2312" w:hAnsi="仿宋" w:eastAsia="仿宋_GB2312"/>
        </w:rPr>
        <w:t>顺序依次</w:t>
      </w:r>
      <w:r>
        <w:rPr>
          <w:rFonts w:hint="eastAsia" w:ascii="仿宋_GB2312" w:hAnsi="仿宋" w:eastAsia="仿宋_GB2312"/>
          <w:lang w:eastAsia="zh-CN"/>
        </w:rPr>
        <w:t>分配并发放</w:t>
      </w:r>
      <w:r>
        <w:rPr>
          <w:rFonts w:hint="eastAsia" w:ascii="仿宋_GB2312" w:hAnsi="仿宋" w:eastAsia="仿宋_GB2312"/>
          <w:lang w:val="en-US" w:eastAsia="zh-CN"/>
        </w:rPr>
        <w:t>。</w:t>
      </w:r>
    </w:p>
    <w:p w14:paraId="65B76F92">
      <w:pPr>
        <w:pStyle w:val="13"/>
        <w:numPr>
          <w:ilvl w:val="0"/>
          <w:numId w:val="16"/>
        </w:numPr>
        <w:snapToGrid w:val="0"/>
        <w:spacing w:before="0" w:beforeAutospacing="0" w:after="0" w:afterAutospacing="0" w:line="360" w:lineRule="auto"/>
        <w:ind w:left="0" w:firstLine="480" w:firstLineChars="200"/>
        <w:jc w:val="both"/>
        <w:rPr>
          <w:rFonts w:hint="eastAsia" w:ascii="仿宋_GB2312" w:hAnsi="仿宋" w:eastAsia="仿宋_GB2312"/>
        </w:rPr>
      </w:pPr>
      <w:r>
        <w:rPr>
          <w:rFonts w:hint="eastAsia" w:ascii="仿宋_GB2312" w:hAnsi="仿宋" w:eastAsia="仿宋_GB2312"/>
          <w:szCs w:val="24"/>
        </w:rPr>
        <w:t>本所将根据代码段使用情况适时新开代码段，具体信息以本所发布的关于扩展分配并启用相关代码段的通知为准。后续新开代码段的分配原则均为按顺序分配。</w:t>
      </w:r>
    </w:p>
    <w:p w14:paraId="1FAFAA75">
      <w:pPr>
        <w:pStyle w:val="13"/>
        <w:numPr>
          <w:ilvl w:val="0"/>
          <w:numId w:val="15"/>
        </w:numPr>
        <w:snapToGrid w:val="0"/>
        <w:spacing w:before="0" w:beforeAutospacing="0" w:after="0" w:afterAutospacing="0" w:line="360" w:lineRule="auto"/>
        <w:jc w:val="both"/>
        <w:rPr>
          <w:rFonts w:hint="eastAsia" w:ascii="仿宋_GB2312" w:hAnsi="仿宋" w:eastAsia="仿宋_GB2312"/>
        </w:rPr>
      </w:pPr>
      <w:r>
        <w:rPr>
          <w:rFonts w:hint="eastAsia" w:ascii="Times New Roman" w:hAnsi="Times New Roman" w:eastAsia="仿宋_GB2312"/>
        </w:rPr>
        <w:t>REITs</w:t>
      </w:r>
      <w:r>
        <w:rPr>
          <w:rFonts w:hint="eastAsia" w:ascii="仿宋_GB2312" w:hAnsi="仿宋" w:eastAsia="仿宋_GB2312"/>
        </w:rPr>
        <w:t>简称</w:t>
      </w:r>
    </w:p>
    <w:p w14:paraId="312AFE0E">
      <w:pPr>
        <w:pStyle w:val="13"/>
        <w:numPr>
          <w:ilvl w:val="0"/>
          <w:numId w:val="17"/>
        </w:numPr>
        <w:snapToGrid w:val="0"/>
        <w:spacing w:line="360" w:lineRule="auto"/>
        <w:ind w:left="900" w:leftChars="200" w:hanging="480" w:hangingChars="200"/>
        <w:rPr>
          <w:rFonts w:hint="eastAsia" w:ascii="仿宋_GB2312" w:hAnsi="仿宋" w:eastAsia="仿宋_GB2312"/>
        </w:rPr>
      </w:pPr>
      <w:r>
        <w:rPr>
          <w:rFonts w:hint="eastAsia" w:ascii="Times New Roman" w:hAnsi="Times New Roman" w:eastAsia="仿宋_GB2312"/>
        </w:rPr>
        <w:t>REITs</w:t>
      </w:r>
      <w:r>
        <w:rPr>
          <w:rFonts w:ascii="仿宋_GB2312" w:hAnsi="仿宋" w:eastAsia="仿宋_GB2312"/>
        </w:rPr>
        <w:t>简称包括证券</w:t>
      </w:r>
      <w:r>
        <w:rPr>
          <w:rFonts w:hint="eastAsia" w:ascii="仿宋_GB2312" w:hAnsi="仿宋" w:eastAsia="仿宋_GB2312"/>
        </w:rPr>
        <w:t>简称</w:t>
      </w:r>
      <w:r>
        <w:rPr>
          <w:rFonts w:ascii="仿宋_GB2312" w:hAnsi="仿宋" w:eastAsia="仿宋_GB2312"/>
        </w:rPr>
        <w:t>（短简称）和扩位简称</w:t>
      </w:r>
      <w:r>
        <w:rPr>
          <w:rFonts w:hint="eastAsia" w:ascii="仿宋_GB2312" w:hAnsi="仿宋" w:eastAsia="仿宋_GB2312"/>
        </w:rPr>
        <w:t>。同一只基金的扩位简称可与短简称相同。</w:t>
      </w:r>
    </w:p>
    <w:p w14:paraId="596137BA">
      <w:pPr>
        <w:pStyle w:val="13"/>
        <w:numPr>
          <w:ilvl w:val="0"/>
          <w:numId w:val="17"/>
        </w:numPr>
        <w:snapToGrid w:val="0"/>
        <w:spacing w:line="360" w:lineRule="auto"/>
        <w:ind w:left="900" w:leftChars="200" w:hanging="480" w:hangingChars="200"/>
        <w:rPr>
          <w:rFonts w:hint="eastAsia" w:ascii="仿宋_GB2312" w:hAnsi="仿宋" w:eastAsia="仿宋_GB2312"/>
        </w:rPr>
      </w:pPr>
      <w:r>
        <w:rPr>
          <w:rFonts w:hint="eastAsia" w:ascii="Times New Roman" w:hAnsi="Times New Roman" w:eastAsia="仿宋_GB2312"/>
        </w:rPr>
        <w:t>REITs</w:t>
      </w:r>
      <w:r>
        <w:rPr>
          <w:rFonts w:hint="eastAsia" w:ascii="仿宋_GB2312" w:hAnsi="仿宋" w:eastAsia="仿宋_GB2312"/>
        </w:rPr>
        <w:t>短简称长度不超过</w:t>
      </w:r>
      <w:r>
        <w:rPr>
          <w:rFonts w:hint="eastAsia" w:ascii="Times New Roman" w:hAnsi="Times New Roman" w:eastAsia="仿宋_GB2312"/>
        </w:rPr>
        <w:t>8</w:t>
      </w:r>
      <w:r>
        <w:rPr>
          <w:rFonts w:hint="eastAsia" w:ascii="仿宋_GB2312" w:hAnsi="仿宋" w:eastAsia="仿宋_GB2312"/>
        </w:rPr>
        <w:t>个字节，扩位简称不得短于证券简称且不超过</w:t>
      </w:r>
      <w:r>
        <w:rPr>
          <w:rFonts w:hint="eastAsia" w:ascii="Times New Roman" w:hAnsi="Times New Roman" w:eastAsia="仿宋_GB2312"/>
        </w:rPr>
        <w:t>28</w:t>
      </w:r>
      <w:r>
        <w:rPr>
          <w:rFonts w:hint="eastAsia" w:ascii="仿宋_GB2312" w:hAnsi="仿宋" w:eastAsia="仿宋_GB2312"/>
        </w:rPr>
        <w:t>个字节（本所为特殊标识预留</w:t>
      </w:r>
      <w:r>
        <w:rPr>
          <w:rFonts w:hint="eastAsia" w:ascii="Times New Roman" w:hAnsi="Times New Roman" w:eastAsia="仿宋_GB2312"/>
        </w:rPr>
        <w:t>2</w:t>
      </w:r>
      <w:r>
        <w:rPr>
          <w:rFonts w:hint="eastAsia" w:ascii="仿宋_GB2312" w:hAnsi="仿宋" w:eastAsia="仿宋_GB2312"/>
        </w:rPr>
        <w:t>个字节）。基金简称只能以中文、数字或大写英文构成，不含特殊符号，一个中文字符占</w:t>
      </w:r>
      <w:r>
        <w:rPr>
          <w:rFonts w:hint="eastAsia" w:ascii="Times New Roman" w:hAnsi="Times New Roman" w:eastAsia="仿宋_GB2312"/>
        </w:rPr>
        <w:t>2</w:t>
      </w:r>
      <w:r>
        <w:rPr>
          <w:rFonts w:hint="eastAsia" w:ascii="仿宋_GB2312" w:hAnsi="仿宋" w:eastAsia="仿宋_GB2312"/>
        </w:rPr>
        <w:t>个字节，一个数字或字母占</w:t>
      </w:r>
      <w:r>
        <w:rPr>
          <w:rFonts w:hint="eastAsia" w:ascii="Times New Roman" w:hAnsi="Times New Roman" w:eastAsia="仿宋_GB2312"/>
        </w:rPr>
        <w:t>1</w:t>
      </w:r>
      <w:r>
        <w:rPr>
          <w:rFonts w:hint="eastAsia" w:ascii="仿宋_GB2312" w:hAnsi="仿宋" w:eastAsia="仿宋_GB2312"/>
        </w:rPr>
        <w:t>个字节。</w:t>
      </w:r>
    </w:p>
    <w:p w14:paraId="01A3AFD8">
      <w:pPr>
        <w:pStyle w:val="13"/>
        <w:numPr>
          <w:ilvl w:val="0"/>
          <w:numId w:val="17"/>
        </w:numPr>
        <w:snapToGrid w:val="0"/>
        <w:spacing w:line="360" w:lineRule="auto"/>
        <w:ind w:left="900" w:leftChars="200" w:hanging="480" w:hangingChars="200"/>
        <w:rPr>
          <w:rFonts w:hint="eastAsia" w:ascii="仿宋_GB2312" w:hAnsi="仿宋" w:eastAsia="仿宋_GB2312"/>
        </w:rPr>
      </w:pPr>
      <w:r>
        <w:rPr>
          <w:rFonts w:hint="eastAsia" w:ascii="Times New Roman" w:hAnsi="Times New Roman" w:eastAsia="仿宋_GB2312"/>
        </w:rPr>
        <w:t>REITs</w:t>
      </w:r>
      <w:r>
        <w:rPr>
          <w:rFonts w:hint="eastAsia" w:ascii="仿宋_GB2312" w:hAnsi="仿宋" w:eastAsia="仿宋_GB2312"/>
        </w:rPr>
        <w:t>的扩位简称必须包含“</w:t>
      </w:r>
      <w:r>
        <w:rPr>
          <w:rFonts w:hint="eastAsia" w:ascii="Times New Roman" w:hAnsi="Times New Roman" w:eastAsia="仿宋_GB2312"/>
        </w:rPr>
        <w:t>REIT</w:t>
      </w:r>
      <w:r>
        <w:rPr>
          <w:rFonts w:hint="eastAsia" w:ascii="仿宋_GB2312" w:hAnsi="仿宋" w:eastAsia="仿宋_GB2312"/>
        </w:rPr>
        <w:t>”字样。</w:t>
      </w:r>
    </w:p>
    <w:p w14:paraId="7F9D99B4">
      <w:pPr>
        <w:pStyle w:val="13"/>
        <w:numPr>
          <w:ilvl w:val="0"/>
          <w:numId w:val="17"/>
        </w:numPr>
        <w:snapToGrid w:val="0"/>
        <w:spacing w:line="360" w:lineRule="auto"/>
        <w:ind w:left="900" w:leftChars="200" w:hanging="480" w:hangingChars="200"/>
        <w:rPr>
          <w:rFonts w:hint="eastAsia" w:ascii="仿宋_GB2312" w:hAnsi="仿宋" w:eastAsia="仿宋_GB2312"/>
        </w:rPr>
      </w:pPr>
      <w:r>
        <w:rPr>
          <w:rFonts w:hint="eastAsia" w:ascii="仿宋_GB2312" w:hAnsi="仿宋" w:eastAsia="仿宋_GB2312"/>
        </w:rPr>
        <w:t>本所基金正在使用或已分配的基金简称不重复使用，但已摘牌或已更名的基金，其原简称可再次使用。</w:t>
      </w:r>
    </w:p>
    <w:p w14:paraId="5C1E7CFC">
      <w:pPr>
        <w:pStyle w:val="13"/>
        <w:numPr>
          <w:ilvl w:val="1"/>
          <w:numId w:val="14"/>
        </w:numPr>
        <w:snapToGrid w:val="0"/>
        <w:spacing w:before="0" w:beforeAutospacing="0" w:after="0" w:afterAutospacing="0" w:line="360" w:lineRule="auto"/>
        <w:jc w:val="both"/>
        <w:rPr>
          <w:rFonts w:hint="eastAsia" w:ascii="仿宋_GB2312" w:hAnsi="仿宋" w:eastAsia="仿宋_GB2312"/>
        </w:rPr>
      </w:pPr>
      <w:r>
        <w:rPr>
          <w:rFonts w:hint="eastAsia" w:ascii="仿宋_GB2312" w:hAnsi="仿宋" w:eastAsia="仿宋_GB2312"/>
        </w:rPr>
        <w:t>业务办理流程：</w:t>
      </w:r>
    </w:p>
    <w:p w14:paraId="18ADB8D3">
      <w:pPr>
        <w:tabs>
          <w:tab w:val="left" w:pos="3420"/>
        </w:tabs>
        <w:snapToGrid w:val="0"/>
        <w:spacing w:line="360" w:lineRule="auto"/>
        <w:ind w:left="420"/>
        <w:rPr>
          <w:rFonts w:hint="eastAsia" w:ascii="仿宋_GB2312" w:hAnsi="仿宋" w:eastAsia="仿宋_GB2312" w:cs="宋体"/>
          <w:color w:val="000000"/>
          <w:kern w:val="0"/>
          <w:sz w:val="24"/>
        </w:rPr>
      </w:pPr>
    </w:p>
    <w:p w14:paraId="5B9831FF">
      <w:pPr>
        <w:pStyle w:val="13"/>
        <w:numPr>
          <w:ilvl w:val="0"/>
          <w:numId w:val="18"/>
        </w:numPr>
        <w:snapToGrid w:val="0"/>
        <w:spacing w:before="0" w:beforeAutospacing="0" w:after="0" w:afterAutospacing="0" w:line="360" w:lineRule="auto"/>
        <w:jc w:val="both"/>
        <w:rPr>
          <w:rFonts w:hint="eastAsia" w:ascii="仿宋_GB2312" w:hAnsi="仿宋" w:eastAsia="仿宋_GB2312"/>
        </w:rPr>
      </w:pPr>
      <w:r>
        <w:rPr>
          <w:rFonts w:hint="eastAsia" w:ascii="仿宋_GB2312" w:hAnsi="仿宋" w:eastAsia="仿宋_GB2312"/>
        </w:rPr>
        <w:t>名称释义：</w:t>
      </w:r>
      <w:r>
        <w:rPr>
          <w:rFonts w:hint="eastAsia" w:ascii="Times New Roman" w:hAnsi="Times New Roman" w:eastAsia="仿宋_GB2312"/>
        </w:rPr>
        <w:t>T</w:t>
      </w:r>
      <w:r>
        <w:rPr>
          <w:rFonts w:hint="eastAsia" w:ascii="仿宋_GB2312" w:hAnsi="仿宋" w:eastAsia="仿宋_GB2312"/>
        </w:rPr>
        <w:t>日为申请日</w:t>
      </w:r>
    </w:p>
    <w:p w14:paraId="78C2D814">
      <w:pPr>
        <w:tabs>
          <w:tab w:val="left" w:pos="426"/>
        </w:tabs>
        <w:snapToGrid w:val="0"/>
        <w:spacing w:line="360" w:lineRule="auto"/>
        <w:ind w:left="420"/>
        <w:rPr>
          <w:rFonts w:hint="eastAsia" w:ascii="仿宋_GB2312" w:hAnsi="仿宋" w:eastAsia="仿宋_GB2312" w:cs="宋体"/>
          <w:color w:val="000000"/>
          <w:kern w:val="0"/>
          <w:sz w:val="24"/>
        </w:rPr>
      </w:pPr>
    </w:p>
    <w:p w14:paraId="65E86C4D">
      <w:pPr>
        <w:tabs>
          <w:tab w:val="left" w:pos="3420"/>
        </w:tabs>
        <w:snapToGrid w:val="0"/>
        <w:spacing w:line="360" w:lineRule="auto"/>
        <w:ind w:left="420"/>
        <w:rPr>
          <w:rFonts w:hint="eastAsia" w:ascii="仿宋_GB2312" w:hAnsi="仿宋" w:eastAsia="仿宋_GB2312" w:cs="宋体"/>
          <w:color w:val="000000"/>
          <w:kern w:val="0"/>
          <w:sz w:val="24"/>
        </w:rPr>
      </w:pPr>
      <w:r>
        <w:rPr>
          <w:rFonts w:hint="eastAsia" w:ascii="Times New Roman" w:hAnsi="Times New Roman" w:eastAsia="仿宋_GB2312" w:cs="宋体"/>
          <w:color w:val="000000"/>
          <w:kern w:val="0"/>
          <w:sz w:val="24"/>
        </w:rPr>
        <w:t>T</w:t>
      </w:r>
      <w:r>
        <w:rPr>
          <w:rFonts w:hint="eastAsia" w:ascii="仿宋_GB2312" w:hAnsi="仿宋" w:eastAsia="仿宋_GB2312" w:cs="宋体"/>
          <w:color w:val="000000"/>
          <w:kern w:val="0"/>
          <w:sz w:val="24"/>
        </w:rPr>
        <w:t>日</w:t>
      </w:r>
    </w:p>
    <w:p w14:paraId="208FBBB0">
      <w:pPr>
        <w:numPr>
          <w:ilvl w:val="0"/>
          <w:numId w:val="12"/>
        </w:numPr>
        <w:snapToGrid w:val="0"/>
        <w:spacing w:line="360" w:lineRule="auto"/>
        <w:ind w:firstLine="480" w:firstLineChars="200"/>
        <w:rPr>
          <w:rFonts w:hint="eastAsia" w:ascii="仿宋_GB2312" w:hAnsi="仿宋" w:eastAsia="仿宋_GB2312" w:cs="宋体"/>
          <w:color w:val="000000"/>
          <w:kern w:val="0"/>
          <w:sz w:val="24"/>
        </w:rPr>
      </w:pPr>
      <w:r>
        <w:rPr>
          <w:rFonts w:hint="eastAsia" w:ascii="仿宋_GB2312" w:hAnsi="仿宋" w:eastAsia="仿宋_GB2312" w:cs="宋体"/>
          <w:color w:val="000000"/>
          <w:kern w:val="0"/>
          <w:sz w:val="24"/>
        </w:rPr>
        <w:t>基金管理人通过</w:t>
      </w:r>
      <w:r>
        <w:rPr>
          <w:rFonts w:hint="eastAsia" w:ascii="Times New Roman" w:hAnsi="Times New Roman" w:eastAsia="仿宋_GB2312" w:cs="宋体"/>
          <w:color w:val="000000"/>
          <w:kern w:val="0"/>
          <w:sz w:val="24"/>
        </w:rPr>
        <w:t>REITs</w:t>
      </w:r>
      <w:r>
        <w:rPr>
          <w:rFonts w:hint="eastAsia" w:ascii="仿宋_GB2312" w:hAnsi="仿宋" w:eastAsia="仿宋_GB2312" w:cs="宋体"/>
          <w:color w:val="000000"/>
          <w:kern w:val="0"/>
          <w:sz w:val="24"/>
        </w:rPr>
        <w:t>业务管理系统平台菜单“业务申请-</w:t>
      </w:r>
      <w:r>
        <w:rPr>
          <w:rFonts w:hint="eastAsia" w:ascii="Times New Roman" w:hAnsi="Times New Roman" w:eastAsia="仿宋_GB2312" w:cs="宋体"/>
          <w:color w:val="000000"/>
          <w:kern w:val="0"/>
          <w:sz w:val="24"/>
        </w:rPr>
        <w:t>REITs</w:t>
      </w:r>
      <w:r>
        <w:rPr>
          <w:rFonts w:hint="eastAsia" w:ascii="仿宋_GB2312" w:hAnsi="仿宋" w:eastAsia="仿宋_GB2312" w:cs="宋体"/>
          <w:color w:val="000000"/>
          <w:kern w:val="0"/>
          <w:sz w:val="24"/>
        </w:rPr>
        <w:t>代码简称申请”提交</w:t>
      </w:r>
      <w:r>
        <w:rPr>
          <w:rFonts w:hint="eastAsia" w:ascii="Times New Roman" w:hAnsi="Times New Roman" w:eastAsia="仿宋_GB2312" w:cs="宋体"/>
          <w:color w:val="000000"/>
          <w:kern w:val="0"/>
          <w:sz w:val="24"/>
        </w:rPr>
        <w:t>REITs</w:t>
      </w:r>
      <w:r>
        <w:rPr>
          <w:rFonts w:hint="eastAsia" w:ascii="仿宋_GB2312" w:hAnsi="仿宋" w:eastAsia="仿宋_GB2312" w:cs="宋体"/>
          <w:color w:val="000000"/>
          <w:kern w:val="0"/>
          <w:sz w:val="24"/>
        </w:rPr>
        <w:t>代码简称线上申请，并上传以下申请材料：</w:t>
      </w:r>
    </w:p>
    <w:p w14:paraId="45201020">
      <w:pPr>
        <w:numPr>
          <w:ilvl w:val="0"/>
          <w:numId w:val="19"/>
        </w:numPr>
        <w:snapToGrid w:val="0"/>
        <w:spacing w:line="360" w:lineRule="auto"/>
        <w:rPr>
          <w:rFonts w:hint="eastAsia" w:ascii="仿宋_GB2312" w:hAnsi="仿宋" w:eastAsia="仿宋_GB2312" w:cs="宋体"/>
          <w:color w:val="000000"/>
          <w:kern w:val="0"/>
          <w:sz w:val="24"/>
        </w:rPr>
      </w:pPr>
      <w:r>
        <w:rPr>
          <w:rFonts w:hint="eastAsia" w:ascii="仿宋_GB2312" w:hAnsi="仿宋" w:eastAsia="仿宋_GB2312" w:cs="宋体"/>
          <w:color w:val="000000"/>
          <w:kern w:val="0"/>
          <w:sz w:val="24"/>
        </w:rPr>
        <w:t>代码、简称申请函（格式参考附件</w:t>
      </w:r>
      <w:r>
        <w:rPr>
          <w:rFonts w:hint="eastAsia" w:ascii="Times New Roman" w:hAnsi="Times New Roman" w:eastAsia="仿宋_GB2312" w:cs="宋体"/>
          <w:color w:val="000000"/>
          <w:kern w:val="0"/>
          <w:sz w:val="24"/>
        </w:rPr>
        <w:t>1</w:t>
      </w:r>
      <w:r>
        <w:rPr>
          <w:rFonts w:hint="eastAsia" w:ascii="仿宋_GB2312" w:hAnsi="仿宋" w:eastAsia="仿宋_GB2312" w:cs="宋体"/>
          <w:color w:val="000000"/>
          <w:kern w:val="0"/>
          <w:sz w:val="24"/>
        </w:rPr>
        <w:t>-</w:t>
      </w:r>
      <w:r>
        <w:rPr>
          <w:rFonts w:hint="eastAsia" w:ascii="Times New Roman" w:hAnsi="Times New Roman" w:eastAsia="仿宋_GB2312" w:cs="宋体"/>
          <w:color w:val="000000"/>
          <w:kern w:val="0"/>
          <w:sz w:val="24"/>
        </w:rPr>
        <w:t>7</w:t>
      </w:r>
      <w:r>
        <w:rPr>
          <w:rFonts w:hint="eastAsia" w:ascii="仿宋_GB2312" w:hAnsi="仿宋" w:eastAsia="仿宋_GB2312" w:cs="宋体"/>
          <w:color w:val="000000"/>
          <w:kern w:val="0"/>
          <w:sz w:val="24"/>
        </w:rPr>
        <w:t>，盖章扫描件）；</w:t>
      </w:r>
    </w:p>
    <w:p w14:paraId="7A177683">
      <w:pPr>
        <w:numPr>
          <w:ilvl w:val="0"/>
          <w:numId w:val="19"/>
        </w:numPr>
        <w:snapToGrid w:val="0"/>
        <w:spacing w:line="360" w:lineRule="auto"/>
        <w:rPr>
          <w:rFonts w:hint="eastAsia" w:ascii="仿宋_GB2312" w:hAnsi="仿宋" w:eastAsia="仿宋_GB2312" w:cs="宋体"/>
          <w:color w:val="000000"/>
          <w:kern w:val="0"/>
          <w:sz w:val="24"/>
        </w:rPr>
      </w:pPr>
      <w:r>
        <w:rPr>
          <w:rFonts w:hint="eastAsia" w:ascii="仿宋_GB2312" w:hAnsi="仿宋" w:eastAsia="仿宋_GB2312" w:cs="宋体"/>
          <w:color w:val="000000"/>
          <w:kern w:val="0"/>
          <w:sz w:val="24"/>
        </w:rPr>
        <w:t>中国证监会准予产品注册的正式批文复印件（扫描件）；</w:t>
      </w:r>
    </w:p>
    <w:p w14:paraId="712A6617">
      <w:pPr>
        <w:numPr>
          <w:ilvl w:val="0"/>
          <w:numId w:val="19"/>
        </w:numPr>
        <w:snapToGrid w:val="0"/>
        <w:spacing w:line="360" w:lineRule="auto"/>
        <w:rPr>
          <w:rFonts w:hint="eastAsia" w:ascii="仿宋_GB2312" w:hAnsi="仿宋" w:eastAsia="仿宋_GB2312" w:cs="宋体"/>
          <w:color w:val="000000"/>
          <w:kern w:val="0"/>
          <w:sz w:val="24"/>
        </w:rPr>
      </w:pPr>
      <w:r>
        <w:rPr>
          <w:rFonts w:hint="eastAsia" w:ascii="仿宋_GB2312" w:hAnsi="仿宋" w:eastAsia="仿宋_GB2312" w:cs="宋体"/>
          <w:color w:val="000000"/>
          <w:kern w:val="0"/>
          <w:sz w:val="24"/>
        </w:rPr>
        <w:t>本所要求的其他申请材料。</w:t>
      </w:r>
    </w:p>
    <w:p w14:paraId="029B6CC8">
      <w:pPr>
        <w:numPr>
          <w:ilvl w:val="0"/>
          <w:numId w:val="12"/>
        </w:numPr>
        <w:snapToGrid w:val="0"/>
        <w:spacing w:line="360" w:lineRule="auto"/>
        <w:ind w:firstLine="480" w:firstLineChars="200"/>
        <w:rPr>
          <w:rFonts w:hint="eastAsia" w:ascii="仿宋_GB2312" w:hAnsi="仿宋" w:eastAsia="仿宋_GB2312" w:cs="宋体"/>
          <w:color w:val="000000"/>
          <w:kern w:val="0"/>
          <w:sz w:val="24"/>
        </w:rPr>
      </w:pPr>
      <w:r>
        <w:rPr>
          <w:rFonts w:hint="eastAsia" w:ascii="仿宋_GB2312" w:hAnsi="仿宋" w:eastAsia="仿宋_GB2312" w:cs="宋体"/>
          <w:color w:val="000000"/>
          <w:kern w:val="0"/>
          <w:sz w:val="24"/>
        </w:rPr>
        <w:t>基金管理人若无本所</w:t>
      </w:r>
      <w:r>
        <w:rPr>
          <w:rFonts w:hint="eastAsia" w:ascii="Times New Roman" w:hAnsi="Times New Roman" w:eastAsia="仿宋_GB2312" w:cs="宋体"/>
          <w:color w:val="000000"/>
          <w:kern w:val="0"/>
          <w:sz w:val="24"/>
        </w:rPr>
        <w:t>CA</w:t>
      </w:r>
      <w:r>
        <w:rPr>
          <w:rFonts w:hint="eastAsia" w:ascii="仿宋_GB2312" w:hAnsi="仿宋" w:eastAsia="仿宋_GB2312" w:cs="宋体"/>
          <w:color w:val="000000"/>
          <w:kern w:val="0"/>
          <w:sz w:val="24"/>
        </w:rPr>
        <w:t>证书，需按证书申请流程提交材料办理</w:t>
      </w:r>
      <w:r>
        <w:rPr>
          <w:rFonts w:hint="eastAsia" w:ascii="Times New Roman" w:hAnsi="Times New Roman" w:eastAsia="仿宋_GB2312" w:cs="宋体"/>
          <w:color w:val="000000"/>
          <w:kern w:val="0"/>
          <w:sz w:val="24"/>
        </w:rPr>
        <w:t>CA</w:t>
      </w:r>
      <w:r>
        <w:rPr>
          <w:rFonts w:hint="eastAsia" w:ascii="仿宋_GB2312" w:hAnsi="仿宋" w:eastAsia="仿宋_GB2312" w:cs="宋体"/>
          <w:color w:val="000000"/>
          <w:kern w:val="0"/>
          <w:sz w:val="24"/>
        </w:rPr>
        <w:t>证书申请，用于相关业务线上申请事宜（证书申请流程参见本节“(一)数字证书申请”内容）。</w:t>
      </w:r>
    </w:p>
    <w:p w14:paraId="1FA8E1D7">
      <w:pPr>
        <w:snapToGrid w:val="0"/>
        <w:spacing w:line="360" w:lineRule="auto"/>
        <w:ind w:left="420"/>
        <w:rPr>
          <w:rFonts w:hint="eastAsia" w:ascii="仿宋_GB2312" w:hAnsi="仿宋" w:eastAsia="仿宋_GB2312" w:cs="宋体"/>
          <w:color w:val="000000"/>
          <w:kern w:val="0"/>
          <w:sz w:val="24"/>
        </w:rPr>
      </w:pPr>
    </w:p>
    <w:p w14:paraId="2CECBCE4">
      <w:pPr>
        <w:snapToGrid w:val="0"/>
        <w:spacing w:line="360" w:lineRule="auto"/>
        <w:ind w:left="420"/>
        <w:rPr>
          <w:rFonts w:hint="eastAsia" w:ascii="仿宋_GB2312" w:hAnsi="仿宋" w:eastAsia="仿宋_GB2312" w:cs="宋体"/>
          <w:color w:val="000000"/>
          <w:kern w:val="0"/>
          <w:sz w:val="24"/>
        </w:rPr>
      </w:pPr>
      <w:r>
        <w:rPr>
          <w:rFonts w:hint="eastAsia" w:ascii="Times New Roman" w:hAnsi="Times New Roman" w:eastAsia="仿宋_GB2312" w:cs="宋体"/>
          <w:color w:val="000000"/>
          <w:kern w:val="0"/>
          <w:sz w:val="24"/>
        </w:rPr>
        <w:t>T</w:t>
      </w:r>
      <w:r>
        <w:rPr>
          <w:rFonts w:hint="eastAsia" w:ascii="仿宋_GB2312" w:hAnsi="仿宋" w:eastAsia="仿宋_GB2312" w:cs="宋体"/>
          <w:color w:val="000000"/>
          <w:kern w:val="0"/>
          <w:sz w:val="24"/>
        </w:rPr>
        <w:t>+</w:t>
      </w:r>
      <w:r>
        <w:rPr>
          <w:rFonts w:hint="eastAsia" w:ascii="Times New Roman" w:hAnsi="Times New Roman" w:eastAsia="仿宋_GB2312" w:cs="宋体"/>
          <w:color w:val="000000"/>
          <w:kern w:val="0"/>
          <w:sz w:val="24"/>
        </w:rPr>
        <w:t>3</w:t>
      </w:r>
      <w:r>
        <w:rPr>
          <w:rFonts w:hint="eastAsia" w:ascii="仿宋_GB2312" w:hAnsi="仿宋" w:eastAsia="仿宋_GB2312" w:cs="宋体"/>
          <w:color w:val="000000"/>
          <w:kern w:val="0"/>
          <w:sz w:val="24"/>
        </w:rPr>
        <w:t>日</w:t>
      </w:r>
    </w:p>
    <w:p w14:paraId="111741C2">
      <w:pPr>
        <w:numPr>
          <w:ilvl w:val="0"/>
          <w:numId w:val="12"/>
        </w:numPr>
        <w:snapToGrid w:val="0"/>
        <w:spacing w:line="360" w:lineRule="auto"/>
        <w:ind w:firstLine="480" w:firstLineChars="200"/>
        <w:rPr>
          <w:rFonts w:hint="eastAsia" w:ascii="仿宋_GB2312" w:hAnsi="仿宋" w:eastAsia="仿宋_GB2312" w:cs="宋体"/>
          <w:color w:val="000000"/>
          <w:kern w:val="0"/>
          <w:sz w:val="24"/>
        </w:rPr>
      </w:pPr>
      <w:r>
        <w:rPr>
          <w:rFonts w:hint="eastAsia" w:ascii="仿宋_GB2312" w:hAnsi="仿宋" w:eastAsia="仿宋_GB2312" w:cs="宋体"/>
          <w:color w:val="000000"/>
          <w:kern w:val="0"/>
          <w:sz w:val="24"/>
        </w:rPr>
        <w:t>如申请材料符合规定，本所</w:t>
      </w:r>
      <w:r>
        <w:rPr>
          <w:rFonts w:hint="eastAsia" w:ascii="仿宋_GB2312" w:hAnsi="仿宋_GB2312" w:eastAsia="仿宋_GB2312" w:cs="仿宋_GB2312"/>
          <w:sz w:val="24"/>
          <w:szCs w:val="24"/>
        </w:rPr>
        <w:t>原</w:t>
      </w:r>
      <w:r>
        <w:rPr>
          <w:rFonts w:hint="eastAsia" w:ascii="仿宋_GB2312" w:hAnsi="仿宋" w:eastAsia="仿宋_GB2312" w:cs="宋体"/>
          <w:color w:val="000000"/>
          <w:kern w:val="0"/>
          <w:sz w:val="24"/>
        </w:rPr>
        <w:t>则上根据</w:t>
      </w:r>
      <w:r>
        <w:rPr>
          <w:rFonts w:hint="eastAsia" w:ascii="Times New Roman" w:hAnsi="Times New Roman" w:eastAsia="仿宋_GB2312" w:cs="宋体"/>
          <w:color w:val="000000"/>
          <w:kern w:val="0"/>
          <w:sz w:val="24"/>
        </w:rPr>
        <w:t>REITs</w:t>
      </w:r>
      <w:r>
        <w:rPr>
          <w:rFonts w:hint="eastAsia" w:ascii="仿宋_GB2312" w:hAnsi="仿宋" w:eastAsia="仿宋_GB2312" w:cs="宋体"/>
          <w:color w:val="000000"/>
          <w:kern w:val="0"/>
          <w:sz w:val="24"/>
        </w:rPr>
        <w:t>业务管理系统平台收到相关申请的先后时间顺序审核处理基金管理人提交的</w:t>
      </w:r>
      <w:r>
        <w:rPr>
          <w:rFonts w:hint="eastAsia" w:ascii="Times New Roman" w:hAnsi="Times New Roman" w:eastAsia="仿宋_GB2312" w:cs="宋体"/>
          <w:color w:val="000000"/>
          <w:kern w:val="0"/>
          <w:sz w:val="24"/>
        </w:rPr>
        <w:t>REITs</w:t>
      </w:r>
      <w:r>
        <w:rPr>
          <w:rFonts w:hint="eastAsia" w:ascii="仿宋_GB2312" w:hAnsi="仿宋" w:eastAsia="仿宋_GB2312" w:cs="宋体"/>
          <w:color w:val="000000"/>
          <w:kern w:val="0"/>
          <w:sz w:val="24"/>
        </w:rPr>
        <w:t>代码申请，基金管理人可通过</w:t>
      </w:r>
      <w:r>
        <w:rPr>
          <w:rFonts w:hint="eastAsia" w:ascii="Times New Roman" w:hAnsi="Times New Roman" w:eastAsia="仿宋_GB2312" w:cs="宋体"/>
          <w:color w:val="000000"/>
          <w:kern w:val="0"/>
          <w:sz w:val="24"/>
        </w:rPr>
        <w:t>REITs</w:t>
      </w:r>
      <w:r>
        <w:rPr>
          <w:rFonts w:hint="eastAsia" w:ascii="仿宋_GB2312" w:hAnsi="仿宋" w:eastAsia="仿宋_GB2312" w:cs="宋体"/>
          <w:color w:val="000000"/>
          <w:kern w:val="0"/>
          <w:sz w:val="24"/>
        </w:rPr>
        <w:t>业务管理系统平台查看已分配的基金代码。综合考虑市场发展需要，个别</w:t>
      </w:r>
      <w:r>
        <w:rPr>
          <w:rFonts w:hint="eastAsia" w:ascii="Times New Roman" w:hAnsi="Times New Roman" w:eastAsia="仿宋_GB2312" w:cs="宋体"/>
          <w:color w:val="000000"/>
          <w:kern w:val="0"/>
          <w:sz w:val="24"/>
        </w:rPr>
        <w:t>REITs</w:t>
      </w:r>
      <w:r>
        <w:rPr>
          <w:rFonts w:hint="eastAsia" w:ascii="仿宋_GB2312" w:hAnsi="仿宋" w:eastAsia="仿宋_GB2312" w:cs="宋体"/>
          <w:color w:val="000000"/>
          <w:kern w:val="0"/>
          <w:sz w:val="24"/>
        </w:rPr>
        <w:t>的代码、简称由本所进行协调确认。</w:t>
      </w:r>
    </w:p>
    <w:p w14:paraId="44427B87">
      <w:pPr>
        <w:snapToGrid w:val="0"/>
        <w:spacing w:line="360" w:lineRule="auto"/>
        <w:rPr>
          <w:rFonts w:hint="eastAsia" w:ascii="仿宋_GB2312" w:hAnsi="仿宋" w:eastAsia="仿宋_GB2312" w:cs="宋体"/>
          <w:color w:val="000000"/>
          <w:kern w:val="0"/>
          <w:sz w:val="24"/>
        </w:rPr>
      </w:pPr>
    </w:p>
    <w:p w14:paraId="4589D1E5">
      <w:pPr>
        <w:pStyle w:val="37"/>
        <w:numPr>
          <w:ilvl w:val="0"/>
          <w:numId w:val="2"/>
        </w:numPr>
        <w:ind w:firstLineChars="0"/>
        <w:outlineLvl w:val="2"/>
        <w:rPr>
          <w:rFonts w:hint="eastAsia" w:ascii="仿宋_GB2312" w:hAnsi="宋体" w:eastAsia="仿宋_GB2312"/>
          <w:b/>
          <w:bCs/>
          <w:sz w:val="28"/>
          <w:szCs w:val="28"/>
        </w:rPr>
      </w:pPr>
      <w:bookmarkStart w:id="136" w:name="_Toc17873"/>
      <w:bookmarkStart w:id="137" w:name="_Toc2091750036"/>
      <w:bookmarkStart w:id="138" w:name="_Toc32076"/>
      <w:bookmarkStart w:id="139" w:name="_Toc1188550097"/>
      <w:bookmarkStart w:id="140" w:name="_Toc839648486"/>
      <w:bookmarkStart w:id="141" w:name="_Toc12999"/>
      <w:bookmarkStart w:id="142" w:name="_Toc3822"/>
      <w:bookmarkStart w:id="143" w:name="_Toc65181413"/>
      <w:bookmarkStart w:id="144" w:name="_Toc29601"/>
      <w:bookmarkStart w:id="145" w:name="_Toc1140630603"/>
      <w:bookmarkStart w:id="146" w:name="_Toc2776"/>
      <w:bookmarkStart w:id="147" w:name="_Toc31823"/>
      <w:bookmarkStart w:id="148" w:name="_Toc70604210"/>
      <w:bookmarkStart w:id="149" w:name="_Toc159561917"/>
      <w:bookmarkStart w:id="150" w:name="_Toc315296452"/>
      <w:bookmarkStart w:id="151" w:name="_Toc28072"/>
      <w:bookmarkStart w:id="152" w:name="_Toc11034"/>
      <w:bookmarkStart w:id="153" w:name="_Toc17595"/>
      <w:bookmarkStart w:id="154" w:name="_Toc28463"/>
      <w:bookmarkStart w:id="155" w:name="_Toc15956"/>
      <w:bookmarkStart w:id="156" w:name="_Toc17689"/>
      <w:bookmarkStart w:id="157" w:name="_Toc3317"/>
      <w:bookmarkStart w:id="158" w:name="_Toc1960561719"/>
      <w:bookmarkStart w:id="159" w:name="_Toc22155"/>
      <w:bookmarkStart w:id="160" w:name="_Toc18135"/>
      <w:r>
        <w:rPr>
          <w:rFonts w:hint="eastAsia" w:ascii="仿宋_GB2312" w:hAnsi="宋体" w:eastAsia="仿宋_GB2312"/>
          <w:b/>
          <w:bCs/>
          <w:sz w:val="28"/>
          <w:szCs w:val="28"/>
        </w:rPr>
        <w:t>询价平台发行人指定</w:t>
      </w:r>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r>
        <w:rPr>
          <w:rFonts w:hint="eastAsia" w:ascii="仿宋_GB2312" w:hAnsi="宋体" w:eastAsia="仿宋_GB2312"/>
          <w:b/>
          <w:bCs/>
          <w:sz w:val="28"/>
          <w:szCs w:val="28"/>
        </w:rPr>
        <w:tab/>
      </w:r>
    </w:p>
    <w:p w14:paraId="53460E97">
      <w:pPr>
        <w:pStyle w:val="13"/>
        <w:numPr>
          <w:ilvl w:val="1"/>
          <w:numId w:val="20"/>
        </w:numPr>
        <w:snapToGrid w:val="0"/>
        <w:spacing w:before="0" w:beforeAutospacing="0" w:after="0" w:afterAutospacing="0" w:line="360" w:lineRule="auto"/>
        <w:jc w:val="both"/>
        <w:rPr>
          <w:rFonts w:hint="eastAsia" w:ascii="仿宋_GB2312" w:hAnsi="仿宋" w:eastAsia="仿宋_GB2312"/>
        </w:rPr>
      </w:pPr>
      <w:r>
        <w:rPr>
          <w:rFonts w:hint="eastAsia" w:ascii="仿宋_GB2312" w:hAnsi="仿宋" w:eastAsia="仿宋_GB2312"/>
        </w:rPr>
        <w:t>注意事项：</w:t>
      </w:r>
    </w:p>
    <w:p w14:paraId="41AA8CE0">
      <w:pPr>
        <w:pStyle w:val="13"/>
        <w:numPr>
          <w:ilvl w:val="0"/>
          <w:numId w:val="21"/>
        </w:numPr>
        <w:snapToGrid w:val="0"/>
        <w:spacing w:before="0" w:beforeAutospacing="0" w:after="0" w:afterAutospacing="0" w:line="360" w:lineRule="auto"/>
        <w:ind w:left="851" w:firstLine="0"/>
        <w:jc w:val="both"/>
        <w:rPr>
          <w:rFonts w:hint="eastAsia" w:ascii="仿宋_GB2312" w:hAnsi="仿宋" w:eastAsia="仿宋_GB2312"/>
        </w:rPr>
      </w:pPr>
      <w:r>
        <w:rPr>
          <w:rFonts w:hint="eastAsia" w:ascii="仿宋_GB2312" w:hAnsi="仿宋" w:eastAsia="仿宋_GB2312"/>
        </w:rPr>
        <w:t>询价平台发行人可以为</w:t>
      </w:r>
      <w:r>
        <w:rPr>
          <w:rFonts w:ascii="仿宋_GB2312" w:hAnsi="仿宋" w:eastAsia="仿宋_GB2312"/>
        </w:rPr>
        <w:t>基金管理人或</w:t>
      </w:r>
      <w:r>
        <w:rPr>
          <w:rFonts w:hint="eastAsia" w:ascii="仿宋_GB2312" w:hAnsi="仿宋" w:eastAsia="仿宋_GB2312"/>
        </w:rPr>
        <w:t>其</w:t>
      </w:r>
      <w:r>
        <w:rPr>
          <w:rFonts w:ascii="仿宋_GB2312" w:hAnsi="仿宋" w:eastAsia="仿宋_GB2312"/>
        </w:rPr>
        <w:t>指定的</w:t>
      </w:r>
      <w:r>
        <w:rPr>
          <w:rFonts w:hint="eastAsia" w:ascii="仿宋_GB2312" w:hAnsi="仿宋" w:eastAsia="仿宋_GB2312"/>
        </w:rPr>
        <w:t>财务顾问，发行人在</w:t>
      </w:r>
      <w:r>
        <w:rPr>
          <w:rFonts w:ascii="仿宋_GB2312" w:hAnsi="仿宋" w:eastAsia="仿宋_GB2312"/>
        </w:rPr>
        <w:t>询价平台</w:t>
      </w:r>
      <w:r>
        <w:rPr>
          <w:rFonts w:hint="eastAsia" w:ascii="仿宋_GB2312" w:hAnsi="仿宋" w:eastAsia="仿宋_GB2312"/>
        </w:rPr>
        <w:t>办理网下询价、认购等</w:t>
      </w:r>
      <w:r>
        <w:rPr>
          <w:rFonts w:ascii="仿宋_GB2312" w:hAnsi="仿宋" w:eastAsia="仿宋_GB2312"/>
        </w:rPr>
        <w:t>业务</w:t>
      </w:r>
      <w:r>
        <w:rPr>
          <w:rFonts w:hint="eastAsia" w:ascii="仿宋_GB2312" w:hAnsi="仿宋" w:eastAsia="仿宋_GB2312"/>
        </w:rPr>
        <w:t>；</w:t>
      </w:r>
    </w:p>
    <w:p w14:paraId="46EB34EE">
      <w:pPr>
        <w:pStyle w:val="13"/>
        <w:numPr>
          <w:ilvl w:val="0"/>
          <w:numId w:val="21"/>
        </w:numPr>
        <w:snapToGrid w:val="0"/>
        <w:spacing w:before="0" w:beforeAutospacing="0" w:after="0" w:afterAutospacing="0" w:line="360" w:lineRule="auto"/>
        <w:ind w:left="851" w:firstLine="0"/>
        <w:jc w:val="both"/>
        <w:rPr>
          <w:rFonts w:hint="eastAsia" w:ascii="仿宋_GB2312" w:hAnsi="仿宋" w:eastAsia="仿宋_GB2312"/>
        </w:rPr>
      </w:pPr>
      <w:r>
        <w:rPr>
          <w:rFonts w:ascii="仿宋_GB2312" w:hAnsi="仿宋" w:eastAsia="仿宋_GB2312"/>
        </w:rPr>
        <w:t>基金管理人通过</w:t>
      </w:r>
      <w:r>
        <w:rPr>
          <w:rFonts w:hint="eastAsia" w:ascii="Times New Roman" w:hAnsi="Times New Roman" w:eastAsia="仿宋_GB2312"/>
        </w:rPr>
        <w:t>REITs</w:t>
      </w:r>
      <w:r>
        <w:rPr>
          <w:rFonts w:hint="eastAsia" w:ascii="仿宋_GB2312" w:hAnsi="仿宋" w:eastAsia="仿宋_GB2312"/>
        </w:rPr>
        <w:t>业务管理系统平台</w:t>
      </w:r>
      <w:r>
        <w:rPr>
          <w:rFonts w:ascii="仿宋_GB2312" w:hAnsi="仿宋" w:eastAsia="仿宋_GB2312"/>
        </w:rPr>
        <w:t>指定询价平台发行人后，</w:t>
      </w:r>
      <w:r>
        <w:rPr>
          <w:rFonts w:hint="eastAsia" w:ascii="仿宋_GB2312" w:hAnsi="仿宋" w:eastAsia="仿宋_GB2312"/>
        </w:rPr>
        <w:t>发行人才能在询价平台办理对应基金的网下询价、认购等业务。</w:t>
      </w:r>
    </w:p>
    <w:p w14:paraId="485A7A35">
      <w:pPr>
        <w:pStyle w:val="13"/>
        <w:numPr>
          <w:ilvl w:val="1"/>
          <w:numId w:val="20"/>
        </w:numPr>
        <w:snapToGrid w:val="0"/>
        <w:spacing w:before="0" w:beforeAutospacing="0" w:after="0" w:afterAutospacing="0" w:line="360" w:lineRule="auto"/>
        <w:jc w:val="both"/>
        <w:rPr>
          <w:rFonts w:hint="eastAsia" w:ascii="仿宋_GB2312" w:hAnsi="仿宋" w:eastAsia="仿宋_GB2312"/>
        </w:rPr>
      </w:pPr>
      <w:r>
        <w:rPr>
          <w:rFonts w:hint="eastAsia" w:ascii="仿宋_GB2312" w:hAnsi="仿宋" w:eastAsia="仿宋_GB2312"/>
        </w:rPr>
        <w:t>业务办理流程：</w:t>
      </w:r>
    </w:p>
    <w:p w14:paraId="520F24BC">
      <w:pPr>
        <w:snapToGrid w:val="0"/>
        <w:spacing w:line="360" w:lineRule="auto"/>
        <w:ind w:left="420"/>
        <w:rPr>
          <w:rFonts w:hint="eastAsia" w:ascii="仿宋_GB2312" w:hAnsi="仿宋" w:eastAsia="仿宋_GB2312" w:cs="宋体"/>
          <w:color w:val="000000"/>
          <w:kern w:val="0"/>
          <w:sz w:val="24"/>
        </w:rPr>
      </w:pPr>
    </w:p>
    <w:p w14:paraId="2A012633">
      <w:pPr>
        <w:snapToGrid w:val="0"/>
        <w:spacing w:line="360" w:lineRule="auto"/>
        <w:ind w:left="420"/>
        <w:rPr>
          <w:rFonts w:hint="eastAsia" w:ascii="仿宋_GB2312" w:hAnsi="仿宋" w:eastAsia="仿宋_GB2312" w:cs="宋体"/>
          <w:color w:val="000000"/>
          <w:kern w:val="0"/>
          <w:sz w:val="24"/>
        </w:rPr>
      </w:pPr>
      <w:r>
        <w:rPr>
          <w:rFonts w:hint="eastAsia" w:ascii="仿宋_GB2312" w:hAnsi="仿宋" w:eastAsia="仿宋_GB2312" w:cs="宋体"/>
          <w:color w:val="000000"/>
          <w:kern w:val="0"/>
          <w:sz w:val="24"/>
        </w:rPr>
        <w:t>完成代码、简称申请后</w:t>
      </w:r>
    </w:p>
    <w:p w14:paraId="09234D92">
      <w:pPr>
        <w:numPr>
          <w:ilvl w:val="0"/>
          <w:numId w:val="22"/>
        </w:numPr>
        <w:snapToGrid w:val="0"/>
        <w:spacing w:line="360" w:lineRule="auto"/>
        <w:ind w:firstLine="480" w:firstLineChars="200"/>
        <w:rPr>
          <w:rFonts w:hint="eastAsia" w:ascii="仿宋_GB2312" w:hAnsi="仿宋" w:eastAsia="仿宋_GB2312" w:cs="宋体"/>
          <w:color w:val="000000"/>
          <w:kern w:val="0"/>
          <w:sz w:val="24"/>
        </w:rPr>
      </w:pPr>
      <w:r>
        <w:rPr>
          <w:rFonts w:hint="eastAsia" w:ascii="仿宋_GB2312" w:hAnsi="仿宋" w:eastAsia="仿宋_GB2312" w:cs="宋体"/>
          <w:color w:val="000000"/>
          <w:kern w:val="0"/>
          <w:sz w:val="24"/>
        </w:rPr>
        <w:t>基金管理人通过</w:t>
      </w:r>
      <w:r>
        <w:rPr>
          <w:rFonts w:hint="eastAsia" w:ascii="Times New Roman" w:hAnsi="Times New Roman" w:eastAsia="仿宋_GB2312" w:cs="宋体"/>
          <w:color w:val="000000"/>
          <w:kern w:val="0"/>
          <w:sz w:val="24"/>
        </w:rPr>
        <w:t>REITs</w:t>
      </w:r>
      <w:r>
        <w:rPr>
          <w:rFonts w:hint="eastAsia" w:ascii="仿宋_GB2312" w:hAnsi="仿宋" w:eastAsia="仿宋_GB2312" w:cs="宋体"/>
          <w:color w:val="000000"/>
          <w:kern w:val="0"/>
          <w:sz w:val="24"/>
        </w:rPr>
        <w:t>业务管理系统平台菜单“业务申请-</w:t>
      </w:r>
      <w:r>
        <w:rPr>
          <w:rFonts w:hint="eastAsia" w:ascii="Times New Roman" w:hAnsi="Times New Roman" w:eastAsia="仿宋_GB2312" w:cs="宋体"/>
          <w:color w:val="000000"/>
          <w:kern w:val="0"/>
          <w:sz w:val="24"/>
        </w:rPr>
        <w:t>REITs</w:t>
      </w:r>
      <w:r>
        <w:rPr>
          <w:rFonts w:hint="eastAsia" w:ascii="仿宋_GB2312" w:hAnsi="仿宋" w:eastAsia="仿宋_GB2312" w:cs="宋体"/>
          <w:color w:val="000000"/>
          <w:kern w:val="0"/>
          <w:sz w:val="24"/>
        </w:rPr>
        <w:t>-发行人指定”提交申请，同时提交相关电子形式申请材料，包括：</w:t>
      </w:r>
    </w:p>
    <w:p w14:paraId="2A6381C1">
      <w:pPr>
        <w:numPr>
          <w:ilvl w:val="0"/>
          <w:numId w:val="23"/>
        </w:numPr>
        <w:snapToGrid w:val="0"/>
        <w:spacing w:line="360" w:lineRule="auto"/>
        <w:rPr>
          <w:rFonts w:hint="eastAsia" w:ascii="仿宋_GB2312" w:hAnsi="仿宋" w:eastAsia="仿宋_GB2312" w:cs="宋体"/>
          <w:color w:val="000000"/>
          <w:kern w:val="0"/>
          <w:sz w:val="24"/>
        </w:rPr>
      </w:pPr>
      <w:r>
        <w:rPr>
          <w:rFonts w:hint="eastAsia" w:ascii="仿宋_GB2312" w:hAnsi="仿宋" w:eastAsia="仿宋_GB2312" w:cs="宋体"/>
          <w:color w:val="000000"/>
          <w:sz w:val="24"/>
        </w:rPr>
        <w:t>基金公司指定发行人的授权（如指定财务顾问为发行人，格式参考附件</w:t>
      </w:r>
      <w:r>
        <w:rPr>
          <w:rFonts w:hint="eastAsia" w:ascii="Times New Roman" w:hAnsi="Times New Roman" w:eastAsia="仿宋_GB2312" w:cs="宋体"/>
          <w:color w:val="000000"/>
          <w:sz w:val="24"/>
        </w:rPr>
        <w:t>1</w:t>
      </w:r>
      <w:r>
        <w:rPr>
          <w:rFonts w:hint="eastAsia" w:ascii="仿宋_GB2312" w:hAnsi="仿宋" w:eastAsia="仿宋_GB2312" w:cs="宋体"/>
          <w:color w:val="000000"/>
          <w:sz w:val="24"/>
        </w:rPr>
        <w:t>-</w:t>
      </w:r>
      <w:r>
        <w:rPr>
          <w:rFonts w:hint="eastAsia" w:ascii="Times New Roman" w:hAnsi="Times New Roman" w:eastAsia="仿宋_GB2312" w:cs="宋体"/>
          <w:color w:val="000000"/>
          <w:sz w:val="24"/>
        </w:rPr>
        <w:t>2</w:t>
      </w:r>
      <w:r>
        <w:rPr>
          <w:rFonts w:hint="eastAsia" w:ascii="仿宋_GB2312" w:hAnsi="仿宋" w:eastAsia="仿宋_GB2312" w:cs="宋体"/>
          <w:color w:val="000000"/>
          <w:sz w:val="24"/>
        </w:rPr>
        <w:t>，与申请发行人</w:t>
      </w:r>
      <w:r>
        <w:rPr>
          <w:rFonts w:hint="eastAsia" w:ascii="Times New Roman" w:hAnsi="Times New Roman" w:eastAsia="仿宋_GB2312" w:cs="宋体"/>
          <w:color w:val="000000"/>
          <w:sz w:val="24"/>
        </w:rPr>
        <w:t>CA</w:t>
      </w:r>
      <w:r>
        <w:rPr>
          <w:rFonts w:hint="eastAsia" w:ascii="仿宋_GB2312" w:hAnsi="仿宋" w:eastAsia="仿宋_GB2312" w:cs="宋体"/>
          <w:color w:val="000000"/>
          <w:sz w:val="24"/>
        </w:rPr>
        <w:t>证书时提供的授权文件一致）</w:t>
      </w:r>
      <w:r>
        <w:rPr>
          <w:rFonts w:hint="eastAsia" w:ascii="仿宋_GB2312" w:hAnsi="仿宋" w:eastAsia="仿宋_GB2312" w:cs="宋体"/>
          <w:color w:val="000000"/>
          <w:kern w:val="0"/>
          <w:sz w:val="24"/>
        </w:rPr>
        <w:t>；</w:t>
      </w:r>
    </w:p>
    <w:p w14:paraId="467586EE">
      <w:pPr>
        <w:numPr>
          <w:ilvl w:val="0"/>
          <w:numId w:val="23"/>
        </w:numPr>
        <w:snapToGrid w:val="0"/>
        <w:spacing w:line="360" w:lineRule="auto"/>
        <w:rPr>
          <w:rFonts w:hint="eastAsia" w:ascii="仿宋_GB2312" w:hAnsi="仿宋" w:eastAsia="仿宋_GB2312" w:cs="宋体"/>
          <w:color w:val="000000"/>
          <w:kern w:val="0"/>
          <w:sz w:val="24"/>
        </w:rPr>
      </w:pPr>
      <w:r>
        <w:rPr>
          <w:rFonts w:hint="eastAsia" w:ascii="仿宋_GB2312" w:hAnsi="仿宋" w:eastAsia="仿宋_GB2312" w:cs="宋体"/>
          <w:color w:val="000000"/>
          <w:kern w:val="0"/>
          <w:sz w:val="24"/>
        </w:rPr>
        <w:t>双方签订关于职责归属的协议（如指定财务顾问为发行人，扫描件）；</w:t>
      </w:r>
    </w:p>
    <w:p w14:paraId="25C62CAF">
      <w:pPr>
        <w:numPr>
          <w:ilvl w:val="0"/>
          <w:numId w:val="23"/>
        </w:numPr>
        <w:snapToGrid w:val="0"/>
        <w:spacing w:line="360" w:lineRule="auto"/>
        <w:rPr>
          <w:rFonts w:hint="eastAsia" w:ascii="仿宋_GB2312" w:hAnsi="仿宋" w:eastAsia="仿宋_GB2312" w:cs="宋体"/>
          <w:color w:val="000000"/>
          <w:kern w:val="0"/>
          <w:sz w:val="24"/>
        </w:rPr>
      </w:pPr>
      <w:r>
        <w:rPr>
          <w:rFonts w:hint="eastAsia" w:ascii="仿宋_GB2312" w:hAnsi="仿宋" w:eastAsia="仿宋_GB2312" w:cs="宋体"/>
          <w:color w:val="000000"/>
          <w:kern w:val="0"/>
          <w:sz w:val="24"/>
        </w:rPr>
        <w:t>资质证明材料（如指定财务顾问为发行人，盖章扫描件）；</w:t>
      </w:r>
    </w:p>
    <w:p w14:paraId="3EACEF58">
      <w:pPr>
        <w:numPr>
          <w:ilvl w:val="0"/>
          <w:numId w:val="23"/>
        </w:numPr>
        <w:snapToGrid w:val="0"/>
        <w:spacing w:line="360" w:lineRule="auto"/>
        <w:rPr>
          <w:rFonts w:hint="eastAsia" w:ascii="仿宋_GB2312" w:hAnsi="仿宋" w:eastAsia="仿宋_GB2312" w:cs="宋体"/>
          <w:color w:val="000000"/>
          <w:kern w:val="0"/>
          <w:sz w:val="24"/>
        </w:rPr>
      </w:pPr>
      <w:r>
        <w:rPr>
          <w:rFonts w:hint="eastAsia" w:ascii="仿宋_GB2312" w:hAnsi="仿宋" w:eastAsia="仿宋_GB2312" w:cs="宋体"/>
          <w:color w:val="000000"/>
          <w:kern w:val="0"/>
          <w:sz w:val="24"/>
        </w:rPr>
        <w:t>本所要求的其他材料。</w:t>
      </w:r>
    </w:p>
    <w:p w14:paraId="0B66DE89">
      <w:pPr>
        <w:numPr>
          <w:ilvl w:val="0"/>
          <w:numId w:val="12"/>
        </w:numPr>
        <w:snapToGrid w:val="0"/>
        <w:spacing w:line="360" w:lineRule="auto"/>
        <w:ind w:firstLine="480" w:firstLineChars="200"/>
        <w:rPr>
          <w:rFonts w:hint="eastAsia" w:ascii="宋体" w:hAnsi="宋体"/>
          <w:sz w:val="28"/>
          <w:szCs w:val="28"/>
        </w:rPr>
      </w:pPr>
      <w:r>
        <w:rPr>
          <w:rFonts w:hint="eastAsia" w:ascii="仿宋_GB2312" w:hAnsi="仿宋" w:eastAsia="仿宋_GB2312" w:cs="宋体"/>
          <w:color w:val="000000"/>
          <w:kern w:val="0"/>
          <w:sz w:val="24"/>
        </w:rPr>
        <w:t>基金管理人、财务顾问若无本所</w:t>
      </w:r>
      <w:r>
        <w:rPr>
          <w:rFonts w:hint="eastAsia" w:ascii="Times New Roman" w:hAnsi="Times New Roman" w:eastAsia="仿宋_GB2312" w:cs="宋体"/>
          <w:color w:val="000000"/>
          <w:kern w:val="0"/>
          <w:sz w:val="24"/>
        </w:rPr>
        <w:t>CA</w:t>
      </w:r>
      <w:r>
        <w:rPr>
          <w:rFonts w:hint="eastAsia" w:ascii="仿宋_GB2312" w:hAnsi="仿宋" w:eastAsia="仿宋_GB2312" w:cs="宋体"/>
          <w:color w:val="000000"/>
          <w:kern w:val="0"/>
          <w:sz w:val="24"/>
        </w:rPr>
        <w:t>证书，需按证书申请流程提交材料办理</w:t>
      </w:r>
      <w:r>
        <w:rPr>
          <w:rFonts w:hint="eastAsia" w:ascii="Times New Roman" w:hAnsi="Times New Roman" w:eastAsia="仿宋_GB2312" w:cs="宋体"/>
          <w:color w:val="000000"/>
          <w:kern w:val="0"/>
          <w:sz w:val="24"/>
        </w:rPr>
        <w:t>CA</w:t>
      </w:r>
      <w:r>
        <w:rPr>
          <w:rFonts w:hint="eastAsia" w:ascii="仿宋_GB2312" w:hAnsi="仿宋" w:eastAsia="仿宋_GB2312" w:cs="宋体"/>
          <w:color w:val="000000"/>
          <w:kern w:val="0"/>
          <w:sz w:val="24"/>
        </w:rPr>
        <w:t>证书申请，用于相关业务线上申请事宜（证书申请流程参见本节“(一)数字证书申请”内容）。</w:t>
      </w:r>
    </w:p>
    <w:p w14:paraId="0473DFE7">
      <w:pPr>
        <w:widowControl/>
        <w:jc w:val="left"/>
        <w:rPr>
          <w:rFonts w:hint="eastAsia" w:ascii="黑体" w:hAnsi="黑体" w:eastAsia="黑体" w:cstheme="minorBidi"/>
          <w:b/>
          <w:sz w:val="30"/>
          <w:szCs w:val="30"/>
        </w:rPr>
      </w:pPr>
      <w:bookmarkStart w:id="161" w:name="_Toc2406"/>
      <w:bookmarkStart w:id="162" w:name="_Toc799"/>
      <w:bookmarkStart w:id="163" w:name="_Toc15009"/>
      <w:bookmarkStart w:id="164" w:name="_Toc10175"/>
      <w:bookmarkStart w:id="165" w:name="_Toc18454"/>
      <w:bookmarkStart w:id="166" w:name="_Toc29963"/>
      <w:bookmarkStart w:id="167" w:name="_Toc14855"/>
      <w:bookmarkStart w:id="168" w:name="_Toc22160"/>
      <w:bookmarkStart w:id="169" w:name="_Toc12418"/>
      <w:bookmarkStart w:id="170" w:name="_Toc23144"/>
      <w:bookmarkStart w:id="171" w:name="_Toc18722"/>
      <w:bookmarkStart w:id="172" w:name="_Toc19025"/>
      <w:bookmarkStart w:id="173" w:name="_Toc18714"/>
      <w:bookmarkStart w:id="174" w:name="_Toc65181414"/>
      <w:bookmarkStart w:id="175" w:name="_Toc8736"/>
      <w:bookmarkStart w:id="176" w:name="_Toc5433"/>
      <w:bookmarkStart w:id="177" w:name="_Toc24137"/>
      <w:r>
        <w:rPr>
          <w:rFonts w:ascii="黑体" w:hAnsi="黑体" w:eastAsia="黑体"/>
          <w:b/>
          <w:sz w:val="30"/>
          <w:szCs w:val="30"/>
        </w:rPr>
        <w:br w:type="page"/>
      </w:r>
    </w:p>
    <w:p w14:paraId="6C6141E2">
      <w:pPr>
        <w:pStyle w:val="30"/>
        <w:numPr>
          <w:ilvl w:val="0"/>
          <w:numId w:val="1"/>
        </w:numPr>
        <w:ind w:left="0" w:firstLine="6" w:firstLineChars="0"/>
        <w:outlineLvl w:val="1"/>
        <w:rPr>
          <w:rFonts w:hint="eastAsia" w:ascii="黑体" w:hAnsi="黑体" w:eastAsia="黑体"/>
          <w:b/>
          <w:sz w:val="30"/>
          <w:szCs w:val="30"/>
        </w:rPr>
      </w:pPr>
      <w:bookmarkStart w:id="178" w:name="_Toc165136130"/>
      <w:bookmarkStart w:id="179" w:name="_Toc1264363010"/>
      <w:bookmarkStart w:id="180" w:name="_Toc635096625"/>
      <w:bookmarkStart w:id="181" w:name="_Toc975484781"/>
      <w:bookmarkStart w:id="182" w:name="_Toc409685470"/>
      <w:bookmarkStart w:id="183" w:name="_Toc1494202136"/>
      <w:bookmarkStart w:id="184" w:name="_Toc70604211"/>
      <w:bookmarkStart w:id="185" w:name="_Toc221322344"/>
      <w:r>
        <w:rPr>
          <w:rFonts w:hint="eastAsia" w:ascii="黑体" w:hAnsi="黑体" w:eastAsia="黑体"/>
          <w:b/>
          <w:sz w:val="30"/>
          <w:szCs w:val="30"/>
        </w:rPr>
        <w:t>询价</w:t>
      </w:r>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p>
    <w:p w14:paraId="6A29784E">
      <w:pPr>
        <w:pStyle w:val="30"/>
        <w:numPr>
          <w:ilvl w:val="0"/>
          <w:numId w:val="24"/>
        </w:numPr>
        <w:ind w:firstLineChars="0"/>
        <w:outlineLvl w:val="2"/>
        <w:rPr>
          <w:rFonts w:hint="eastAsia" w:ascii="仿宋_GB2312" w:hAnsi="宋体" w:eastAsia="仿宋_GB2312"/>
          <w:b/>
          <w:sz w:val="28"/>
          <w:szCs w:val="28"/>
        </w:rPr>
      </w:pPr>
      <w:bookmarkStart w:id="186" w:name="_Toc25049"/>
      <w:bookmarkStart w:id="187" w:name="_Toc5437"/>
      <w:bookmarkStart w:id="188" w:name="_Toc22424"/>
      <w:bookmarkStart w:id="189" w:name="_Toc11820"/>
      <w:bookmarkStart w:id="190" w:name="_Toc23037"/>
      <w:bookmarkStart w:id="191" w:name="_Toc24483"/>
      <w:bookmarkStart w:id="192" w:name="_Toc824"/>
      <w:bookmarkStart w:id="193" w:name="_Toc10985"/>
      <w:bookmarkStart w:id="194" w:name="_Toc23680"/>
      <w:bookmarkStart w:id="195" w:name="_Toc29328"/>
      <w:bookmarkStart w:id="196" w:name="_Toc5320"/>
      <w:bookmarkStart w:id="197" w:name="_Toc23711"/>
      <w:bookmarkStart w:id="198" w:name="_Toc2140"/>
      <w:bookmarkStart w:id="199" w:name="_Toc23562"/>
      <w:bookmarkStart w:id="200" w:name="_Toc19982"/>
      <w:bookmarkStart w:id="201" w:name="_Toc970399567"/>
      <w:bookmarkStart w:id="202" w:name="_Toc6522"/>
      <w:bookmarkStart w:id="203" w:name="_Toc750519532"/>
      <w:bookmarkStart w:id="204" w:name="_Toc872948162"/>
      <w:bookmarkStart w:id="205" w:name="_Toc65181415"/>
      <w:bookmarkStart w:id="206" w:name="_Toc70604212"/>
      <w:bookmarkStart w:id="207" w:name="_Toc1248241488"/>
      <w:bookmarkStart w:id="208" w:name="_Toc236003131"/>
      <w:bookmarkStart w:id="209" w:name="_Toc936939419"/>
      <w:bookmarkStart w:id="210" w:name="_Toc1250600818"/>
      <w:r>
        <w:rPr>
          <w:rFonts w:hint="eastAsia" w:ascii="仿宋_GB2312" w:hAnsi="宋体" w:eastAsia="仿宋_GB2312"/>
          <w:b/>
          <w:sz w:val="28"/>
          <w:szCs w:val="28"/>
        </w:rPr>
        <w:t>发售申请</w:t>
      </w:r>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r>
        <w:rPr>
          <w:rFonts w:hint="eastAsia" w:ascii="仿宋_GB2312" w:hAnsi="宋体" w:eastAsia="仿宋_GB2312"/>
          <w:b/>
          <w:sz w:val="28"/>
          <w:szCs w:val="28"/>
        </w:rPr>
        <w:t>与受理</w:t>
      </w:r>
      <w:bookmarkEnd w:id="201"/>
      <w:bookmarkEnd w:id="202"/>
      <w:bookmarkEnd w:id="203"/>
      <w:bookmarkEnd w:id="204"/>
      <w:bookmarkEnd w:id="205"/>
      <w:bookmarkEnd w:id="206"/>
      <w:bookmarkEnd w:id="207"/>
      <w:bookmarkEnd w:id="208"/>
      <w:bookmarkEnd w:id="209"/>
      <w:bookmarkEnd w:id="210"/>
    </w:p>
    <w:p w14:paraId="53F93641">
      <w:pPr>
        <w:pStyle w:val="13"/>
        <w:numPr>
          <w:ilvl w:val="1"/>
          <w:numId w:val="22"/>
        </w:numPr>
        <w:snapToGrid w:val="0"/>
        <w:spacing w:before="0" w:beforeAutospacing="0" w:after="0" w:afterAutospacing="0" w:line="360" w:lineRule="auto"/>
        <w:ind w:left="851"/>
        <w:jc w:val="both"/>
        <w:rPr>
          <w:rFonts w:hint="eastAsia" w:ascii="仿宋_GB2312" w:hAnsi="仿宋" w:eastAsia="仿宋_GB2312"/>
        </w:rPr>
      </w:pPr>
      <w:r>
        <w:rPr>
          <w:rFonts w:hint="eastAsia" w:ascii="仿宋_GB2312" w:hAnsi="仿宋" w:eastAsia="仿宋_GB2312"/>
        </w:rPr>
        <w:t>注意事项：首次在本所发售、上市</w:t>
      </w:r>
      <w:r>
        <w:rPr>
          <w:rFonts w:hint="eastAsia" w:ascii="Times New Roman" w:hAnsi="Times New Roman" w:eastAsia="仿宋_GB2312"/>
        </w:rPr>
        <w:t>REITs</w:t>
      </w:r>
      <w:r>
        <w:rPr>
          <w:rFonts w:hint="eastAsia" w:ascii="仿宋_GB2312" w:hAnsi="仿宋" w:eastAsia="仿宋_GB2312"/>
        </w:rPr>
        <w:t>的基金管理人应在发售前完成全天候环境测试，具体流程可参考本章“一、发售前准备</w:t>
      </w:r>
      <w:r>
        <w:rPr>
          <w:rFonts w:ascii="仿宋_GB2312" w:hAnsi="仿宋" w:eastAsia="仿宋_GB2312"/>
        </w:rPr>
        <w:t>-</w:t>
      </w:r>
      <w:r>
        <w:rPr>
          <w:rFonts w:hint="eastAsia" w:ascii="仿宋_GB2312" w:hAnsi="仿宋" w:eastAsia="仿宋_GB2312"/>
        </w:rPr>
        <w:t>(</w:t>
      </w:r>
      <w:r>
        <w:rPr>
          <w:rFonts w:ascii="仿宋_GB2312" w:hAnsi="仿宋" w:eastAsia="仿宋_GB2312"/>
        </w:rPr>
        <w:t>二</w:t>
      </w:r>
      <w:r>
        <w:rPr>
          <w:rFonts w:hint="eastAsia" w:ascii="仿宋_GB2312" w:hAnsi="仿宋" w:eastAsia="仿宋_GB2312"/>
        </w:rPr>
        <w:t>)</w:t>
      </w:r>
      <w:r>
        <w:rPr>
          <w:rFonts w:ascii="仿宋_GB2312" w:hAnsi="仿宋" w:eastAsia="仿宋_GB2312"/>
        </w:rPr>
        <w:t>全天候环境测试”。</w:t>
      </w:r>
    </w:p>
    <w:p w14:paraId="1AA3475D">
      <w:pPr>
        <w:pStyle w:val="13"/>
        <w:numPr>
          <w:ilvl w:val="1"/>
          <w:numId w:val="22"/>
        </w:numPr>
        <w:snapToGrid w:val="0"/>
        <w:spacing w:before="0" w:beforeAutospacing="0" w:after="0" w:afterAutospacing="0" w:line="360" w:lineRule="auto"/>
        <w:jc w:val="both"/>
        <w:rPr>
          <w:rFonts w:hint="eastAsia" w:ascii="仿宋_GB2312" w:hAnsi="仿宋" w:eastAsia="仿宋_GB2312"/>
        </w:rPr>
      </w:pPr>
      <w:r>
        <w:rPr>
          <w:rFonts w:hint="eastAsia" w:ascii="仿宋_GB2312" w:hAnsi="仿宋" w:eastAsia="仿宋_GB2312"/>
        </w:rPr>
        <w:t>申请及审批流程：</w:t>
      </w:r>
    </w:p>
    <w:p w14:paraId="04F575E8">
      <w:pPr>
        <w:pStyle w:val="13"/>
        <w:snapToGrid w:val="0"/>
        <w:spacing w:before="0" w:beforeAutospacing="0" w:after="0" w:afterAutospacing="0" w:line="360" w:lineRule="auto"/>
        <w:ind w:left="420"/>
        <w:jc w:val="both"/>
        <w:rPr>
          <w:rFonts w:hint="eastAsia" w:ascii="仿宋_GB2312" w:hAnsi="仿宋" w:eastAsia="仿宋_GB2312"/>
        </w:rPr>
      </w:pPr>
    </w:p>
    <w:p w14:paraId="57B904D2">
      <w:pPr>
        <w:pStyle w:val="13"/>
        <w:numPr>
          <w:ilvl w:val="0"/>
          <w:numId w:val="18"/>
        </w:numPr>
        <w:snapToGrid w:val="0"/>
        <w:spacing w:before="0" w:beforeAutospacing="0" w:after="0" w:afterAutospacing="0" w:line="360" w:lineRule="auto"/>
        <w:jc w:val="both"/>
        <w:rPr>
          <w:rFonts w:hint="eastAsia" w:ascii="仿宋_GB2312" w:hAnsi="仿宋" w:eastAsia="仿宋_GB2312"/>
        </w:rPr>
      </w:pPr>
      <w:r>
        <w:rPr>
          <w:rFonts w:hint="eastAsia" w:ascii="仿宋_GB2312" w:hAnsi="仿宋" w:eastAsia="仿宋_GB2312"/>
        </w:rPr>
        <w:t>名称释义：</w:t>
      </w:r>
      <w:r>
        <w:rPr>
          <w:rFonts w:hint="eastAsia" w:ascii="Times New Roman" w:hAnsi="Times New Roman" w:eastAsia="仿宋_GB2312"/>
        </w:rPr>
        <w:t>X</w:t>
      </w:r>
      <w:r>
        <w:rPr>
          <w:rFonts w:hint="eastAsia" w:ascii="仿宋_GB2312" w:hAnsi="仿宋" w:eastAsia="仿宋_GB2312"/>
        </w:rPr>
        <w:t>日为询价日</w:t>
      </w:r>
    </w:p>
    <w:p w14:paraId="6FFAC753">
      <w:pPr>
        <w:snapToGrid w:val="0"/>
        <w:spacing w:line="360" w:lineRule="auto"/>
        <w:ind w:left="420"/>
        <w:rPr>
          <w:rFonts w:hint="eastAsia" w:ascii="仿宋_GB2312" w:hAnsi="仿宋" w:eastAsia="仿宋_GB2312" w:cs="宋体"/>
          <w:color w:val="000000"/>
          <w:kern w:val="0"/>
          <w:sz w:val="24"/>
        </w:rPr>
      </w:pPr>
    </w:p>
    <w:p w14:paraId="02BDAF98">
      <w:pPr>
        <w:snapToGrid w:val="0"/>
        <w:spacing w:line="360" w:lineRule="auto"/>
        <w:ind w:left="420"/>
        <w:rPr>
          <w:rFonts w:hint="eastAsia" w:ascii="仿宋_GB2312" w:hAnsi="仿宋" w:eastAsia="仿宋_GB2312" w:cs="宋体"/>
          <w:color w:val="000000"/>
          <w:kern w:val="0"/>
          <w:sz w:val="24"/>
        </w:rPr>
      </w:pPr>
      <w:r>
        <w:rPr>
          <w:rFonts w:ascii="Times New Roman" w:hAnsi="Times New Roman" w:eastAsia="仿宋_GB2312" w:cs="宋体"/>
          <w:color w:val="000000"/>
          <w:kern w:val="0"/>
          <w:sz w:val="24"/>
        </w:rPr>
        <w:t>X</w:t>
      </w:r>
      <w:r>
        <w:rPr>
          <w:rFonts w:ascii="仿宋_GB2312" w:hAnsi="仿宋" w:eastAsia="仿宋_GB2312" w:cs="宋体"/>
          <w:color w:val="000000"/>
          <w:kern w:val="0"/>
          <w:sz w:val="24"/>
        </w:rPr>
        <w:t>-</w:t>
      </w:r>
      <w:r>
        <w:rPr>
          <w:rFonts w:ascii="Times New Roman" w:hAnsi="Times New Roman" w:eastAsia="仿宋_GB2312" w:cs="宋体"/>
          <w:color w:val="000000"/>
          <w:kern w:val="0"/>
          <w:sz w:val="24"/>
        </w:rPr>
        <w:t>8</w:t>
      </w:r>
      <w:r>
        <w:rPr>
          <w:rFonts w:ascii="仿宋_GB2312" w:hAnsi="仿宋" w:eastAsia="仿宋_GB2312" w:cs="宋体"/>
          <w:color w:val="000000"/>
          <w:kern w:val="0"/>
          <w:sz w:val="24"/>
        </w:rPr>
        <w:t>日（含）</w:t>
      </w:r>
      <w:r>
        <w:rPr>
          <w:rFonts w:hint="eastAsia" w:ascii="仿宋_GB2312" w:hAnsi="仿宋" w:eastAsia="仿宋_GB2312" w:cs="宋体"/>
          <w:color w:val="000000"/>
          <w:kern w:val="0"/>
          <w:sz w:val="24"/>
        </w:rPr>
        <w:t>前</w:t>
      </w:r>
    </w:p>
    <w:p w14:paraId="4206182F">
      <w:pPr>
        <w:numPr>
          <w:ilvl w:val="0"/>
          <w:numId w:val="22"/>
        </w:numPr>
        <w:snapToGrid w:val="0"/>
        <w:spacing w:line="360" w:lineRule="auto"/>
        <w:ind w:firstLine="480" w:firstLineChars="200"/>
        <w:rPr>
          <w:rFonts w:hint="eastAsia" w:ascii="仿宋_GB2312" w:hAnsi="仿宋" w:eastAsia="仿宋_GB2312" w:cs="宋体"/>
          <w:color w:val="000000"/>
          <w:kern w:val="0"/>
          <w:sz w:val="24"/>
        </w:rPr>
      </w:pPr>
      <w:r>
        <w:rPr>
          <w:rFonts w:hint="eastAsia" w:ascii="仿宋_GB2312" w:hAnsi="仿宋" w:eastAsia="仿宋_GB2312" w:cs="宋体"/>
          <w:color w:val="000000"/>
          <w:kern w:val="0"/>
          <w:sz w:val="24"/>
        </w:rPr>
        <w:t>基金管理人获得中国证监会批文后，通过</w:t>
      </w:r>
      <w:r>
        <w:rPr>
          <w:rFonts w:hint="eastAsia" w:ascii="Times New Roman" w:hAnsi="Times New Roman" w:eastAsia="仿宋_GB2312" w:cs="宋体"/>
          <w:color w:val="000000"/>
          <w:kern w:val="0"/>
          <w:sz w:val="24"/>
        </w:rPr>
        <w:t>REITs</w:t>
      </w:r>
      <w:r>
        <w:rPr>
          <w:rFonts w:hint="eastAsia" w:ascii="仿宋_GB2312" w:hAnsi="仿宋" w:eastAsia="仿宋_GB2312" w:cs="宋体"/>
          <w:color w:val="000000"/>
          <w:kern w:val="0"/>
          <w:sz w:val="24"/>
        </w:rPr>
        <w:t>业务管理系统平台菜单“业务申请-</w:t>
      </w:r>
      <w:r>
        <w:rPr>
          <w:rFonts w:hint="eastAsia" w:ascii="Times New Roman" w:hAnsi="Times New Roman" w:eastAsia="仿宋_GB2312" w:cs="宋体"/>
          <w:color w:val="000000"/>
          <w:kern w:val="0"/>
          <w:sz w:val="24"/>
        </w:rPr>
        <w:t>REITs</w:t>
      </w:r>
      <w:r>
        <w:rPr>
          <w:rFonts w:hint="eastAsia" w:ascii="仿宋_GB2312" w:hAnsi="仿宋" w:eastAsia="仿宋_GB2312" w:cs="宋体"/>
          <w:color w:val="000000"/>
          <w:kern w:val="0"/>
          <w:sz w:val="24"/>
        </w:rPr>
        <w:t>-询价业务及公告”提交申请，包括业务申请文件和信息披露文件两部分：</w:t>
      </w:r>
    </w:p>
    <w:p w14:paraId="7EDAA53B">
      <w:pPr>
        <w:pStyle w:val="30"/>
        <w:numPr>
          <w:ilvl w:val="0"/>
          <w:numId w:val="25"/>
        </w:numPr>
        <w:snapToGrid w:val="0"/>
        <w:spacing w:line="360" w:lineRule="auto"/>
        <w:ind w:left="1276" w:firstLineChars="0"/>
        <w:rPr>
          <w:rFonts w:hint="eastAsia" w:ascii="仿宋_GB2312" w:hAnsi="仿宋" w:eastAsia="仿宋_GB2312" w:cs="宋体"/>
          <w:color w:val="000000"/>
          <w:kern w:val="0"/>
          <w:sz w:val="24"/>
        </w:rPr>
      </w:pPr>
      <w:r>
        <w:rPr>
          <w:rFonts w:hint="eastAsia" w:ascii="仿宋_GB2312" w:hAnsi="仿宋" w:eastAsia="仿宋_GB2312" w:cs="宋体"/>
          <w:color w:val="000000"/>
          <w:kern w:val="0"/>
          <w:sz w:val="24"/>
        </w:rPr>
        <w:t>业务申请文件：</w:t>
      </w:r>
    </w:p>
    <w:p w14:paraId="2501B754">
      <w:pPr>
        <w:numPr>
          <w:ilvl w:val="0"/>
          <w:numId w:val="26"/>
        </w:numPr>
        <w:snapToGrid w:val="0"/>
        <w:spacing w:line="360" w:lineRule="auto"/>
        <w:rPr>
          <w:rFonts w:hint="eastAsia" w:ascii="仿宋_GB2312" w:hAnsi="仿宋" w:eastAsia="仿宋_GB2312" w:cs="宋体"/>
          <w:color w:val="000000"/>
          <w:kern w:val="0"/>
          <w:sz w:val="24"/>
        </w:rPr>
      </w:pPr>
      <w:r>
        <w:rPr>
          <w:rFonts w:hint="eastAsia" w:ascii="仿宋_GB2312" w:hAnsi="仿宋" w:eastAsia="仿宋_GB2312" w:cs="宋体"/>
          <w:color w:val="000000"/>
          <w:kern w:val="0"/>
          <w:sz w:val="24"/>
        </w:rPr>
        <w:t>发售申请函（格式参考附件</w:t>
      </w:r>
      <w:r>
        <w:rPr>
          <w:rFonts w:hint="eastAsia" w:ascii="Times New Roman" w:hAnsi="Times New Roman" w:eastAsia="仿宋_GB2312" w:cs="宋体"/>
          <w:color w:val="000000"/>
          <w:kern w:val="0"/>
          <w:sz w:val="24"/>
        </w:rPr>
        <w:t>1</w:t>
      </w:r>
      <w:r>
        <w:rPr>
          <w:rFonts w:hint="eastAsia" w:ascii="仿宋_GB2312" w:hAnsi="仿宋" w:eastAsia="仿宋_GB2312" w:cs="宋体"/>
          <w:color w:val="000000"/>
          <w:kern w:val="0"/>
          <w:sz w:val="24"/>
        </w:rPr>
        <w:t>-</w:t>
      </w:r>
      <w:r>
        <w:rPr>
          <w:rFonts w:hint="eastAsia" w:ascii="Times New Roman" w:hAnsi="Times New Roman" w:eastAsia="仿宋_GB2312" w:cs="宋体"/>
          <w:color w:val="000000"/>
          <w:kern w:val="0"/>
          <w:sz w:val="24"/>
        </w:rPr>
        <w:t>8</w:t>
      </w:r>
      <w:r>
        <w:rPr>
          <w:rFonts w:hint="eastAsia" w:ascii="仿宋_GB2312" w:hAnsi="仿宋" w:eastAsia="仿宋_GB2312" w:cs="宋体"/>
          <w:color w:val="000000"/>
          <w:kern w:val="0"/>
          <w:sz w:val="24"/>
        </w:rPr>
        <w:t>，盖章扫描件）；</w:t>
      </w:r>
    </w:p>
    <w:p w14:paraId="4DE2E4C3">
      <w:pPr>
        <w:numPr>
          <w:ilvl w:val="0"/>
          <w:numId w:val="26"/>
        </w:numPr>
        <w:snapToGrid w:val="0"/>
        <w:spacing w:line="360" w:lineRule="auto"/>
        <w:rPr>
          <w:rFonts w:hint="eastAsia" w:ascii="仿宋_GB2312" w:hAnsi="仿宋" w:eastAsia="仿宋_GB2312" w:cs="宋体"/>
          <w:color w:val="000000"/>
          <w:kern w:val="0"/>
          <w:sz w:val="24"/>
        </w:rPr>
      </w:pPr>
      <w:r>
        <w:rPr>
          <w:rFonts w:hint="eastAsia" w:ascii="仿宋_GB2312" w:hAnsi="仿宋" w:eastAsia="仿宋_GB2312" w:cs="宋体"/>
          <w:color w:val="000000"/>
          <w:kern w:val="0"/>
          <w:sz w:val="24"/>
        </w:rPr>
        <w:t>中国证监会准予产品注册的正式批文复印件；</w:t>
      </w:r>
    </w:p>
    <w:p w14:paraId="146EDF1D">
      <w:pPr>
        <w:pStyle w:val="30"/>
        <w:numPr>
          <w:ilvl w:val="0"/>
          <w:numId w:val="26"/>
        </w:numPr>
        <w:snapToGrid w:val="0"/>
        <w:spacing w:line="360" w:lineRule="auto"/>
        <w:ind w:firstLineChars="0"/>
        <w:rPr>
          <w:rFonts w:hint="eastAsia" w:ascii="仿宋_GB2312" w:hAnsi="仿宋" w:eastAsia="仿宋_GB2312" w:cs="宋体"/>
          <w:color w:val="000000"/>
          <w:kern w:val="0"/>
          <w:sz w:val="24"/>
        </w:rPr>
      </w:pPr>
      <w:r>
        <w:rPr>
          <w:rFonts w:hint="eastAsia" w:ascii="Times New Roman" w:hAnsi="Times New Roman" w:eastAsia="仿宋_GB2312" w:cs="宋体"/>
          <w:color w:val="000000"/>
          <w:kern w:val="0"/>
          <w:sz w:val="24"/>
        </w:rPr>
        <w:t>REITs</w:t>
      </w:r>
      <w:r>
        <w:rPr>
          <w:rFonts w:hint="eastAsia" w:ascii="仿宋_GB2312" w:hAnsi="仿宋" w:eastAsia="仿宋_GB2312" w:cs="宋体"/>
          <w:color w:val="000000"/>
          <w:kern w:val="0"/>
          <w:sz w:val="24"/>
        </w:rPr>
        <w:t>全天候环境测试反馈表（如有，盖章扫描件）；</w:t>
      </w:r>
    </w:p>
    <w:p w14:paraId="7C721FF1">
      <w:pPr>
        <w:pStyle w:val="30"/>
        <w:numPr>
          <w:ilvl w:val="0"/>
          <w:numId w:val="26"/>
        </w:numPr>
        <w:snapToGrid w:val="0"/>
        <w:spacing w:line="360" w:lineRule="auto"/>
        <w:ind w:firstLineChars="0"/>
        <w:rPr>
          <w:rFonts w:hint="eastAsia" w:ascii="仿宋_GB2312" w:hAnsi="仿宋" w:eastAsia="仿宋_GB2312" w:cs="宋体"/>
          <w:color w:val="000000"/>
          <w:kern w:val="0"/>
          <w:sz w:val="24"/>
        </w:rPr>
      </w:pPr>
      <w:r>
        <w:rPr>
          <w:rFonts w:hint="eastAsia" w:ascii="仿宋_GB2312" w:hAnsi="仿宋" w:eastAsia="仿宋_GB2312" w:cs="宋体"/>
          <w:color w:val="000000"/>
          <w:kern w:val="0"/>
          <w:sz w:val="24"/>
        </w:rPr>
        <w:t>基金管理人、财务顾问（如有）及原始权益人对</w:t>
      </w:r>
      <w:r>
        <w:rPr>
          <w:rFonts w:hint="eastAsia" w:ascii="Times New Roman" w:hAnsi="Times New Roman" w:eastAsia="仿宋_GB2312" w:cs="宋体"/>
          <w:color w:val="000000"/>
          <w:kern w:val="0"/>
          <w:sz w:val="24"/>
        </w:rPr>
        <w:t>REITs</w:t>
      </w:r>
      <w:r>
        <w:rPr>
          <w:rFonts w:hint="eastAsia" w:ascii="仿宋_GB2312" w:hAnsi="仿宋" w:eastAsia="仿宋_GB2312" w:cs="宋体"/>
          <w:color w:val="000000"/>
          <w:kern w:val="0"/>
          <w:sz w:val="24"/>
        </w:rPr>
        <w:t>获准注册至发售前不存在可能对</w:t>
      </w:r>
      <w:r>
        <w:rPr>
          <w:rFonts w:hint="eastAsia" w:ascii="Times New Roman" w:hAnsi="Times New Roman" w:eastAsia="仿宋_GB2312" w:cs="宋体"/>
          <w:color w:val="000000"/>
          <w:kern w:val="0"/>
          <w:sz w:val="24"/>
        </w:rPr>
        <w:t>REITs</w:t>
      </w:r>
      <w:r>
        <w:rPr>
          <w:rFonts w:hint="eastAsia" w:ascii="仿宋_GB2312" w:hAnsi="仿宋" w:eastAsia="仿宋_GB2312" w:cs="宋体"/>
          <w:color w:val="000000"/>
          <w:kern w:val="0"/>
          <w:sz w:val="24"/>
        </w:rPr>
        <w:t>投资价值及投资决策判断有重大影响的事项的承诺（盖章扫描件）；</w:t>
      </w:r>
    </w:p>
    <w:p w14:paraId="41405A89">
      <w:pPr>
        <w:pStyle w:val="30"/>
        <w:numPr>
          <w:ilvl w:val="0"/>
          <w:numId w:val="26"/>
        </w:numPr>
        <w:snapToGrid w:val="0"/>
        <w:spacing w:line="360" w:lineRule="auto"/>
        <w:ind w:firstLineChars="0"/>
        <w:rPr>
          <w:rFonts w:hint="eastAsia" w:ascii="仿宋_GB2312" w:hAnsi="仿宋" w:eastAsia="仿宋_GB2312" w:cs="宋体"/>
          <w:color w:val="000000"/>
          <w:kern w:val="0"/>
          <w:sz w:val="24"/>
        </w:rPr>
      </w:pPr>
      <w:r>
        <w:rPr>
          <w:rFonts w:hint="eastAsia" w:ascii="仿宋_GB2312" w:hAnsi="仿宋" w:eastAsia="仿宋_GB2312" w:cs="宋体"/>
          <w:color w:val="000000"/>
          <w:kern w:val="0"/>
          <w:sz w:val="24"/>
        </w:rPr>
        <w:t>基金管理人、财务顾问（如有）对战略投资者的选取标准、配售资格，以及是否存在相关禁止性情形进行核查的文件以及律师事务所出具的相应法律意见书（盖章扫描件）；</w:t>
      </w:r>
    </w:p>
    <w:p w14:paraId="5CDE0885">
      <w:pPr>
        <w:pStyle w:val="30"/>
        <w:numPr>
          <w:ilvl w:val="0"/>
          <w:numId w:val="26"/>
        </w:numPr>
        <w:snapToGrid w:val="0"/>
        <w:spacing w:line="360" w:lineRule="auto"/>
        <w:ind w:firstLineChars="0"/>
        <w:rPr>
          <w:rFonts w:hint="eastAsia" w:ascii="仿宋_GB2312" w:hAnsi="仿宋" w:eastAsia="仿宋_GB2312" w:cs="宋体"/>
          <w:color w:val="000000"/>
          <w:kern w:val="0"/>
          <w:sz w:val="24"/>
        </w:rPr>
      </w:pPr>
      <w:r>
        <w:rPr>
          <w:rFonts w:hint="eastAsia" w:ascii="仿宋_GB2312" w:hAnsi="仿宋" w:eastAsia="仿宋_GB2312" w:cs="宋体"/>
          <w:color w:val="000000"/>
          <w:kern w:val="0"/>
          <w:sz w:val="24"/>
        </w:rPr>
        <w:t>原始权益人与同一控制下关联方的董事、监事及高级管理人员设立专项资产管理计划参与战略配售的，应提交设立专项资产管理计划的合同、专项资产管理计划完成基金业协会或银保监会备案的证明文件（扫描件，如有）；</w:t>
      </w:r>
    </w:p>
    <w:p w14:paraId="4CF9AC7C">
      <w:pPr>
        <w:pStyle w:val="30"/>
        <w:numPr>
          <w:ilvl w:val="0"/>
          <w:numId w:val="26"/>
        </w:numPr>
        <w:snapToGrid w:val="0"/>
        <w:spacing w:line="360" w:lineRule="auto"/>
        <w:ind w:firstLineChars="0"/>
        <w:rPr>
          <w:rFonts w:hint="eastAsia" w:ascii="仿宋_GB2312" w:hAnsi="仿宋" w:eastAsia="仿宋_GB2312" w:cs="宋体"/>
          <w:color w:val="000000"/>
          <w:kern w:val="0"/>
          <w:sz w:val="24"/>
        </w:rPr>
      </w:pPr>
      <w:r>
        <w:rPr>
          <w:rFonts w:hint="eastAsia" w:ascii="仿宋_GB2312" w:hAnsi="仿宋" w:eastAsia="仿宋_GB2312" w:cs="宋体"/>
          <w:color w:val="000000"/>
          <w:kern w:val="0"/>
          <w:sz w:val="24"/>
        </w:rPr>
        <w:t>《证券登记服务协议》及其相关附加协议的复印件；</w:t>
      </w:r>
    </w:p>
    <w:p w14:paraId="215AE68B">
      <w:pPr>
        <w:pStyle w:val="30"/>
        <w:numPr>
          <w:ilvl w:val="0"/>
          <w:numId w:val="26"/>
        </w:numPr>
        <w:snapToGrid w:val="0"/>
        <w:spacing w:line="360" w:lineRule="auto"/>
        <w:ind w:firstLineChars="0"/>
        <w:rPr>
          <w:rFonts w:hint="eastAsia" w:ascii="仿宋_GB2312" w:hAnsi="仿宋" w:eastAsia="仿宋_GB2312" w:cs="宋体"/>
          <w:color w:val="000000"/>
          <w:kern w:val="0"/>
          <w:sz w:val="24"/>
        </w:rPr>
      </w:pPr>
      <w:r>
        <w:rPr>
          <w:rFonts w:hint="eastAsia" w:ascii="仿宋_GB2312" w:hAnsi="仿宋" w:eastAsia="仿宋_GB2312" w:cs="宋体"/>
          <w:color w:val="000000"/>
          <w:kern w:val="0"/>
          <w:sz w:val="24"/>
        </w:rPr>
        <w:t>基金管理人内部运作管理规范，包括内部运作管理架构、运营操作流程、风险防范措施、指定联系人等（盖章扫描件）；</w:t>
      </w:r>
    </w:p>
    <w:p w14:paraId="374B1FA3">
      <w:pPr>
        <w:pStyle w:val="30"/>
        <w:numPr>
          <w:ilvl w:val="0"/>
          <w:numId w:val="26"/>
        </w:numPr>
        <w:snapToGrid w:val="0"/>
        <w:spacing w:line="360" w:lineRule="auto"/>
        <w:ind w:firstLineChars="0"/>
        <w:rPr>
          <w:rFonts w:hint="eastAsia" w:ascii="仿宋_GB2312" w:hAnsi="仿宋" w:eastAsia="仿宋_GB2312" w:cs="宋体"/>
          <w:color w:val="000000"/>
          <w:kern w:val="0"/>
          <w:sz w:val="24"/>
        </w:rPr>
      </w:pPr>
      <w:r>
        <w:rPr>
          <w:rFonts w:hint="eastAsia" w:ascii="仿宋_GB2312" w:hAnsi="仿宋" w:eastAsia="仿宋_GB2312" w:cs="宋体"/>
          <w:color w:val="000000"/>
          <w:kern w:val="0"/>
          <w:sz w:val="24"/>
        </w:rPr>
        <w:t>发行人关于</w:t>
      </w:r>
      <w:r>
        <w:rPr>
          <w:rFonts w:hint="eastAsia" w:ascii="Times New Roman" w:hAnsi="Times New Roman" w:eastAsia="仿宋_GB2312" w:cs="宋体"/>
          <w:color w:val="000000"/>
          <w:kern w:val="0"/>
          <w:sz w:val="24"/>
        </w:rPr>
        <w:t>REITs</w:t>
      </w:r>
      <w:r>
        <w:rPr>
          <w:rFonts w:hint="eastAsia" w:ascii="仿宋_GB2312" w:hAnsi="仿宋" w:eastAsia="仿宋_GB2312" w:cs="宋体"/>
          <w:color w:val="000000"/>
          <w:kern w:val="0"/>
          <w:sz w:val="24"/>
        </w:rPr>
        <w:t>发售上市业务自查和承诺反馈表（格式参考附件</w:t>
      </w:r>
      <w:r>
        <w:rPr>
          <w:rFonts w:hint="eastAsia" w:ascii="Times New Roman" w:hAnsi="Times New Roman" w:eastAsia="仿宋_GB2312" w:cs="宋体"/>
          <w:color w:val="000000"/>
          <w:kern w:val="0"/>
          <w:sz w:val="24"/>
        </w:rPr>
        <w:t>1</w:t>
      </w:r>
      <w:r>
        <w:rPr>
          <w:rFonts w:hint="eastAsia" w:ascii="仿宋_GB2312" w:hAnsi="仿宋" w:eastAsia="仿宋_GB2312" w:cs="宋体"/>
          <w:color w:val="000000"/>
          <w:kern w:val="0"/>
          <w:sz w:val="24"/>
        </w:rPr>
        <w:t>-</w:t>
      </w:r>
      <w:r>
        <w:rPr>
          <w:rFonts w:hint="eastAsia" w:ascii="Times New Roman" w:hAnsi="Times New Roman" w:eastAsia="仿宋_GB2312" w:cs="宋体"/>
          <w:color w:val="000000"/>
          <w:kern w:val="0"/>
          <w:sz w:val="24"/>
        </w:rPr>
        <w:t>9</w:t>
      </w:r>
      <w:r>
        <w:rPr>
          <w:rFonts w:hint="eastAsia" w:ascii="仿宋_GB2312" w:hAnsi="仿宋" w:eastAsia="仿宋_GB2312" w:cs="宋体"/>
          <w:color w:val="000000"/>
          <w:kern w:val="0"/>
          <w:sz w:val="24"/>
        </w:rPr>
        <w:t>，盖章扫描件）；</w:t>
      </w:r>
    </w:p>
    <w:p w14:paraId="58099272">
      <w:pPr>
        <w:pStyle w:val="30"/>
        <w:numPr>
          <w:ilvl w:val="0"/>
          <w:numId w:val="26"/>
        </w:numPr>
        <w:snapToGrid w:val="0"/>
        <w:spacing w:line="360" w:lineRule="auto"/>
        <w:ind w:firstLineChars="0"/>
        <w:rPr>
          <w:rFonts w:hint="eastAsia" w:ascii="仿宋_GB2312" w:hAnsi="仿宋" w:eastAsia="仿宋_GB2312" w:cs="宋体"/>
          <w:color w:val="000000"/>
          <w:kern w:val="0"/>
          <w:sz w:val="24"/>
        </w:rPr>
      </w:pPr>
      <w:r>
        <w:rPr>
          <w:rFonts w:hint="eastAsia" w:ascii="仿宋_GB2312" w:hAnsi="仿宋" w:eastAsia="仿宋_GB2312" w:cs="宋体"/>
          <w:color w:val="000000"/>
          <w:kern w:val="0"/>
          <w:sz w:val="24"/>
        </w:rPr>
        <w:t>提交报备文件与对外披露文件一致的承诺函（盖章扫描件）；</w:t>
      </w:r>
    </w:p>
    <w:p w14:paraId="0243FE47">
      <w:pPr>
        <w:numPr>
          <w:ilvl w:val="0"/>
          <w:numId w:val="26"/>
        </w:numPr>
        <w:snapToGrid w:val="0"/>
        <w:spacing w:line="360" w:lineRule="auto"/>
        <w:rPr>
          <w:rFonts w:hint="eastAsia" w:ascii="仿宋_GB2312" w:hAnsi="仿宋" w:eastAsia="仿宋_GB2312" w:cs="宋体"/>
          <w:color w:val="000000"/>
          <w:kern w:val="0"/>
          <w:sz w:val="24"/>
        </w:rPr>
      </w:pPr>
      <w:r>
        <w:rPr>
          <w:rFonts w:hint="eastAsia" w:ascii="仿宋_GB2312" w:hAnsi="仿宋" w:eastAsia="仿宋_GB2312" w:cs="宋体"/>
          <w:color w:val="000000"/>
          <w:kern w:val="0"/>
          <w:sz w:val="24"/>
        </w:rPr>
        <w:t>本所要求的其他材料。</w:t>
      </w:r>
    </w:p>
    <w:p w14:paraId="057E9BA0">
      <w:pPr>
        <w:pStyle w:val="30"/>
        <w:snapToGrid w:val="0"/>
        <w:spacing w:line="360" w:lineRule="auto"/>
        <w:ind w:left="1276" w:firstLine="0" w:firstLineChars="0"/>
        <w:rPr>
          <w:rFonts w:hint="eastAsia" w:ascii="仿宋_GB2312" w:hAnsi="仿宋" w:eastAsia="仿宋_GB2312" w:cs="宋体"/>
          <w:color w:val="000000"/>
          <w:kern w:val="0"/>
          <w:sz w:val="24"/>
        </w:rPr>
      </w:pPr>
    </w:p>
    <w:p w14:paraId="6524F495">
      <w:pPr>
        <w:pStyle w:val="30"/>
        <w:numPr>
          <w:ilvl w:val="0"/>
          <w:numId w:val="25"/>
        </w:numPr>
        <w:snapToGrid w:val="0"/>
        <w:spacing w:line="360" w:lineRule="auto"/>
        <w:ind w:left="1276" w:firstLineChars="0"/>
        <w:rPr>
          <w:rFonts w:hint="eastAsia" w:ascii="仿宋_GB2312" w:hAnsi="仿宋" w:eastAsia="仿宋_GB2312" w:cs="宋体"/>
          <w:color w:val="000000"/>
          <w:kern w:val="0"/>
          <w:sz w:val="24"/>
        </w:rPr>
      </w:pPr>
      <w:r>
        <w:rPr>
          <w:rFonts w:hint="eastAsia" w:ascii="仿宋_GB2312" w:hAnsi="仿宋" w:eastAsia="仿宋_GB2312" w:cs="宋体"/>
          <w:color w:val="000000"/>
          <w:kern w:val="0"/>
          <w:sz w:val="24"/>
        </w:rPr>
        <w:t>信息披露文件：</w:t>
      </w:r>
    </w:p>
    <w:p w14:paraId="55C7F673">
      <w:pPr>
        <w:numPr>
          <w:ilvl w:val="0"/>
          <w:numId w:val="27"/>
        </w:numPr>
        <w:snapToGrid w:val="0"/>
        <w:spacing w:line="360" w:lineRule="auto"/>
        <w:rPr>
          <w:rFonts w:hint="eastAsia" w:ascii="仿宋_GB2312" w:hAnsi="仿宋" w:eastAsia="仿宋_GB2312" w:cs="宋体"/>
          <w:color w:val="000000"/>
          <w:kern w:val="0"/>
          <w:sz w:val="24"/>
        </w:rPr>
      </w:pPr>
      <w:r>
        <w:rPr>
          <w:rFonts w:hint="eastAsia" w:ascii="仿宋_GB2312" w:hAnsi="仿宋" w:eastAsia="仿宋_GB2312" w:cs="宋体"/>
          <w:color w:val="000000"/>
          <w:kern w:val="0"/>
          <w:sz w:val="24"/>
        </w:rPr>
        <w:t>询价公告（含发售方案，格式参考附件</w:t>
      </w:r>
      <w:r>
        <w:rPr>
          <w:rFonts w:hint="eastAsia" w:ascii="Times New Roman" w:hAnsi="Times New Roman" w:eastAsia="仿宋_GB2312" w:cs="宋体"/>
          <w:color w:val="000000"/>
          <w:kern w:val="0"/>
          <w:sz w:val="24"/>
        </w:rPr>
        <w:t>2</w:t>
      </w:r>
      <w:r>
        <w:rPr>
          <w:rFonts w:hint="eastAsia" w:ascii="仿宋_GB2312" w:hAnsi="仿宋" w:eastAsia="仿宋_GB2312" w:cs="宋体"/>
          <w:color w:val="000000"/>
          <w:kern w:val="0"/>
          <w:sz w:val="24"/>
        </w:rPr>
        <w:t>-</w:t>
      </w:r>
      <w:r>
        <w:rPr>
          <w:rFonts w:hint="eastAsia" w:ascii="Times New Roman" w:hAnsi="Times New Roman" w:eastAsia="仿宋_GB2312" w:cs="宋体"/>
          <w:color w:val="000000"/>
          <w:kern w:val="0"/>
          <w:sz w:val="24"/>
        </w:rPr>
        <w:t>1</w:t>
      </w:r>
      <w:r>
        <w:rPr>
          <w:rFonts w:hint="eastAsia" w:ascii="仿宋_GB2312" w:hAnsi="仿宋" w:eastAsia="仿宋_GB2312" w:cs="宋体"/>
          <w:color w:val="000000"/>
          <w:kern w:val="0"/>
          <w:sz w:val="24"/>
        </w:rPr>
        <w:t>）；</w:t>
      </w:r>
    </w:p>
    <w:p w14:paraId="73466DC5">
      <w:pPr>
        <w:numPr>
          <w:ilvl w:val="0"/>
          <w:numId w:val="27"/>
        </w:numPr>
        <w:snapToGrid w:val="0"/>
        <w:spacing w:line="360" w:lineRule="auto"/>
        <w:rPr>
          <w:rFonts w:hint="eastAsia" w:ascii="仿宋_GB2312" w:hAnsi="仿宋" w:eastAsia="仿宋_GB2312" w:cs="宋体"/>
          <w:color w:val="000000"/>
          <w:kern w:val="0"/>
          <w:sz w:val="24"/>
        </w:rPr>
      </w:pPr>
      <w:r>
        <w:rPr>
          <w:rFonts w:hint="eastAsia" w:ascii="仿宋_GB2312" w:hAnsi="仿宋" w:eastAsia="仿宋_GB2312" w:cs="宋体"/>
          <w:color w:val="000000"/>
          <w:kern w:val="0"/>
          <w:sz w:val="24"/>
        </w:rPr>
        <w:t>招募说明书；</w:t>
      </w:r>
    </w:p>
    <w:p w14:paraId="6FEE1028">
      <w:pPr>
        <w:numPr>
          <w:ilvl w:val="0"/>
          <w:numId w:val="27"/>
        </w:numPr>
        <w:snapToGrid w:val="0"/>
        <w:spacing w:line="360" w:lineRule="auto"/>
        <w:rPr>
          <w:rFonts w:hint="eastAsia" w:ascii="仿宋_GB2312" w:hAnsi="仿宋" w:eastAsia="仿宋_GB2312" w:cs="宋体"/>
          <w:color w:val="000000"/>
          <w:kern w:val="0"/>
          <w:sz w:val="24"/>
        </w:rPr>
      </w:pPr>
      <w:r>
        <w:rPr>
          <w:rFonts w:hint="eastAsia" w:ascii="仿宋_GB2312" w:hAnsi="仿宋" w:eastAsia="仿宋_GB2312" w:cs="宋体"/>
          <w:color w:val="000000"/>
          <w:kern w:val="0"/>
          <w:sz w:val="24"/>
        </w:rPr>
        <w:t>基金合同；</w:t>
      </w:r>
    </w:p>
    <w:p w14:paraId="1AEEB676">
      <w:pPr>
        <w:numPr>
          <w:ilvl w:val="0"/>
          <w:numId w:val="27"/>
        </w:numPr>
        <w:snapToGrid w:val="0"/>
        <w:spacing w:line="360" w:lineRule="auto"/>
        <w:rPr>
          <w:rFonts w:hint="eastAsia" w:ascii="仿宋_GB2312" w:hAnsi="仿宋" w:eastAsia="仿宋_GB2312" w:cs="宋体"/>
          <w:color w:val="000000"/>
          <w:kern w:val="0"/>
          <w:sz w:val="24"/>
        </w:rPr>
      </w:pPr>
      <w:r>
        <w:rPr>
          <w:rFonts w:hint="eastAsia" w:ascii="仿宋_GB2312" w:hAnsi="仿宋" w:eastAsia="仿宋_GB2312" w:cs="宋体"/>
          <w:color w:val="000000"/>
          <w:kern w:val="0"/>
          <w:sz w:val="24"/>
        </w:rPr>
        <w:t>托管协议；</w:t>
      </w:r>
    </w:p>
    <w:p w14:paraId="52DA7DF2">
      <w:pPr>
        <w:numPr>
          <w:ilvl w:val="0"/>
          <w:numId w:val="27"/>
        </w:numPr>
        <w:snapToGrid w:val="0"/>
        <w:spacing w:line="360" w:lineRule="auto"/>
        <w:rPr>
          <w:rFonts w:hint="eastAsia" w:ascii="仿宋_GB2312" w:hAnsi="仿宋" w:eastAsia="仿宋_GB2312" w:cs="宋体"/>
          <w:color w:val="000000"/>
          <w:kern w:val="0"/>
          <w:sz w:val="24"/>
        </w:rPr>
      </w:pPr>
      <w:r>
        <w:rPr>
          <w:rFonts w:hint="eastAsia" w:ascii="仿宋_GB2312" w:hAnsi="仿宋" w:eastAsia="仿宋_GB2312" w:cs="宋体"/>
          <w:color w:val="000000"/>
          <w:kern w:val="0"/>
          <w:sz w:val="24"/>
        </w:rPr>
        <w:t>基金产品资料概要；</w:t>
      </w:r>
    </w:p>
    <w:p w14:paraId="231E85C8">
      <w:pPr>
        <w:numPr>
          <w:ilvl w:val="0"/>
          <w:numId w:val="27"/>
        </w:numPr>
        <w:snapToGrid w:val="0"/>
        <w:spacing w:line="360" w:lineRule="auto"/>
        <w:rPr>
          <w:rFonts w:hint="eastAsia" w:ascii="仿宋_GB2312" w:hAnsi="仿宋" w:eastAsia="仿宋_GB2312" w:cs="宋体"/>
          <w:color w:val="000000"/>
          <w:kern w:val="0"/>
          <w:sz w:val="24"/>
        </w:rPr>
      </w:pPr>
      <w:r>
        <w:rPr>
          <w:rFonts w:hint="eastAsia" w:ascii="仿宋_GB2312" w:hAnsi="仿宋" w:eastAsia="仿宋_GB2312" w:cs="宋体"/>
          <w:color w:val="000000"/>
          <w:kern w:val="0"/>
          <w:sz w:val="24"/>
        </w:rPr>
        <w:t>投资价值研究报告（如有，需发行人盖章扫描件，在审核通过后，由发行人在询价平台上提交，并将向网下机构投资者披露）；</w:t>
      </w:r>
    </w:p>
    <w:p w14:paraId="64FF0D77">
      <w:pPr>
        <w:numPr>
          <w:ilvl w:val="0"/>
          <w:numId w:val="27"/>
        </w:numPr>
        <w:snapToGrid w:val="0"/>
        <w:spacing w:line="360" w:lineRule="auto"/>
        <w:rPr>
          <w:rFonts w:hint="eastAsia" w:ascii="仿宋_GB2312" w:hAnsi="仿宋" w:eastAsia="仿宋_GB2312" w:cs="宋体"/>
          <w:color w:val="000000"/>
          <w:kern w:val="0"/>
          <w:sz w:val="24"/>
        </w:rPr>
      </w:pPr>
      <w:r>
        <w:rPr>
          <w:rFonts w:hint="eastAsia" w:ascii="仿宋_GB2312" w:hAnsi="仿宋" w:eastAsia="仿宋_GB2312" w:cs="宋体"/>
          <w:color w:val="000000"/>
          <w:kern w:val="0"/>
          <w:sz w:val="24"/>
        </w:rPr>
        <w:t>其他必要披露文件。</w:t>
      </w:r>
    </w:p>
    <w:p w14:paraId="27B476D5">
      <w:pPr>
        <w:snapToGrid w:val="0"/>
        <w:spacing w:line="360" w:lineRule="auto"/>
        <w:ind w:left="426" w:firstLine="424" w:firstLineChars="177"/>
        <w:rPr>
          <w:rFonts w:hint="eastAsia" w:ascii="仿宋_GB2312" w:hAnsi="仿宋" w:eastAsia="仿宋_GB2312" w:cs="宋体"/>
          <w:color w:val="000000"/>
          <w:kern w:val="0"/>
          <w:sz w:val="24"/>
        </w:rPr>
      </w:pPr>
      <w:r>
        <w:rPr>
          <w:rFonts w:hint="eastAsia" w:ascii="仿宋_GB2312" w:hAnsi="仿宋" w:eastAsia="仿宋_GB2312" w:cs="宋体"/>
          <w:color w:val="000000"/>
          <w:kern w:val="0"/>
          <w:sz w:val="24"/>
        </w:rPr>
        <w:t>上述披露文件需以</w:t>
      </w:r>
      <w:r>
        <w:rPr>
          <w:rFonts w:hint="eastAsia" w:ascii="Times New Roman" w:hAnsi="Times New Roman" w:eastAsia="仿宋_GB2312" w:cs="宋体"/>
          <w:color w:val="000000"/>
          <w:kern w:val="0"/>
          <w:sz w:val="24"/>
        </w:rPr>
        <w:t>PDF</w:t>
      </w:r>
      <w:r>
        <w:rPr>
          <w:rFonts w:hint="eastAsia" w:ascii="仿宋_GB2312" w:hAnsi="仿宋" w:eastAsia="仿宋_GB2312" w:cs="宋体"/>
          <w:color w:val="000000"/>
          <w:kern w:val="0"/>
          <w:sz w:val="24"/>
        </w:rPr>
        <w:t>格式的电子文件提交。</w:t>
      </w:r>
    </w:p>
    <w:p w14:paraId="513F92BC">
      <w:pPr>
        <w:numPr>
          <w:ilvl w:val="0"/>
          <w:numId w:val="22"/>
        </w:numPr>
        <w:snapToGrid w:val="0"/>
        <w:spacing w:line="360" w:lineRule="auto"/>
        <w:ind w:firstLine="480" w:firstLineChars="200"/>
        <w:rPr>
          <w:rFonts w:hint="eastAsia" w:ascii="仿宋_GB2312" w:hAnsi="仿宋" w:eastAsia="仿宋_GB2312" w:cs="宋体"/>
          <w:color w:val="000000"/>
          <w:kern w:val="0"/>
          <w:sz w:val="24"/>
        </w:rPr>
      </w:pPr>
      <w:r>
        <w:rPr>
          <w:rFonts w:hint="eastAsia" w:ascii="仿宋_GB2312" w:hAnsi="仿宋" w:eastAsia="仿宋_GB2312" w:cs="宋体"/>
          <w:color w:val="000000"/>
          <w:kern w:val="0"/>
          <w:sz w:val="24"/>
        </w:rPr>
        <w:t>本所自收到基金管理人的申请材料之日起</w:t>
      </w:r>
      <w:r>
        <w:rPr>
          <w:rFonts w:hint="eastAsia" w:ascii="Times New Roman" w:hAnsi="Times New Roman" w:eastAsia="仿宋_GB2312" w:cs="宋体"/>
          <w:color w:val="000000"/>
          <w:kern w:val="0"/>
          <w:sz w:val="24"/>
        </w:rPr>
        <w:t>5</w:t>
      </w:r>
      <w:r>
        <w:rPr>
          <w:rFonts w:hint="eastAsia" w:ascii="仿宋_GB2312" w:hAnsi="仿宋" w:eastAsia="仿宋_GB2312" w:cs="宋体"/>
          <w:color w:val="000000"/>
          <w:kern w:val="0"/>
          <w:sz w:val="24"/>
        </w:rPr>
        <w:t>个工作日内，对申请材料进行核对，当日</w:t>
      </w:r>
      <w:r>
        <w:rPr>
          <w:rFonts w:hint="eastAsia" w:ascii="Times New Roman" w:hAnsi="Times New Roman" w:eastAsia="仿宋_GB2312" w:cs="宋体"/>
          <w:color w:val="000000"/>
          <w:kern w:val="0"/>
          <w:sz w:val="24"/>
        </w:rPr>
        <w:t>13</w:t>
      </w:r>
      <w:r>
        <w:rPr>
          <w:rFonts w:hint="eastAsia" w:ascii="仿宋_GB2312" w:hAnsi="仿宋" w:eastAsia="仿宋_GB2312" w:cs="宋体"/>
          <w:color w:val="000000"/>
          <w:kern w:val="0"/>
          <w:sz w:val="24"/>
        </w:rPr>
        <w:t>:</w:t>
      </w:r>
      <w:r>
        <w:rPr>
          <w:rFonts w:hint="eastAsia" w:ascii="Times New Roman" w:hAnsi="Times New Roman" w:eastAsia="仿宋_GB2312" w:cs="宋体"/>
          <w:color w:val="000000"/>
          <w:kern w:val="0"/>
          <w:sz w:val="24"/>
        </w:rPr>
        <w:t>00</w:t>
      </w:r>
      <w:r>
        <w:rPr>
          <w:rFonts w:hint="eastAsia" w:ascii="仿宋_GB2312" w:hAnsi="仿宋" w:eastAsia="仿宋_GB2312" w:cs="宋体"/>
          <w:color w:val="000000"/>
          <w:kern w:val="0"/>
          <w:sz w:val="24"/>
        </w:rPr>
        <w:t>后提交的，当日不计入前述</w:t>
      </w:r>
      <w:r>
        <w:rPr>
          <w:rFonts w:hint="eastAsia" w:ascii="Times New Roman" w:hAnsi="Times New Roman" w:eastAsia="仿宋_GB2312" w:cs="宋体"/>
          <w:color w:val="000000"/>
          <w:kern w:val="0"/>
          <w:sz w:val="24"/>
        </w:rPr>
        <w:t>5</w:t>
      </w:r>
      <w:r>
        <w:rPr>
          <w:rFonts w:hint="eastAsia" w:ascii="仿宋_GB2312" w:hAnsi="仿宋" w:eastAsia="仿宋_GB2312" w:cs="宋体"/>
          <w:color w:val="000000"/>
          <w:kern w:val="0"/>
          <w:sz w:val="24"/>
        </w:rPr>
        <w:t>个工作日内；若相关材料未符合本所要求，则退回基金管理人予以补正，补正时间不计入上述</w:t>
      </w:r>
      <w:r>
        <w:rPr>
          <w:rFonts w:ascii="Times New Roman" w:hAnsi="Times New Roman" w:eastAsia="仿宋_GB2312" w:cs="宋体"/>
          <w:color w:val="000000"/>
          <w:kern w:val="0"/>
          <w:sz w:val="24"/>
        </w:rPr>
        <w:t>5</w:t>
      </w:r>
      <w:r>
        <w:rPr>
          <w:rFonts w:hint="eastAsia" w:ascii="仿宋_GB2312" w:hAnsi="仿宋" w:eastAsia="仿宋_GB2312" w:cs="宋体"/>
          <w:color w:val="000000"/>
          <w:kern w:val="0"/>
          <w:sz w:val="24"/>
        </w:rPr>
        <w:t>个工作日内。</w:t>
      </w:r>
    </w:p>
    <w:p w14:paraId="0EED0978">
      <w:pPr>
        <w:numPr>
          <w:ilvl w:val="0"/>
          <w:numId w:val="22"/>
        </w:numPr>
        <w:snapToGrid w:val="0"/>
        <w:spacing w:line="360" w:lineRule="auto"/>
        <w:ind w:firstLine="480" w:firstLineChars="200"/>
        <w:rPr>
          <w:rFonts w:hint="eastAsia" w:ascii="仿宋_GB2312" w:hAnsi="仿宋" w:eastAsia="仿宋_GB2312" w:cs="宋体"/>
          <w:color w:val="000000"/>
          <w:kern w:val="0"/>
          <w:sz w:val="24"/>
        </w:rPr>
      </w:pPr>
      <w:r>
        <w:rPr>
          <w:rFonts w:hint="eastAsia" w:ascii="仿宋_GB2312" w:hAnsi="仿宋" w:eastAsia="仿宋_GB2312" w:cs="宋体"/>
          <w:color w:val="000000"/>
          <w:kern w:val="0"/>
          <w:sz w:val="24"/>
        </w:rPr>
        <w:t>基金管理人应按要求与本所开展《公开募集不动产投资信托基金询价、认购、转托管等业务服务协议》签署事宜。协议一式四份，均需在签字盖章处签字、盖章，全本协议盖骑缝章后寄给本所相关业务协调人。</w:t>
      </w:r>
    </w:p>
    <w:p w14:paraId="36910BE6">
      <w:pPr>
        <w:snapToGrid w:val="0"/>
        <w:spacing w:line="360" w:lineRule="auto"/>
        <w:ind w:left="420"/>
        <w:rPr>
          <w:rFonts w:hint="eastAsia" w:ascii="仿宋_GB2312" w:hAnsi="仿宋" w:eastAsia="仿宋_GB2312" w:cs="宋体"/>
          <w:color w:val="000000"/>
          <w:kern w:val="0"/>
          <w:sz w:val="24"/>
        </w:rPr>
      </w:pPr>
    </w:p>
    <w:p w14:paraId="75823F15">
      <w:pPr>
        <w:snapToGrid w:val="0"/>
        <w:spacing w:line="360" w:lineRule="auto"/>
        <w:ind w:left="420"/>
        <w:rPr>
          <w:rFonts w:hint="eastAsia" w:ascii="仿宋_GB2312" w:hAnsi="仿宋" w:eastAsia="仿宋_GB2312" w:cs="宋体"/>
          <w:color w:val="000000"/>
          <w:kern w:val="0"/>
          <w:sz w:val="24"/>
        </w:rPr>
      </w:pPr>
      <w:r>
        <w:rPr>
          <w:rFonts w:ascii="Times New Roman" w:hAnsi="Times New Roman" w:eastAsia="仿宋_GB2312" w:cs="宋体"/>
          <w:color w:val="000000"/>
          <w:kern w:val="0"/>
          <w:sz w:val="24"/>
        </w:rPr>
        <w:t>X</w:t>
      </w:r>
      <w:r>
        <w:rPr>
          <w:rFonts w:ascii="仿宋_GB2312" w:hAnsi="仿宋" w:eastAsia="仿宋_GB2312" w:cs="宋体"/>
          <w:color w:val="000000"/>
          <w:kern w:val="0"/>
          <w:sz w:val="24"/>
        </w:rPr>
        <w:t>-</w:t>
      </w:r>
      <w:r>
        <w:rPr>
          <w:rFonts w:hint="eastAsia" w:ascii="Times New Roman" w:hAnsi="Times New Roman" w:eastAsia="仿宋_GB2312" w:cs="宋体"/>
          <w:color w:val="000000"/>
          <w:kern w:val="0"/>
          <w:sz w:val="24"/>
        </w:rPr>
        <w:t>4</w:t>
      </w:r>
      <w:r>
        <w:rPr>
          <w:rFonts w:ascii="仿宋_GB2312" w:hAnsi="仿宋" w:eastAsia="仿宋_GB2312" w:cs="宋体"/>
          <w:color w:val="000000"/>
          <w:kern w:val="0"/>
          <w:sz w:val="24"/>
        </w:rPr>
        <w:t>日（含）</w:t>
      </w:r>
      <w:r>
        <w:rPr>
          <w:rFonts w:hint="eastAsia" w:ascii="仿宋_GB2312" w:hAnsi="仿宋" w:eastAsia="仿宋_GB2312" w:cs="宋体"/>
          <w:color w:val="000000"/>
          <w:kern w:val="0"/>
          <w:sz w:val="24"/>
        </w:rPr>
        <w:t>前</w:t>
      </w:r>
    </w:p>
    <w:p w14:paraId="20BB023D">
      <w:pPr>
        <w:numPr>
          <w:ilvl w:val="0"/>
          <w:numId w:val="22"/>
        </w:numPr>
        <w:snapToGrid w:val="0"/>
        <w:spacing w:line="360" w:lineRule="auto"/>
        <w:ind w:firstLine="480" w:firstLineChars="200"/>
        <w:rPr>
          <w:rFonts w:hint="eastAsia" w:ascii="仿宋_GB2312" w:hAnsi="仿宋" w:eastAsia="仿宋_GB2312" w:cs="宋体"/>
          <w:color w:val="000000"/>
          <w:kern w:val="0"/>
          <w:sz w:val="24"/>
        </w:rPr>
      </w:pPr>
      <w:r>
        <w:rPr>
          <w:rFonts w:hint="eastAsia" w:ascii="仿宋_GB2312" w:hAnsi="仿宋" w:eastAsia="仿宋_GB2312" w:cs="宋体"/>
          <w:color w:val="000000"/>
          <w:kern w:val="0"/>
          <w:sz w:val="24"/>
        </w:rPr>
        <w:t>经本所初次审核通过后，基金管理人在</w:t>
      </w:r>
      <w:r>
        <w:rPr>
          <w:rFonts w:hint="eastAsia" w:ascii="Times New Roman" w:hAnsi="Times New Roman" w:eastAsia="仿宋_GB2312" w:cs="宋体"/>
          <w:color w:val="000000"/>
          <w:kern w:val="0"/>
          <w:sz w:val="24"/>
        </w:rPr>
        <w:t>REITs</w:t>
      </w:r>
      <w:r>
        <w:rPr>
          <w:rFonts w:hint="eastAsia" w:ascii="仿宋_GB2312" w:hAnsi="仿宋" w:eastAsia="仿宋_GB2312" w:cs="宋体"/>
          <w:color w:val="000000"/>
          <w:kern w:val="0"/>
          <w:sz w:val="24"/>
        </w:rPr>
        <w:t>业务管理系统平台提交的询价业务申请中对拟定的询价日期进行确认：</w:t>
      </w:r>
    </w:p>
    <w:p w14:paraId="4151B082">
      <w:pPr>
        <w:numPr>
          <w:ilvl w:val="0"/>
          <w:numId w:val="28"/>
        </w:numPr>
        <w:snapToGrid w:val="0"/>
        <w:spacing w:line="360" w:lineRule="auto"/>
        <w:ind w:firstLine="480"/>
        <w:rPr>
          <w:rFonts w:hint="eastAsia" w:ascii="仿宋_GB2312" w:hAnsi="仿宋" w:eastAsia="仿宋_GB2312" w:cs="宋体"/>
          <w:color w:val="000000"/>
          <w:kern w:val="0"/>
          <w:sz w:val="24"/>
        </w:rPr>
      </w:pPr>
      <w:r>
        <w:rPr>
          <w:rFonts w:hint="eastAsia" w:ascii="仿宋_GB2312" w:hAnsi="仿宋" w:eastAsia="仿宋_GB2312" w:cs="宋体"/>
          <w:color w:val="000000"/>
          <w:kern w:val="0"/>
          <w:sz w:val="24"/>
        </w:rPr>
        <w:t>如确认拟定询价日期为正式询价日期，则询价业务申请办结；</w:t>
      </w:r>
    </w:p>
    <w:p w14:paraId="75ED369A">
      <w:pPr>
        <w:numPr>
          <w:ilvl w:val="0"/>
          <w:numId w:val="28"/>
        </w:numPr>
        <w:snapToGrid w:val="0"/>
        <w:spacing w:line="360" w:lineRule="auto"/>
        <w:ind w:firstLine="480"/>
        <w:rPr>
          <w:rFonts w:hint="eastAsia" w:ascii="仿宋_GB2312" w:hAnsi="仿宋" w:eastAsia="仿宋_GB2312" w:cs="宋体"/>
          <w:color w:val="000000"/>
          <w:kern w:val="0"/>
          <w:sz w:val="24"/>
        </w:rPr>
      </w:pPr>
      <w:r>
        <w:rPr>
          <w:rFonts w:hint="eastAsia" w:ascii="仿宋_GB2312" w:hAnsi="仿宋" w:eastAsia="仿宋_GB2312" w:cs="宋体"/>
          <w:color w:val="000000"/>
          <w:kern w:val="0"/>
          <w:sz w:val="24"/>
        </w:rPr>
        <w:t>如此时需变更拟定的询价日期，但询价其他相关信息无变动，则基金管理人可修改询价日期，并重新提交日期变更后的公告文件，以及业务信息调整申请函（附件</w:t>
      </w:r>
      <w:r>
        <w:rPr>
          <w:rFonts w:hint="eastAsia" w:ascii="Times New Roman" w:hAnsi="Times New Roman" w:eastAsia="仿宋_GB2312" w:cs="宋体"/>
          <w:color w:val="000000"/>
          <w:kern w:val="0"/>
          <w:sz w:val="24"/>
        </w:rPr>
        <w:t>1</w:t>
      </w:r>
      <w:r>
        <w:rPr>
          <w:rFonts w:hint="eastAsia" w:ascii="仿宋_GB2312" w:hAnsi="仿宋" w:eastAsia="仿宋_GB2312" w:cs="宋体"/>
          <w:color w:val="000000"/>
          <w:kern w:val="0"/>
          <w:sz w:val="24"/>
        </w:rPr>
        <w:t>-</w:t>
      </w:r>
      <w:r>
        <w:rPr>
          <w:rFonts w:hint="eastAsia" w:ascii="Times New Roman" w:hAnsi="Times New Roman" w:eastAsia="仿宋_GB2312" w:cs="宋体"/>
          <w:color w:val="000000"/>
          <w:kern w:val="0"/>
          <w:sz w:val="24"/>
        </w:rPr>
        <w:t>10</w:t>
      </w:r>
      <w:r>
        <w:rPr>
          <w:rFonts w:hint="eastAsia" w:ascii="仿宋_GB2312" w:hAnsi="仿宋" w:eastAsia="仿宋_GB2312" w:cs="宋体"/>
          <w:color w:val="000000"/>
          <w:kern w:val="0"/>
          <w:sz w:val="24"/>
        </w:rPr>
        <w:t>），经本所再次审核通过后，询价业务申请办结；</w:t>
      </w:r>
    </w:p>
    <w:p w14:paraId="2854A7CF">
      <w:pPr>
        <w:numPr>
          <w:ilvl w:val="0"/>
          <w:numId w:val="28"/>
        </w:numPr>
        <w:snapToGrid w:val="0"/>
        <w:spacing w:line="360" w:lineRule="auto"/>
        <w:ind w:firstLine="480"/>
        <w:rPr>
          <w:rFonts w:hint="eastAsia" w:ascii="仿宋_GB2312" w:hAnsi="仿宋" w:eastAsia="仿宋_GB2312" w:cs="宋体"/>
          <w:color w:val="000000"/>
          <w:kern w:val="0"/>
          <w:sz w:val="24"/>
        </w:rPr>
      </w:pPr>
      <w:r>
        <w:rPr>
          <w:rFonts w:hint="eastAsia" w:ascii="仿宋_GB2312" w:hAnsi="仿宋" w:eastAsia="仿宋_GB2312" w:cs="宋体"/>
          <w:color w:val="000000"/>
          <w:kern w:val="0"/>
          <w:sz w:val="24"/>
        </w:rPr>
        <w:t>如此时因其他因素导致询价相关信息有变化或需取消询价，则基金管理人可直接取消此次询价申请，本流程自此终止。后续如有需要，可再次发起新的询价申请。</w:t>
      </w:r>
    </w:p>
    <w:p w14:paraId="52B67F66">
      <w:pPr>
        <w:tabs>
          <w:tab w:val="left" w:pos="420"/>
        </w:tabs>
        <w:snapToGrid w:val="0"/>
        <w:spacing w:line="360" w:lineRule="auto"/>
        <w:ind w:left="900"/>
        <w:rPr>
          <w:rFonts w:hint="eastAsia" w:ascii="仿宋_GB2312" w:hAnsi="仿宋" w:eastAsia="仿宋_GB2312" w:cs="宋体"/>
          <w:color w:val="000000"/>
          <w:kern w:val="0"/>
          <w:sz w:val="24"/>
        </w:rPr>
      </w:pPr>
    </w:p>
    <w:p w14:paraId="3E4245AB">
      <w:pPr>
        <w:numPr>
          <w:ilvl w:val="0"/>
          <w:numId w:val="22"/>
        </w:numPr>
        <w:snapToGrid w:val="0"/>
        <w:spacing w:line="360" w:lineRule="auto"/>
        <w:ind w:firstLine="480" w:firstLineChars="200"/>
        <w:rPr>
          <w:rFonts w:hint="eastAsia" w:ascii="仿宋_GB2312" w:hAnsi="仿宋" w:eastAsia="仿宋_GB2312" w:cs="宋体"/>
          <w:color w:val="000000"/>
          <w:kern w:val="0"/>
          <w:sz w:val="24"/>
        </w:rPr>
      </w:pPr>
      <w:r>
        <w:rPr>
          <w:rFonts w:hint="eastAsia" w:ascii="仿宋_GB2312" w:hAnsi="仿宋" w:eastAsia="仿宋_GB2312" w:cs="宋体"/>
          <w:color w:val="000000"/>
          <w:kern w:val="0"/>
          <w:sz w:val="24"/>
        </w:rPr>
        <w:t>本业务申请经本所最终审核办结后，视为正式启动发售流程，基金管理人及发行人应按照发售方案中列明的时间表和相关工作安排推进发售阶段工作。启动发售后，基金管理人及发行人不得再对发售方案作出修改。如因特殊情况需要对发售方案作出重大调整的，应当及时通知本所。</w:t>
      </w:r>
    </w:p>
    <w:p w14:paraId="0F779441">
      <w:pPr>
        <w:pStyle w:val="13"/>
        <w:snapToGrid w:val="0"/>
        <w:spacing w:before="0" w:beforeAutospacing="0" w:after="0" w:afterAutospacing="0" w:line="360" w:lineRule="auto"/>
        <w:jc w:val="both"/>
        <w:rPr>
          <w:rFonts w:hint="eastAsia" w:ascii="仿宋_GB2312" w:hAnsi="仿宋" w:eastAsia="仿宋_GB2312"/>
        </w:rPr>
      </w:pPr>
    </w:p>
    <w:p w14:paraId="797F4100">
      <w:pPr>
        <w:pStyle w:val="30"/>
        <w:numPr>
          <w:ilvl w:val="0"/>
          <w:numId w:val="24"/>
        </w:numPr>
        <w:ind w:firstLineChars="0"/>
        <w:outlineLvl w:val="2"/>
        <w:rPr>
          <w:rFonts w:hint="eastAsia" w:ascii="仿宋_GB2312" w:hAnsi="宋体" w:eastAsia="仿宋_GB2312"/>
          <w:b/>
          <w:sz w:val="28"/>
          <w:szCs w:val="28"/>
        </w:rPr>
      </w:pPr>
      <w:bookmarkStart w:id="211" w:name="_Toc65181360"/>
      <w:bookmarkEnd w:id="211"/>
      <w:bookmarkStart w:id="212" w:name="_Toc65181306"/>
      <w:bookmarkEnd w:id="212"/>
      <w:bookmarkStart w:id="213" w:name="_Toc65181416"/>
      <w:bookmarkEnd w:id="213"/>
      <w:bookmarkStart w:id="214" w:name="_Toc65181252"/>
      <w:bookmarkEnd w:id="214"/>
      <w:bookmarkStart w:id="215" w:name="_Toc30861"/>
      <w:bookmarkStart w:id="216" w:name="_Toc27189"/>
      <w:bookmarkStart w:id="217" w:name="_Toc1497980725"/>
      <w:bookmarkStart w:id="218" w:name="_Toc10728"/>
      <w:bookmarkStart w:id="219" w:name="_Toc1206635016"/>
      <w:bookmarkStart w:id="220" w:name="_Toc14094"/>
      <w:bookmarkStart w:id="221" w:name="_Toc18525"/>
      <w:bookmarkStart w:id="222" w:name="_Toc65181417"/>
      <w:bookmarkStart w:id="223" w:name="_Toc309622809"/>
      <w:bookmarkStart w:id="224" w:name="_Toc20669"/>
      <w:bookmarkStart w:id="225" w:name="_Toc32128"/>
      <w:bookmarkStart w:id="226" w:name="_Toc17713"/>
      <w:bookmarkStart w:id="227" w:name="_Toc441469819"/>
      <w:bookmarkStart w:id="228" w:name="_Toc70604213"/>
      <w:bookmarkStart w:id="229" w:name="_Toc7347"/>
      <w:bookmarkStart w:id="230" w:name="_Toc20420"/>
      <w:bookmarkStart w:id="231" w:name="_Toc6100"/>
      <w:bookmarkStart w:id="232" w:name="_Toc15262"/>
      <w:bookmarkStart w:id="233" w:name="_Toc515585468"/>
      <w:bookmarkStart w:id="234" w:name="_Toc231514143"/>
      <w:bookmarkStart w:id="235" w:name="_Toc32272"/>
      <w:bookmarkStart w:id="236" w:name="_Toc2071991374"/>
      <w:bookmarkStart w:id="237" w:name="_Toc16943"/>
      <w:bookmarkStart w:id="238" w:name="_Toc5379"/>
      <w:bookmarkStart w:id="239" w:name="_Toc16896"/>
      <w:r>
        <w:rPr>
          <w:rFonts w:hint="eastAsia" w:ascii="仿宋_GB2312" w:hAnsi="宋体" w:eastAsia="仿宋_GB2312"/>
          <w:b/>
          <w:sz w:val="28"/>
          <w:szCs w:val="28"/>
        </w:rPr>
        <w:t>披露《询价公告》</w:t>
      </w:r>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p>
    <w:p w14:paraId="21ED9077">
      <w:pPr>
        <w:pStyle w:val="13"/>
        <w:snapToGrid w:val="0"/>
        <w:spacing w:before="0" w:beforeAutospacing="0" w:after="0" w:afterAutospacing="0" w:line="360" w:lineRule="auto"/>
        <w:ind w:left="420"/>
        <w:jc w:val="both"/>
        <w:rPr>
          <w:rFonts w:hint="eastAsia" w:ascii="仿宋_GB2312" w:hAnsi="仿宋" w:eastAsia="仿宋_GB2312"/>
        </w:rPr>
      </w:pPr>
      <w:r>
        <w:rPr>
          <w:rFonts w:hint="eastAsia" w:ascii="Times New Roman" w:hAnsi="Times New Roman" w:eastAsia="仿宋_GB2312"/>
        </w:rPr>
        <w:t>X</w:t>
      </w:r>
      <w:r>
        <w:rPr>
          <w:rFonts w:hint="eastAsia" w:ascii="仿宋_GB2312" w:hAnsi="仿宋" w:eastAsia="仿宋_GB2312"/>
        </w:rPr>
        <w:t>-</w:t>
      </w:r>
      <w:r>
        <w:rPr>
          <w:rFonts w:hint="eastAsia" w:ascii="Times New Roman" w:hAnsi="Times New Roman" w:eastAsia="仿宋_GB2312"/>
        </w:rPr>
        <w:t>3</w:t>
      </w:r>
      <w:r>
        <w:rPr>
          <w:rFonts w:hint="eastAsia" w:ascii="仿宋_GB2312" w:hAnsi="仿宋" w:eastAsia="仿宋_GB2312"/>
        </w:rPr>
        <w:t>日（含）前</w:t>
      </w:r>
    </w:p>
    <w:p w14:paraId="31CBFBA0">
      <w:pPr>
        <w:numPr>
          <w:ilvl w:val="0"/>
          <w:numId w:val="12"/>
        </w:numPr>
        <w:snapToGrid w:val="0"/>
        <w:spacing w:line="360" w:lineRule="auto"/>
        <w:ind w:firstLine="480" w:firstLineChars="200"/>
        <w:rPr>
          <w:rFonts w:hint="eastAsia" w:ascii="仿宋_GB2312" w:hAnsi="仿宋" w:eastAsia="仿宋_GB2312" w:cs="宋体"/>
          <w:color w:val="000000"/>
          <w:kern w:val="0"/>
          <w:sz w:val="24"/>
        </w:rPr>
      </w:pPr>
      <w:r>
        <w:rPr>
          <w:rFonts w:hint="eastAsia" w:ascii="仿宋_GB2312" w:hAnsi="仿宋" w:eastAsia="仿宋_GB2312" w:cs="宋体"/>
          <w:color w:val="000000"/>
          <w:kern w:val="0"/>
          <w:sz w:val="24"/>
        </w:rPr>
        <w:t>询价公告、基金合同、招募说明书、基金产品资料概要、托管协议在本所</w:t>
      </w:r>
      <w:r>
        <w:rPr>
          <w:rFonts w:ascii="仿宋_GB2312" w:hAnsi="仿宋" w:eastAsia="仿宋_GB2312" w:cs="宋体"/>
          <w:color w:val="000000"/>
          <w:kern w:val="0"/>
          <w:sz w:val="24"/>
        </w:rPr>
        <w:t>官网</w:t>
      </w:r>
      <w:r>
        <w:rPr>
          <w:rFonts w:hint="eastAsia" w:ascii="仿宋_GB2312" w:hAnsi="仿宋" w:eastAsia="仿宋_GB2312" w:cs="宋体"/>
          <w:color w:val="000000"/>
          <w:kern w:val="0"/>
          <w:sz w:val="24"/>
        </w:rPr>
        <w:t>发布，基金管理人核对网站披露内容是否符合预期。</w:t>
      </w:r>
    </w:p>
    <w:p w14:paraId="7980ED28">
      <w:pPr>
        <w:numPr>
          <w:ilvl w:val="0"/>
          <w:numId w:val="12"/>
        </w:numPr>
        <w:snapToGrid w:val="0"/>
        <w:spacing w:line="360" w:lineRule="auto"/>
        <w:ind w:firstLine="480" w:firstLineChars="200"/>
        <w:rPr>
          <w:rFonts w:hint="eastAsia" w:ascii="仿宋_GB2312" w:hAnsi="仿宋" w:eastAsia="仿宋_GB2312"/>
        </w:rPr>
      </w:pPr>
      <w:r>
        <w:rPr>
          <w:rFonts w:hint="eastAsia" w:ascii="仿宋_GB2312" w:hAnsi="仿宋" w:eastAsia="仿宋_GB2312" w:cs="宋体"/>
          <w:color w:val="000000"/>
          <w:kern w:val="0"/>
          <w:sz w:val="24"/>
          <w:szCs w:val="21"/>
        </w:rPr>
        <w:t>基金管理人根据中国证监会规定在其他媒介上刊登前述公告。</w:t>
      </w:r>
    </w:p>
    <w:p w14:paraId="62171509">
      <w:pPr>
        <w:tabs>
          <w:tab w:val="left" w:pos="420"/>
        </w:tabs>
        <w:snapToGrid w:val="0"/>
        <w:spacing w:line="360" w:lineRule="auto"/>
        <w:ind w:firstLine="560"/>
        <w:rPr>
          <w:rFonts w:hint="eastAsia" w:ascii="宋体" w:hAnsi="宋体"/>
          <w:sz w:val="28"/>
          <w:szCs w:val="28"/>
        </w:rPr>
      </w:pPr>
    </w:p>
    <w:p w14:paraId="2A8EDDB3">
      <w:pPr>
        <w:pStyle w:val="30"/>
        <w:numPr>
          <w:ilvl w:val="0"/>
          <w:numId w:val="24"/>
        </w:numPr>
        <w:ind w:firstLineChars="0"/>
        <w:outlineLvl w:val="2"/>
        <w:rPr>
          <w:rFonts w:hint="eastAsia" w:ascii="仿宋_GB2312" w:hAnsi="宋体" w:eastAsia="仿宋_GB2312"/>
          <w:b/>
          <w:sz w:val="28"/>
          <w:szCs w:val="28"/>
        </w:rPr>
      </w:pPr>
      <w:bookmarkStart w:id="240" w:name="_Toc17233"/>
      <w:bookmarkStart w:id="241" w:name="_Toc5334"/>
      <w:bookmarkStart w:id="242" w:name="_Toc992980503"/>
      <w:bookmarkStart w:id="243" w:name="_Toc1321601319"/>
      <w:bookmarkStart w:id="244" w:name="_Toc27018"/>
      <w:bookmarkStart w:id="245" w:name="_Toc476405553"/>
      <w:bookmarkStart w:id="246" w:name="_Toc65181418"/>
      <w:bookmarkStart w:id="247" w:name="_Toc7193"/>
      <w:bookmarkStart w:id="248" w:name="_Toc28273"/>
      <w:bookmarkStart w:id="249" w:name="_Toc2028413655"/>
      <w:bookmarkStart w:id="250" w:name="_Toc19100"/>
      <w:bookmarkStart w:id="251" w:name="_Toc30523"/>
      <w:bookmarkStart w:id="252" w:name="_Toc22033"/>
      <w:bookmarkStart w:id="253" w:name="_Toc1849"/>
      <w:bookmarkStart w:id="254" w:name="_Toc12400"/>
      <w:bookmarkStart w:id="255" w:name="_Toc219847787"/>
      <w:bookmarkStart w:id="256" w:name="_Toc25433"/>
      <w:bookmarkStart w:id="257" w:name="_Toc16048"/>
      <w:bookmarkStart w:id="258" w:name="_Toc18358"/>
      <w:bookmarkStart w:id="259" w:name="_Toc2262758"/>
      <w:bookmarkStart w:id="260" w:name="_Toc3248"/>
      <w:bookmarkStart w:id="261" w:name="_Toc70604214"/>
      <w:bookmarkStart w:id="262" w:name="_Toc9964"/>
      <w:bookmarkStart w:id="263" w:name="_Toc600962283"/>
      <w:bookmarkStart w:id="264" w:name="_Toc18660"/>
      <w:r>
        <w:rPr>
          <w:rFonts w:hint="eastAsia" w:ascii="仿宋_GB2312" w:hAnsi="宋体" w:eastAsia="仿宋_GB2312"/>
          <w:b/>
          <w:sz w:val="28"/>
          <w:szCs w:val="28"/>
        </w:rPr>
        <w:t>网下投资者询价</w:t>
      </w:r>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r>
        <w:rPr>
          <w:rFonts w:hint="eastAsia" w:ascii="仿宋_GB2312" w:hAnsi="宋体" w:eastAsia="仿宋_GB2312"/>
          <w:b/>
          <w:sz w:val="28"/>
          <w:szCs w:val="28"/>
        </w:rPr>
        <w:tab/>
      </w:r>
    </w:p>
    <w:p w14:paraId="45DBF74A">
      <w:pPr>
        <w:pStyle w:val="13"/>
        <w:numPr>
          <w:ilvl w:val="1"/>
          <w:numId w:val="29"/>
        </w:numPr>
        <w:snapToGrid w:val="0"/>
        <w:spacing w:before="0" w:beforeAutospacing="0" w:after="0" w:afterAutospacing="0" w:line="360" w:lineRule="auto"/>
        <w:jc w:val="both"/>
        <w:rPr>
          <w:rFonts w:hint="eastAsia" w:ascii="仿宋_GB2312" w:hAnsi="仿宋" w:eastAsia="仿宋_GB2312"/>
        </w:rPr>
      </w:pPr>
      <w:r>
        <w:rPr>
          <w:rFonts w:hint="eastAsia" w:ascii="仿宋_GB2312" w:hAnsi="仿宋" w:eastAsia="仿宋_GB2312"/>
        </w:rPr>
        <w:t>注意事项：</w:t>
      </w:r>
    </w:p>
    <w:p w14:paraId="22AAB4DD">
      <w:pPr>
        <w:pStyle w:val="13"/>
        <w:numPr>
          <w:ilvl w:val="0"/>
          <w:numId w:val="30"/>
        </w:numPr>
        <w:snapToGrid w:val="0"/>
        <w:spacing w:before="0" w:beforeAutospacing="0" w:after="0" w:afterAutospacing="0" w:line="360" w:lineRule="auto"/>
        <w:ind w:left="851"/>
        <w:jc w:val="both"/>
        <w:rPr>
          <w:rFonts w:hint="eastAsia" w:ascii="仿宋_GB2312" w:hAnsi="仿宋" w:eastAsia="仿宋_GB2312"/>
        </w:rPr>
      </w:pPr>
      <w:r>
        <w:rPr>
          <w:rFonts w:hint="eastAsia" w:ascii="仿宋_GB2312" w:hAnsi="仿宋" w:eastAsia="仿宋_GB2312"/>
        </w:rPr>
        <w:t>基金管理人需在询价业务开始前必须指定发行人，如未提前指定将无法正常办理询价业务；</w:t>
      </w:r>
    </w:p>
    <w:p w14:paraId="09E95A1B">
      <w:pPr>
        <w:pStyle w:val="13"/>
        <w:numPr>
          <w:ilvl w:val="0"/>
          <w:numId w:val="30"/>
        </w:numPr>
        <w:snapToGrid w:val="0"/>
        <w:spacing w:before="0" w:beforeAutospacing="0" w:after="0" w:afterAutospacing="0" w:line="360" w:lineRule="auto"/>
        <w:ind w:left="851"/>
        <w:jc w:val="both"/>
        <w:rPr>
          <w:rFonts w:hint="eastAsia" w:ascii="仿宋_GB2312" w:hAnsi="仿宋" w:eastAsia="仿宋_GB2312"/>
        </w:rPr>
      </w:pPr>
      <w:r>
        <w:rPr>
          <w:rFonts w:hint="eastAsia" w:ascii="仿宋_GB2312" w:hAnsi="仿宋" w:eastAsia="仿宋_GB2312"/>
        </w:rPr>
        <w:t>发行人登录发行人系统进行网下投资者询价、认购等业务办理，登录地址：</w:t>
      </w:r>
      <w:r>
        <w:rPr>
          <w:rFonts w:ascii="Times New Roman" w:hAnsi="Times New Roman" w:eastAsia="仿宋_GB2312"/>
        </w:rPr>
        <w:t>https</w:t>
      </w:r>
      <w:r>
        <w:rPr>
          <w:rFonts w:ascii="仿宋_GB2312" w:hAnsi="仿宋" w:eastAsia="仿宋_GB2312"/>
        </w:rPr>
        <w:t>://</w:t>
      </w:r>
      <w:r>
        <w:rPr>
          <w:rFonts w:ascii="Times New Roman" w:hAnsi="Times New Roman" w:eastAsia="仿宋_GB2312"/>
        </w:rPr>
        <w:t>bmsp</w:t>
      </w:r>
      <w:r>
        <w:rPr>
          <w:rFonts w:ascii="仿宋_GB2312" w:hAnsi="仿宋" w:eastAsia="仿宋_GB2312"/>
        </w:rPr>
        <w:t>.</w:t>
      </w:r>
      <w:r>
        <w:rPr>
          <w:rFonts w:ascii="Times New Roman" w:hAnsi="Times New Roman" w:eastAsia="仿宋_GB2312"/>
        </w:rPr>
        <w:t>uap</w:t>
      </w:r>
      <w:r>
        <w:rPr>
          <w:rFonts w:ascii="仿宋_GB2312" w:hAnsi="仿宋" w:eastAsia="仿宋_GB2312"/>
        </w:rPr>
        <w:t>.</w:t>
      </w:r>
      <w:r>
        <w:rPr>
          <w:rFonts w:ascii="Times New Roman" w:hAnsi="Times New Roman" w:eastAsia="仿宋_GB2312"/>
        </w:rPr>
        <w:t>sse</w:t>
      </w:r>
      <w:r>
        <w:rPr>
          <w:rFonts w:ascii="仿宋_GB2312" w:hAnsi="仿宋" w:eastAsia="仿宋_GB2312"/>
        </w:rPr>
        <w:t>.</w:t>
      </w:r>
      <w:r>
        <w:rPr>
          <w:rFonts w:ascii="Times New Roman" w:hAnsi="Times New Roman" w:eastAsia="仿宋_GB2312"/>
        </w:rPr>
        <w:t>com</w:t>
      </w:r>
      <w:r>
        <w:rPr>
          <w:rFonts w:ascii="仿宋_GB2312" w:hAnsi="仿宋" w:eastAsia="仿宋_GB2312"/>
        </w:rPr>
        <w:t>.</w:t>
      </w:r>
      <w:r>
        <w:rPr>
          <w:rFonts w:ascii="Times New Roman" w:hAnsi="Times New Roman" w:eastAsia="仿宋_GB2312"/>
        </w:rPr>
        <w:t>cn</w:t>
      </w:r>
      <w:r>
        <w:rPr>
          <w:rFonts w:ascii="仿宋_GB2312" w:hAnsi="仿宋" w:eastAsia="仿宋_GB2312"/>
        </w:rPr>
        <w:t>/</w:t>
      </w:r>
      <w:r>
        <w:rPr>
          <w:rFonts w:hint="eastAsia" w:ascii="仿宋_GB2312" w:hAnsi="仿宋" w:eastAsia="仿宋_GB2312"/>
        </w:rPr>
        <w:t>；</w:t>
      </w:r>
    </w:p>
    <w:p w14:paraId="58326CCA">
      <w:pPr>
        <w:pStyle w:val="13"/>
        <w:numPr>
          <w:ilvl w:val="0"/>
          <w:numId w:val="30"/>
        </w:numPr>
        <w:snapToGrid w:val="0"/>
        <w:spacing w:before="0" w:beforeAutospacing="0" w:after="0" w:afterAutospacing="0" w:line="360" w:lineRule="auto"/>
        <w:ind w:left="851"/>
        <w:jc w:val="both"/>
        <w:rPr>
          <w:rFonts w:hint="eastAsia" w:ascii="仿宋_GB2312" w:hAnsi="仿宋" w:eastAsia="仿宋_GB2312"/>
        </w:rPr>
      </w:pPr>
      <w:r>
        <w:rPr>
          <w:rFonts w:hint="eastAsia" w:ascii="仿宋_GB2312" w:hAnsi="仿宋" w:eastAsia="仿宋_GB2312"/>
        </w:rPr>
        <w:t>网下投资者通过登录投资者系统进行询价报价、认购申报等，登录地址：</w:t>
      </w:r>
      <w:r>
        <w:rPr>
          <w:rFonts w:ascii="Times New Roman" w:hAnsi="Times New Roman" w:eastAsia="仿宋_GB2312"/>
        </w:rPr>
        <w:t>https</w:t>
      </w:r>
      <w:r>
        <w:rPr>
          <w:rFonts w:ascii="仿宋_GB2312" w:hAnsi="仿宋" w:eastAsia="仿宋_GB2312"/>
        </w:rPr>
        <w:t>://</w:t>
      </w:r>
      <w:r>
        <w:rPr>
          <w:rFonts w:ascii="Times New Roman" w:hAnsi="Times New Roman" w:eastAsia="仿宋_GB2312"/>
        </w:rPr>
        <w:t>iitp</w:t>
      </w:r>
      <w:r>
        <w:rPr>
          <w:rFonts w:ascii="仿宋_GB2312" w:hAnsi="仿宋" w:eastAsia="仿宋_GB2312"/>
        </w:rPr>
        <w:t>.</w:t>
      </w:r>
      <w:r>
        <w:rPr>
          <w:rFonts w:ascii="Times New Roman" w:hAnsi="Times New Roman" w:eastAsia="仿宋_GB2312"/>
        </w:rPr>
        <w:t>uap</w:t>
      </w:r>
      <w:r>
        <w:rPr>
          <w:rFonts w:ascii="仿宋_GB2312" w:hAnsi="仿宋" w:eastAsia="仿宋_GB2312"/>
        </w:rPr>
        <w:t>.</w:t>
      </w:r>
      <w:r>
        <w:rPr>
          <w:rFonts w:ascii="Times New Roman" w:hAnsi="Times New Roman" w:eastAsia="仿宋_GB2312"/>
        </w:rPr>
        <w:t>sse</w:t>
      </w:r>
      <w:r>
        <w:rPr>
          <w:rFonts w:ascii="仿宋_GB2312" w:hAnsi="仿宋" w:eastAsia="仿宋_GB2312"/>
        </w:rPr>
        <w:t>.</w:t>
      </w:r>
      <w:r>
        <w:rPr>
          <w:rFonts w:ascii="Times New Roman" w:hAnsi="Times New Roman" w:eastAsia="仿宋_GB2312"/>
        </w:rPr>
        <w:t>com</w:t>
      </w:r>
      <w:r>
        <w:rPr>
          <w:rFonts w:ascii="仿宋_GB2312" w:hAnsi="仿宋" w:eastAsia="仿宋_GB2312"/>
        </w:rPr>
        <w:t>.</w:t>
      </w:r>
      <w:r>
        <w:rPr>
          <w:rFonts w:ascii="Times New Roman" w:hAnsi="Times New Roman" w:eastAsia="仿宋_GB2312"/>
        </w:rPr>
        <w:t>cn</w:t>
      </w:r>
      <w:r>
        <w:rPr>
          <w:rFonts w:ascii="仿宋_GB2312" w:hAnsi="仿宋" w:eastAsia="仿宋_GB2312"/>
        </w:rPr>
        <w:t>/</w:t>
      </w:r>
      <w:r>
        <w:rPr>
          <w:rFonts w:ascii="Times New Roman" w:hAnsi="Times New Roman" w:eastAsia="仿宋_GB2312"/>
        </w:rPr>
        <w:t>otcreits</w:t>
      </w:r>
      <w:r>
        <w:rPr>
          <w:rFonts w:hint="eastAsia" w:ascii="仿宋_GB2312" w:hAnsi="仿宋" w:eastAsia="仿宋_GB2312"/>
        </w:rPr>
        <w:t>；</w:t>
      </w:r>
    </w:p>
    <w:p w14:paraId="218456F4">
      <w:pPr>
        <w:pStyle w:val="13"/>
        <w:numPr>
          <w:ilvl w:val="0"/>
          <w:numId w:val="30"/>
        </w:numPr>
        <w:snapToGrid w:val="0"/>
        <w:spacing w:before="0" w:beforeAutospacing="0" w:after="0" w:afterAutospacing="0" w:line="360" w:lineRule="auto"/>
        <w:ind w:left="851"/>
        <w:jc w:val="both"/>
        <w:rPr>
          <w:rFonts w:hint="eastAsia" w:ascii="仿宋_GB2312" w:hAnsi="仿宋" w:eastAsia="仿宋_GB2312"/>
        </w:rPr>
      </w:pPr>
      <w:r>
        <w:rPr>
          <w:rFonts w:hint="eastAsia" w:ascii="仿宋_GB2312" w:hAnsi="仿宋" w:eastAsia="仿宋_GB2312"/>
        </w:rPr>
        <w:t>询价日期原则上为</w:t>
      </w:r>
      <w:r>
        <w:rPr>
          <w:rFonts w:hint="eastAsia" w:ascii="Times New Roman" w:hAnsi="Times New Roman" w:eastAsia="仿宋_GB2312"/>
        </w:rPr>
        <w:t>1</w:t>
      </w:r>
      <w:r>
        <w:rPr>
          <w:rFonts w:hint="eastAsia" w:ascii="仿宋_GB2312" w:hAnsi="仿宋" w:eastAsia="仿宋_GB2312"/>
        </w:rPr>
        <w:t>个交易日。</w:t>
      </w:r>
    </w:p>
    <w:p w14:paraId="6D0892BF">
      <w:pPr>
        <w:pStyle w:val="13"/>
        <w:numPr>
          <w:ilvl w:val="1"/>
          <w:numId w:val="29"/>
        </w:numPr>
        <w:snapToGrid w:val="0"/>
        <w:spacing w:before="0" w:beforeAutospacing="0" w:after="0" w:afterAutospacing="0" w:line="360" w:lineRule="auto"/>
        <w:jc w:val="both"/>
        <w:rPr>
          <w:rFonts w:hint="eastAsia" w:ascii="仿宋_GB2312" w:hAnsi="仿宋" w:eastAsia="仿宋_GB2312"/>
        </w:rPr>
      </w:pPr>
      <w:r>
        <w:rPr>
          <w:rFonts w:hint="eastAsia" w:ascii="仿宋_GB2312" w:hAnsi="仿宋" w:eastAsia="仿宋_GB2312"/>
        </w:rPr>
        <w:t>业务办理流程：</w:t>
      </w:r>
    </w:p>
    <w:p w14:paraId="7CF2ADDB">
      <w:pPr>
        <w:pStyle w:val="13"/>
        <w:snapToGrid w:val="0"/>
        <w:spacing w:before="0" w:beforeAutospacing="0" w:after="0" w:afterAutospacing="0" w:line="360" w:lineRule="auto"/>
        <w:jc w:val="both"/>
        <w:rPr>
          <w:rFonts w:hint="eastAsia" w:ascii="仿宋_GB2312" w:hAnsi="仿宋" w:eastAsia="仿宋_GB2312"/>
        </w:rPr>
      </w:pPr>
    </w:p>
    <w:p w14:paraId="0504B029">
      <w:pPr>
        <w:pStyle w:val="13"/>
        <w:numPr>
          <w:ilvl w:val="0"/>
          <w:numId w:val="31"/>
        </w:numPr>
        <w:snapToGrid w:val="0"/>
        <w:spacing w:before="0" w:beforeAutospacing="0" w:after="0" w:afterAutospacing="0" w:line="360" w:lineRule="auto"/>
        <w:ind w:left="424" w:leftChars="202" w:firstLine="0"/>
        <w:jc w:val="both"/>
        <w:rPr>
          <w:rFonts w:hint="eastAsia" w:ascii="仿宋_GB2312" w:hAnsi="仿宋" w:eastAsia="仿宋_GB2312"/>
        </w:rPr>
      </w:pPr>
      <w:r>
        <w:rPr>
          <w:rFonts w:hint="eastAsia" w:ascii="仿宋_GB2312" w:hAnsi="仿宋" w:eastAsia="仿宋_GB2312"/>
        </w:rPr>
        <w:t>名称释义：</w:t>
      </w:r>
    </w:p>
    <w:p w14:paraId="1FE6C347">
      <w:pPr>
        <w:pStyle w:val="13"/>
        <w:snapToGrid w:val="0"/>
        <w:spacing w:before="0" w:beforeAutospacing="0" w:after="0" w:afterAutospacing="0" w:line="360" w:lineRule="auto"/>
        <w:ind w:left="424" w:firstLine="480" w:firstLineChars="200"/>
        <w:jc w:val="both"/>
        <w:rPr>
          <w:rFonts w:hint="eastAsia" w:ascii="仿宋_GB2312" w:hAnsi="仿宋" w:eastAsia="仿宋_GB2312"/>
        </w:rPr>
      </w:pPr>
      <w:r>
        <w:rPr>
          <w:rFonts w:ascii="Times New Roman" w:hAnsi="Times New Roman" w:eastAsia="仿宋_GB2312"/>
        </w:rPr>
        <w:t>L</w:t>
      </w:r>
      <w:r>
        <w:rPr>
          <w:rFonts w:ascii="仿宋_GB2312" w:hAnsi="仿宋" w:eastAsia="仿宋_GB2312"/>
        </w:rPr>
        <w:t>日</w:t>
      </w:r>
      <w:r>
        <w:rPr>
          <w:rFonts w:hint="eastAsia" w:ascii="仿宋_GB2312" w:hAnsi="仿宋" w:eastAsia="仿宋_GB2312"/>
        </w:rPr>
        <w:t>-认购起始日</w:t>
      </w:r>
    </w:p>
    <w:p w14:paraId="72DE3EFA">
      <w:pPr>
        <w:pStyle w:val="13"/>
        <w:snapToGrid w:val="0"/>
        <w:spacing w:before="0" w:beforeAutospacing="0" w:after="0" w:afterAutospacing="0" w:line="360" w:lineRule="auto"/>
        <w:ind w:left="426" w:firstLine="480" w:firstLineChars="200"/>
        <w:jc w:val="both"/>
        <w:rPr>
          <w:rFonts w:hint="eastAsia" w:ascii="仿宋_GB2312" w:hAnsi="仿宋" w:eastAsia="仿宋_GB2312"/>
        </w:rPr>
      </w:pPr>
      <w:r>
        <w:rPr>
          <w:rFonts w:hint="eastAsia" w:ascii="仿宋_GB2312" w:hAnsi="仿宋" w:eastAsia="仿宋_GB2312"/>
        </w:rPr>
        <w:t>场内账户-中国结算上海人民币普通股票账户或封闭式基金账户</w:t>
      </w:r>
    </w:p>
    <w:p w14:paraId="5322E1E6">
      <w:pPr>
        <w:pStyle w:val="13"/>
        <w:snapToGrid w:val="0"/>
        <w:spacing w:before="0" w:beforeAutospacing="0" w:after="0" w:afterAutospacing="0" w:line="360" w:lineRule="auto"/>
        <w:ind w:left="426" w:firstLine="480" w:firstLineChars="200"/>
        <w:jc w:val="both"/>
        <w:rPr>
          <w:rFonts w:hint="eastAsia" w:ascii="仿宋_GB2312" w:hAnsi="仿宋" w:eastAsia="仿宋_GB2312"/>
        </w:rPr>
      </w:pPr>
      <w:r>
        <w:rPr>
          <w:rFonts w:hint="eastAsia" w:ascii="仿宋_GB2312" w:hAnsi="仿宋" w:eastAsia="仿宋_GB2312"/>
        </w:rPr>
        <w:t>场外账户-中国结算开放式基金账户</w:t>
      </w:r>
    </w:p>
    <w:p w14:paraId="7C410FBD">
      <w:pPr>
        <w:snapToGrid w:val="0"/>
        <w:spacing w:line="360" w:lineRule="auto"/>
        <w:ind w:left="420"/>
        <w:rPr>
          <w:rFonts w:hint="eastAsia" w:ascii="仿宋_GB2312" w:hAnsi="仿宋" w:eastAsia="仿宋_GB2312" w:cs="宋体"/>
          <w:color w:val="000000"/>
          <w:kern w:val="0"/>
          <w:sz w:val="24"/>
        </w:rPr>
      </w:pPr>
    </w:p>
    <w:p w14:paraId="6705C809">
      <w:pPr>
        <w:snapToGrid w:val="0"/>
        <w:spacing w:line="360" w:lineRule="auto"/>
        <w:ind w:left="420"/>
        <w:rPr>
          <w:rFonts w:hint="eastAsia" w:ascii="仿宋_GB2312" w:hAnsi="仿宋" w:eastAsia="仿宋_GB2312" w:cs="宋体"/>
          <w:color w:val="000000"/>
          <w:kern w:val="0"/>
          <w:sz w:val="24"/>
        </w:rPr>
      </w:pPr>
      <w:r>
        <w:rPr>
          <w:rFonts w:hint="eastAsia" w:ascii="Times New Roman" w:hAnsi="Times New Roman" w:eastAsia="仿宋_GB2312" w:cs="宋体"/>
          <w:color w:val="000000"/>
          <w:kern w:val="0"/>
          <w:sz w:val="24"/>
        </w:rPr>
        <w:t>X</w:t>
      </w:r>
      <w:r>
        <w:rPr>
          <w:rFonts w:hint="eastAsia" w:ascii="仿宋_GB2312" w:hAnsi="仿宋" w:eastAsia="仿宋_GB2312" w:cs="宋体"/>
          <w:color w:val="000000"/>
          <w:kern w:val="0"/>
          <w:sz w:val="24"/>
        </w:rPr>
        <w:t>-</w:t>
      </w:r>
      <w:r>
        <w:rPr>
          <w:rFonts w:hint="eastAsia" w:ascii="Times New Roman" w:hAnsi="Times New Roman" w:eastAsia="仿宋_GB2312" w:cs="宋体"/>
          <w:color w:val="000000"/>
          <w:kern w:val="0"/>
          <w:sz w:val="24"/>
        </w:rPr>
        <w:t>2</w:t>
      </w:r>
      <w:r>
        <w:rPr>
          <w:rFonts w:hint="eastAsia" w:ascii="仿宋_GB2312" w:hAnsi="仿宋" w:eastAsia="仿宋_GB2312" w:cs="宋体"/>
          <w:color w:val="000000"/>
          <w:kern w:val="0"/>
          <w:sz w:val="24"/>
        </w:rPr>
        <w:t>日（含）前</w:t>
      </w:r>
    </w:p>
    <w:p w14:paraId="63D7DD34">
      <w:pPr>
        <w:numPr>
          <w:ilvl w:val="0"/>
          <w:numId w:val="22"/>
        </w:numPr>
        <w:snapToGrid w:val="0"/>
        <w:spacing w:line="360" w:lineRule="auto"/>
        <w:ind w:firstLine="480" w:firstLineChars="200"/>
        <w:rPr>
          <w:rFonts w:hint="eastAsia" w:ascii="仿宋_GB2312" w:hAnsi="仿宋" w:eastAsia="仿宋_GB2312" w:cs="宋体"/>
          <w:color w:val="000000"/>
          <w:kern w:val="0"/>
          <w:sz w:val="24"/>
        </w:rPr>
      </w:pPr>
      <w:r>
        <w:rPr>
          <w:rFonts w:hint="eastAsia" w:ascii="仿宋_GB2312" w:hAnsi="仿宋" w:eastAsia="仿宋_GB2312" w:cs="宋体"/>
          <w:color w:val="000000"/>
          <w:kern w:val="0"/>
          <w:sz w:val="24"/>
        </w:rPr>
        <w:t>发行人通过发行人系统录入询价相关参数。</w:t>
      </w:r>
    </w:p>
    <w:p w14:paraId="6B4E0F38">
      <w:pPr>
        <w:numPr>
          <w:ilvl w:val="0"/>
          <w:numId w:val="22"/>
        </w:numPr>
        <w:snapToGrid w:val="0"/>
        <w:spacing w:line="360" w:lineRule="auto"/>
        <w:ind w:firstLine="480" w:firstLineChars="200"/>
        <w:rPr>
          <w:rFonts w:hint="eastAsia" w:ascii="仿宋_GB2312" w:hAnsi="仿宋" w:eastAsia="仿宋_GB2312" w:cs="宋体"/>
          <w:color w:val="000000"/>
          <w:kern w:val="0"/>
          <w:sz w:val="24"/>
        </w:rPr>
      </w:pPr>
      <w:r>
        <w:rPr>
          <w:rFonts w:hint="eastAsia" w:ascii="仿宋_GB2312" w:hAnsi="仿宋" w:eastAsia="仿宋_GB2312" w:cs="宋体"/>
          <w:color w:val="000000"/>
          <w:kern w:val="0"/>
          <w:sz w:val="24"/>
        </w:rPr>
        <w:t>经本所审核通过后，相关设置生效，并不可再修改。</w:t>
      </w:r>
    </w:p>
    <w:p w14:paraId="2CAAD6CC">
      <w:pPr>
        <w:snapToGrid w:val="0"/>
        <w:spacing w:line="360" w:lineRule="auto"/>
        <w:ind w:left="420"/>
        <w:rPr>
          <w:rFonts w:hint="eastAsia" w:ascii="仿宋_GB2312" w:hAnsi="仿宋" w:eastAsia="仿宋_GB2312" w:cs="宋体"/>
          <w:color w:val="000000"/>
          <w:kern w:val="0"/>
          <w:sz w:val="24"/>
        </w:rPr>
      </w:pPr>
    </w:p>
    <w:p w14:paraId="30FF28E7">
      <w:pPr>
        <w:snapToGrid w:val="0"/>
        <w:spacing w:line="360" w:lineRule="auto"/>
        <w:ind w:left="420"/>
        <w:rPr>
          <w:rFonts w:hint="eastAsia" w:ascii="仿宋_GB2312" w:hAnsi="仿宋" w:eastAsia="仿宋_GB2312" w:cs="宋体"/>
          <w:color w:val="000000"/>
          <w:kern w:val="0"/>
          <w:sz w:val="24"/>
        </w:rPr>
      </w:pPr>
      <w:r>
        <w:rPr>
          <w:rFonts w:hint="eastAsia" w:ascii="Times New Roman" w:hAnsi="Times New Roman" w:eastAsia="仿宋_GB2312" w:cs="宋体"/>
          <w:color w:val="000000"/>
          <w:kern w:val="0"/>
          <w:sz w:val="24"/>
        </w:rPr>
        <w:t>X</w:t>
      </w:r>
      <w:r>
        <w:rPr>
          <w:rFonts w:hint="eastAsia" w:ascii="仿宋_GB2312" w:hAnsi="仿宋" w:eastAsia="仿宋_GB2312" w:cs="宋体"/>
          <w:color w:val="000000"/>
          <w:kern w:val="0"/>
          <w:sz w:val="24"/>
        </w:rPr>
        <w:t>-</w:t>
      </w:r>
      <w:r>
        <w:rPr>
          <w:rFonts w:hint="eastAsia" w:ascii="Times New Roman" w:hAnsi="Times New Roman" w:eastAsia="仿宋_GB2312" w:cs="宋体"/>
          <w:color w:val="000000"/>
          <w:kern w:val="0"/>
          <w:sz w:val="24"/>
        </w:rPr>
        <w:t>1</w:t>
      </w:r>
      <w:r>
        <w:rPr>
          <w:rFonts w:hint="eastAsia" w:ascii="仿宋_GB2312" w:hAnsi="仿宋" w:eastAsia="仿宋_GB2312" w:cs="宋体"/>
          <w:color w:val="000000"/>
          <w:kern w:val="0"/>
          <w:sz w:val="24"/>
        </w:rPr>
        <w:t>日</w:t>
      </w:r>
    </w:p>
    <w:p w14:paraId="47D0E2C2">
      <w:pPr>
        <w:numPr>
          <w:ilvl w:val="0"/>
          <w:numId w:val="22"/>
        </w:numPr>
        <w:snapToGrid w:val="0"/>
        <w:spacing w:line="360" w:lineRule="auto"/>
        <w:ind w:firstLine="480" w:firstLineChars="200"/>
        <w:rPr>
          <w:rFonts w:hint="eastAsia" w:ascii="仿宋_GB2312" w:hAnsi="仿宋" w:eastAsia="仿宋_GB2312" w:cs="宋体"/>
          <w:color w:val="000000"/>
          <w:kern w:val="0"/>
          <w:sz w:val="24"/>
        </w:rPr>
      </w:pPr>
      <w:r>
        <w:rPr>
          <w:rFonts w:hint="eastAsia" w:ascii="Times New Roman" w:hAnsi="Times New Roman" w:eastAsia="仿宋_GB2312" w:cs="宋体"/>
          <w:color w:val="000000"/>
          <w:kern w:val="0"/>
          <w:sz w:val="24"/>
        </w:rPr>
        <w:t>13</w:t>
      </w:r>
      <w:r>
        <w:rPr>
          <w:rFonts w:hint="eastAsia" w:ascii="仿宋_GB2312" w:hAnsi="仿宋" w:eastAsia="仿宋_GB2312" w:cs="宋体"/>
          <w:color w:val="000000"/>
          <w:kern w:val="0"/>
          <w:sz w:val="24"/>
        </w:rPr>
        <w:t>:</w:t>
      </w:r>
      <w:r>
        <w:rPr>
          <w:rFonts w:hint="eastAsia" w:ascii="Times New Roman" w:hAnsi="Times New Roman" w:eastAsia="仿宋_GB2312" w:cs="宋体"/>
          <w:color w:val="000000"/>
          <w:kern w:val="0"/>
          <w:sz w:val="24"/>
        </w:rPr>
        <w:t>00</w:t>
      </w:r>
      <w:r>
        <w:rPr>
          <w:rFonts w:hint="eastAsia" w:ascii="仿宋_GB2312" w:hAnsi="仿宋" w:eastAsia="仿宋_GB2312" w:cs="宋体"/>
          <w:color w:val="000000"/>
          <w:kern w:val="0"/>
          <w:sz w:val="24"/>
        </w:rPr>
        <w:t>-</w:t>
      </w:r>
      <w:r>
        <w:rPr>
          <w:rFonts w:hint="eastAsia" w:ascii="Times New Roman" w:hAnsi="Times New Roman" w:eastAsia="仿宋_GB2312" w:cs="宋体"/>
          <w:color w:val="000000"/>
          <w:kern w:val="0"/>
          <w:sz w:val="24"/>
        </w:rPr>
        <w:t>21</w:t>
      </w:r>
      <w:r>
        <w:rPr>
          <w:rFonts w:hint="eastAsia" w:ascii="仿宋_GB2312" w:hAnsi="仿宋" w:eastAsia="仿宋_GB2312" w:cs="宋体"/>
          <w:color w:val="000000"/>
          <w:kern w:val="0"/>
          <w:sz w:val="24"/>
        </w:rPr>
        <w:t>:</w:t>
      </w:r>
      <w:r>
        <w:rPr>
          <w:rFonts w:hint="eastAsia" w:ascii="Times New Roman" w:hAnsi="Times New Roman" w:eastAsia="仿宋_GB2312" w:cs="宋体"/>
          <w:color w:val="000000"/>
          <w:kern w:val="0"/>
          <w:sz w:val="24"/>
        </w:rPr>
        <w:t>00</w:t>
      </w:r>
      <w:r>
        <w:rPr>
          <w:rFonts w:hint="eastAsia" w:ascii="仿宋_GB2312" w:hAnsi="仿宋" w:eastAsia="仿宋_GB2312" w:cs="宋体"/>
          <w:color w:val="000000"/>
          <w:kern w:val="0"/>
          <w:sz w:val="24"/>
        </w:rPr>
        <w:t>，发行人结合询价平台从证券业协会获取的《网下机构名单和配售对象名单》，在询价平台完成首轮剔除，剔除异常账户、限制账户、询价禁入账户。</w:t>
      </w:r>
    </w:p>
    <w:p w14:paraId="33981933">
      <w:pPr>
        <w:tabs>
          <w:tab w:val="left" w:pos="420"/>
        </w:tabs>
        <w:snapToGrid w:val="0"/>
        <w:spacing w:line="360" w:lineRule="auto"/>
        <w:ind w:left="900"/>
        <w:rPr>
          <w:rFonts w:hint="eastAsia" w:ascii="仿宋_GB2312" w:hAnsi="仿宋" w:eastAsia="仿宋_GB2312" w:cs="宋体"/>
          <w:color w:val="000000"/>
          <w:kern w:val="0"/>
          <w:sz w:val="24"/>
        </w:rPr>
      </w:pPr>
      <w:r>
        <w:rPr>
          <w:rFonts w:hint="eastAsia" w:ascii="仿宋_GB2312" w:hAnsi="仿宋" w:eastAsia="仿宋_GB2312" w:cs="宋体"/>
          <w:color w:val="000000"/>
          <w:kern w:val="0"/>
          <w:sz w:val="24"/>
        </w:rPr>
        <w:t>注：</w:t>
      </w:r>
    </w:p>
    <w:p w14:paraId="6D0B8281">
      <w:pPr>
        <w:numPr>
          <w:ilvl w:val="0"/>
          <w:numId w:val="32"/>
        </w:numPr>
        <w:tabs>
          <w:tab w:val="clear" w:pos="420"/>
        </w:tabs>
        <w:snapToGrid w:val="0"/>
        <w:spacing w:line="360" w:lineRule="auto"/>
        <w:ind w:left="1276"/>
        <w:rPr>
          <w:rFonts w:hint="eastAsia" w:ascii="仿宋_GB2312" w:hAnsi="仿宋" w:eastAsia="仿宋_GB2312" w:cs="宋体"/>
          <w:color w:val="000000"/>
          <w:kern w:val="0"/>
          <w:sz w:val="24"/>
        </w:rPr>
      </w:pPr>
      <w:r>
        <w:rPr>
          <w:rFonts w:hint="eastAsia" w:ascii="仿宋_GB2312" w:hAnsi="仿宋" w:eastAsia="仿宋_GB2312" w:cs="宋体"/>
          <w:color w:val="000000"/>
          <w:kern w:val="0"/>
          <w:sz w:val="24"/>
        </w:rPr>
        <w:t>主要剔除中国证券业协会发布的《</w:t>
      </w:r>
      <w:r>
        <w:rPr>
          <w:rFonts w:hint="eastAsia" w:ascii="Times New Roman" w:hAnsi="Times New Roman" w:eastAsia="仿宋_GB2312" w:cs="宋体"/>
          <w:color w:val="000000"/>
          <w:kern w:val="0"/>
          <w:sz w:val="24"/>
        </w:rPr>
        <w:t>REITs</w:t>
      </w:r>
      <w:r>
        <w:rPr>
          <w:rFonts w:hint="eastAsia" w:ascii="仿宋_GB2312" w:hAnsi="仿宋" w:eastAsia="仿宋_GB2312" w:cs="宋体"/>
          <w:color w:val="000000"/>
          <w:kern w:val="0"/>
          <w:sz w:val="24"/>
        </w:rPr>
        <w:t>配售对象限制名单》所列机构，以及根据规则要求剔除原始权益人及其关联方、基金管理人、财务顾问、战略投资者等与定价存在利益冲突的主体；</w:t>
      </w:r>
    </w:p>
    <w:p w14:paraId="6D9A8BEB">
      <w:pPr>
        <w:numPr>
          <w:ilvl w:val="0"/>
          <w:numId w:val="32"/>
        </w:numPr>
        <w:tabs>
          <w:tab w:val="clear" w:pos="420"/>
        </w:tabs>
        <w:snapToGrid w:val="0"/>
        <w:spacing w:line="360" w:lineRule="auto"/>
        <w:ind w:left="1276"/>
        <w:rPr>
          <w:rFonts w:hint="eastAsia" w:ascii="仿宋_GB2312" w:hAnsi="仿宋" w:eastAsia="仿宋_GB2312" w:cs="宋体"/>
          <w:color w:val="000000"/>
          <w:kern w:val="0"/>
          <w:sz w:val="24"/>
        </w:rPr>
      </w:pPr>
      <w:r>
        <w:rPr>
          <w:rFonts w:hint="eastAsia" w:ascii="仿宋_GB2312" w:hAnsi="仿宋" w:eastAsia="仿宋_GB2312" w:cs="宋体"/>
          <w:color w:val="000000"/>
          <w:kern w:val="0"/>
          <w:sz w:val="24"/>
        </w:rPr>
        <w:t>经询价平台校验后，如发现场内账户与名称不匹配、无效账户等，则询价平台自动生成“场内账户状态”为异常，并供发行人下载参考。询价平台不直接剔除场内账户。</w:t>
      </w:r>
    </w:p>
    <w:p w14:paraId="5CF6965A">
      <w:pPr>
        <w:snapToGrid w:val="0"/>
        <w:spacing w:line="360" w:lineRule="auto"/>
        <w:rPr>
          <w:rFonts w:hint="eastAsia" w:ascii="仿宋_GB2312" w:hAnsi="仿宋" w:eastAsia="仿宋_GB2312" w:cs="宋体"/>
          <w:color w:val="000000"/>
          <w:kern w:val="0"/>
          <w:sz w:val="24"/>
        </w:rPr>
      </w:pPr>
    </w:p>
    <w:p w14:paraId="7AF2EEC2">
      <w:pPr>
        <w:snapToGrid w:val="0"/>
        <w:spacing w:line="360" w:lineRule="auto"/>
        <w:ind w:left="420"/>
        <w:rPr>
          <w:rFonts w:hint="eastAsia" w:ascii="仿宋_GB2312" w:hAnsi="仿宋" w:eastAsia="仿宋_GB2312" w:cs="宋体"/>
          <w:color w:val="000000"/>
          <w:kern w:val="0"/>
          <w:sz w:val="24"/>
        </w:rPr>
      </w:pPr>
      <w:r>
        <w:rPr>
          <w:rFonts w:hint="eastAsia" w:ascii="Times New Roman" w:hAnsi="Times New Roman" w:eastAsia="仿宋_GB2312" w:cs="宋体"/>
          <w:color w:val="000000"/>
          <w:kern w:val="0"/>
          <w:sz w:val="24"/>
        </w:rPr>
        <w:t>X</w:t>
      </w:r>
      <w:r>
        <w:rPr>
          <w:rFonts w:hint="eastAsia" w:ascii="仿宋_GB2312" w:hAnsi="仿宋" w:eastAsia="仿宋_GB2312" w:cs="宋体"/>
          <w:color w:val="000000"/>
          <w:kern w:val="0"/>
          <w:sz w:val="24"/>
        </w:rPr>
        <w:t>日</w:t>
      </w:r>
    </w:p>
    <w:p w14:paraId="54BE702D">
      <w:pPr>
        <w:numPr>
          <w:ilvl w:val="0"/>
          <w:numId w:val="22"/>
        </w:numPr>
        <w:snapToGrid w:val="0"/>
        <w:spacing w:line="360" w:lineRule="auto"/>
        <w:ind w:firstLine="480" w:firstLineChars="200"/>
        <w:rPr>
          <w:rFonts w:hint="eastAsia" w:ascii="仿宋_GB2312" w:hAnsi="仿宋" w:eastAsia="仿宋_GB2312" w:cs="宋体"/>
          <w:color w:val="000000"/>
          <w:kern w:val="0"/>
          <w:sz w:val="24"/>
        </w:rPr>
      </w:pPr>
      <w:r>
        <w:rPr>
          <w:rFonts w:ascii="Times New Roman" w:hAnsi="Times New Roman" w:eastAsia="仿宋_GB2312" w:cs="宋体"/>
          <w:color w:val="000000"/>
          <w:kern w:val="0"/>
          <w:sz w:val="24"/>
        </w:rPr>
        <w:t>9</w:t>
      </w:r>
      <w:r>
        <w:rPr>
          <w:rFonts w:ascii="仿宋_GB2312" w:hAnsi="仿宋" w:eastAsia="仿宋_GB2312" w:cs="宋体"/>
          <w:color w:val="000000"/>
          <w:kern w:val="0"/>
          <w:sz w:val="24"/>
        </w:rPr>
        <w:t>:</w:t>
      </w:r>
      <w:r>
        <w:rPr>
          <w:rFonts w:ascii="Times New Roman" w:hAnsi="Times New Roman" w:eastAsia="仿宋_GB2312" w:cs="宋体"/>
          <w:color w:val="000000"/>
          <w:kern w:val="0"/>
          <w:sz w:val="24"/>
        </w:rPr>
        <w:t>00</w:t>
      </w:r>
      <w:r>
        <w:rPr>
          <w:rFonts w:ascii="仿宋_GB2312" w:hAnsi="仿宋" w:eastAsia="仿宋_GB2312" w:cs="宋体"/>
          <w:color w:val="000000"/>
          <w:kern w:val="0"/>
          <w:sz w:val="24"/>
        </w:rPr>
        <w:t>-</w:t>
      </w:r>
      <w:r>
        <w:rPr>
          <w:rFonts w:ascii="Times New Roman" w:hAnsi="Times New Roman" w:eastAsia="仿宋_GB2312" w:cs="宋体"/>
          <w:color w:val="000000"/>
          <w:kern w:val="0"/>
          <w:sz w:val="24"/>
        </w:rPr>
        <w:t>15</w:t>
      </w:r>
      <w:r>
        <w:rPr>
          <w:rFonts w:ascii="仿宋_GB2312" w:hAnsi="仿宋" w:eastAsia="仿宋_GB2312" w:cs="宋体"/>
          <w:color w:val="000000"/>
          <w:kern w:val="0"/>
          <w:sz w:val="24"/>
        </w:rPr>
        <w:t>:</w:t>
      </w:r>
      <w:r>
        <w:rPr>
          <w:rFonts w:ascii="Times New Roman" w:hAnsi="Times New Roman" w:eastAsia="仿宋_GB2312" w:cs="宋体"/>
          <w:color w:val="000000"/>
          <w:kern w:val="0"/>
          <w:sz w:val="24"/>
        </w:rPr>
        <w:t>00</w:t>
      </w:r>
      <w:r>
        <w:rPr>
          <w:rFonts w:hint="eastAsia" w:ascii="仿宋_GB2312" w:hAnsi="仿宋" w:eastAsia="仿宋_GB2312" w:cs="宋体"/>
          <w:color w:val="000000"/>
          <w:kern w:val="0"/>
          <w:sz w:val="24"/>
        </w:rPr>
        <w:t>，网下投资者登录投资者系统：</w:t>
      </w:r>
    </w:p>
    <w:p w14:paraId="28E2572D">
      <w:pPr>
        <w:numPr>
          <w:ilvl w:val="0"/>
          <w:numId w:val="33"/>
        </w:numPr>
        <w:tabs>
          <w:tab w:val="clear" w:pos="420"/>
        </w:tabs>
        <w:snapToGrid w:val="0"/>
        <w:spacing w:line="360" w:lineRule="auto"/>
        <w:ind w:left="1276"/>
        <w:rPr>
          <w:rFonts w:hint="eastAsia" w:ascii="仿宋_GB2312" w:hAnsi="仿宋" w:eastAsia="仿宋_GB2312" w:cs="宋体"/>
          <w:color w:val="000000"/>
          <w:kern w:val="0"/>
          <w:sz w:val="24"/>
        </w:rPr>
      </w:pPr>
      <w:r>
        <w:rPr>
          <w:rFonts w:hint="eastAsia" w:ascii="仿宋_GB2312" w:hAnsi="仿宋" w:eastAsia="仿宋_GB2312" w:cs="宋体"/>
          <w:color w:val="000000"/>
          <w:kern w:val="0"/>
          <w:sz w:val="24"/>
        </w:rPr>
        <w:t>在报价前最终确认本次询价的账户信息（含资金账户）；</w:t>
      </w:r>
    </w:p>
    <w:p w14:paraId="0E37113F">
      <w:pPr>
        <w:numPr>
          <w:ilvl w:val="0"/>
          <w:numId w:val="33"/>
        </w:numPr>
        <w:tabs>
          <w:tab w:val="clear" w:pos="420"/>
        </w:tabs>
        <w:snapToGrid w:val="0"/>
        <w:spacing w:line="360" w:lineRule="auto"/>
        <w:ind w:left="1276"/>
        <w:rPr>
          <w:rFonts w:hint="eastAsia" w:ascii="仿宋_GB2312" w:hAnsi="仿宋" w:eastAsia="仿宋_GB2312" w:cs="宋体"/>
          <w:color w:val="000000"/>
          <w:kern w:val="0"/>
          <w:sz w:val="24"/>
        </w:rPr>
      </w:pPr>
      <w:r>
        <w:rPr>
          <w:rFonts w:hint="eastAsia" w:ascii="仿宋_GB2312" w:hAnsi="仿宋" w:eastAsia="仿宋_GB2312" w:cs="宋体"/>
          <w:color w:val="000000"/>
          <w:kern w:val="0"/>
          <w:sz w:val="24"/>
        </w:rPr>
        <w:t>进行询价申报：网下投资者可为其管理的不同配售对象分别报价，每个配售对象只能提供</w:t>
      </w:r>
      <w:r>
        <w:rPr>
          <w:rFonts w:hint="eastAsia" w:ascii="Times New Roman" w:hAnsi="Times New Roman" w:eastAsia="仿宋_GB2312" w:cs="宋体"/>
          <w:color w:val="000000"/>
          <w:kern w:val="0"/>
          <w:sz w:val="24"/>
        </w:rPr>
        <w:t>1</w:t>
      </w:r>
      <w:r>
        <w:rPr>
          <w:rFonts w:hint="eastAsia" w:ascii="仿宋_GB2312" w:hAnsi="仿宋" w:eastAsia="仿宋_GB2312" w:cs="宋体"/>
          <w:color w:val="000000"/>
          <w:kern w:val="0"/>
          <w:sz w:val="24"/>
        </w:rPr>
        <w:t>个报价，同一网下投资者全部报价中的不同拟认购价格不得超过</w:t>
      </w:r>
      <w:r>
        <w:rPr>
          <w:rFonts w:hint="eastAsia" w:ascii="Times New Roman" w:hAnsi="Times New Roman" w:eastAsia="仿宋_GB2312" w:cs="宋体"/>
          <w:color w:val="000000"/>
          <w:kern w:val="0"/>
          <w:sz w:val="24"/>
        </w:rPr>
        <w:t>3</w:t>
      </w:r>
      <w:r>
        <w:rPr>
          <w:rFonts w:hint="eastAsia" w:ascii="仿宋_GB2312" w:hAnsi="仿宋" w:eastAsia="仿宋_GB2312" w:cs="宋体"/>
          <w:color w:val="000000"/>
          <w:kern w:val="0"/>
          <w:sz w:val="24"/>
        </w:rPr>
        <w:t>个；网下投资者为拟参与报价的全部配售对象录入报价记录后，应当一次性提交。网下投资者可以多次提交报价记录，但以最后一次提交的全部报价记录为准；</w:t>
      </w:r>
    </w:p>
    <w:p w14:paraId="719D64B1">
      <w:pPr>
        <w:numPr>
          <w:ilvl w:val="0"/>
          <w:numId w:val="33"/>
        </w:numPr>
        <w:tabs>
          <w:tab w:val="clear" w:pos="420"/>
        </w:tabs>
        <w:snapToGrid w:val="0"/>
        <w:spacing w:line="360" w:lineRule="auto"/>
        <w:ind w:left="1276"/>
        <w:rPr>
          <w:rFonts w:hint="eastAsia" w:ascii="仿宋_GB2312" w:hAnsi="仿宋" w:eastAsia="仿宋_GB2312" w:cs="宋体"/>
          <w:color w:val="000000"/>
          <w:kern w:val="0"/>
          <w:sz w:val="24"/>
        </w:rPr>
      </w:pPr>
      <w:r>
        <w:rPr>
          <w:rFonts w:hint="eastAsia" w:ascii="仿宋_GB2312" w:hAnsi="仿宋" w:eastAsia="仿宋_GB2312" w:cs="宋体"/>
          <w:color w:val="000000"/>
          <w:kern w:val="0"/>
          <w:sz w:val="24"/>
        </w:rPr>
        <w:t>可实时查看和下载已生效的询价参数、配售对象的报价记录、配售对象状态等。</w:t>
      </w:r>
    </w:p>
    <w:p w14:paraId="3E2CCD17">
      <w:pPr>
        <w:numPr>
          <w:ilvl w:val="0"/>
          <w:numId w:val="22"/>
        </w:numPr>
        <w:snapToGrid w:val="0"/>
        <w:spacing w:line="360" w:lineRule="auto"/>
        <w:ind w:firstLine="480" w:firstLineChars="200"/>
        <w:rPr>
          <w:rFonts w:hint="eastAsia" w:ascii="仿宋_GB2312" w:hAnsi="仿宋" w:eastAsia="仿宋_GB2312" w:cs="宋体"/>
          <w:color w:val="000000"/>
          <w:kern w:val="0"/>
          <w:sz w:val="24"/>
        </w:rPr>
      </w:pPr>
      <w:r>
        <w:rPr>
          <w:rFonts w:ascii="Times New Roman" w:hAnsi="Times New Roman" w:eastAsia="仿宋_GB2312" w:cs="宋体"/>
          <w:color w:val="000000"/>
          <w:kern w:val="0"/>
          <w:sz w:val="24"/>
        </w:rPr>
        <w:t>9</w:t>
      </w:r>
      <w:r>
        <w:rPr>
          <w:rFonts w:ascii="仿宋_GB2312" w:hAnsi="仿宋" w:eastAsia="仿宋_GB2312" w:cs="宋体"/>
          <w:color w:val="000000"/>
          <w:kern w:val="0"/>
          <w:sz w:val="24"/>
        </w:rPr>
        <w:t>:</w:t>
      </w:r>
      <w:r>
        <w:rPr>
          <w:rFonts w:ascii="Times New Roman" w:hAnsi="Times New Roman" w:eastAsia="仿宋_GB2312" w:cs="宋体"/>
          <w:color w:val="000000"/>
          <w:kern w:val="0"/>
          <w:sz w:val="24"/>
        </w:rPr>
        <w:t>00</w:t>
      </w:r>
      <w:r>
        <w:rPr>
          <w:rFonts w:ascii="仿宋_GB2312" w:hAnsi="仿宋" w:eastAsia="仿宋_GB2312" w:cs="宋体"/>
          <w:color w:val="000000"/>
          <w:kern w:val="0"/>
          <w:sz w:val="24"/>
        </w:rPr>
        <w:t>-</w:t>
      </w:r>
      <w:r>
        <w:rPr>
          <w:rFonts w:ascii="Times New Roman" w:hAnsi="Times New Roman" w:eastAsia="仿宋_GB2312" w:cs="宋体"/>
          <w:color w:val="000000"/>
          <w:kern w:val="0"/>
          <w:sz w:val="24"/>
        </w:rPr>
        <w:t>15</w:t>
      </w:r>
      <w:r>
        <w:rPr>
          <w:rFonts w:ascii="仿宋_GB2312" w:hAnsi="仿宋" w:eastAsia="仿宋_GB2312" w:cs="宋体"/>
          <w:color w:val="000000"/>
          <w:kern w:val="0"/>
          <w:sz w:val="24"/>
        </w:rPr>
        <w:t>:</w:t>
      </w:r>
      <w:r>
        <w:rPr>
          <w:rFonts w:ascii="Times New Roman" w:hAnsi="Times New Roman" w:eastAsia="仿宋_GB2312" w:cs="宋体"/>
          <w:color w:val="000000"/>
          <w:kern w:val="0"/>
          <w:sz w:val="24"/>
        </w:rPr>
        <w:t>00</w:t>
      </w:r>
      <w:r>
        <w:rPr>
          <w:rFonts w:hint="eastAsia" w:ascii="仿宋_GB2312" w:hAnsi="仿宋" w:eastAsia="仿宋_GB2312" w:cs="宋体"/>
          <w:color w:val="000000"/>
          <w:kern w:val="0"/>
          <w:sz w:val="24"/>
        </w:rPr>
        <w:t>，发行人在发行人系统可实时查询除拟认购价格之外的其他询价信息。</w:t>
      </w:r>
    </w:p>
    <w:p w14:paraId="57C4CFAF">
      <w:pPr>
        <w:numPr>
          <w:ilvl w:val="0"/>
          <w:numId w:val="22"/>
        </w:numPr>
        <w:snapToGrid w:val="0"/>
        <w:spacing w:line="360" w:lineRule="auto"/>
        <w:ind w:firstLine="480" w:firstLineChars="200"/>
        <w:rPr>
          <w:rFonts w:hint="eastAsia" w:ascii="仿宋_GB2312" w:hAnsi="仿宋" w:eastAsia="仿宋_GB2312" w:cs="宋体"/>
          <w:color w:val="000000"/>
          <w:kern w:val="0"/>
          <w:sz w:val="24"/>
        </w:rPr>
      </w:pPr>
      <w:r>
        <w:rPr>
          <w:rFonts w:hint="eastAsia" w:ascii="Times New Roman" w:hAnsi="Times New Roman" w:eastAsia="仿宋_GB2312" w:cs="宋体"/>
          <w:color w:val="000000"/>
          <w:kern w:val="0"/>
          <w:sz w:val="24"/>
        </w:rPr>
        <w:t>15</w:t>
      </w:r>
      <w:r>
        <w:rPr>
          <w:rFonts w:hint="eastAsia" w:ascii="仿宋_GB2312" w:hAnsi="仿宋" w:eastAsia="仿宋_GB2312" w:cs="宋体"/>
          <w:color w:val="000000"/>
          <w:kern w:val="0"/>
          <w:sz w:val="24"/>
        </w:rPr>
        <w:t>:</w:t>
      </w:r>
      <w:r>
        <w:rPr>
          <w:rFonts w:hint="eastAsia" w:ascii="Times New Roman" w:hAnsi="Times New Roman" w:eastAsia="仿宋_GB2312" w:cs="宋体"/>
          <w:color w:val="000000"/>
          <w:kern w:val="0"/>
          <w:sz w:val="24"/>
        </w:rPr>
        <w:t>00</w:t>
      </w:r>
      <w:r>
        <w:rPr>
          <w:rFonts w:hint="eastAsia" w:ascii="仿宋_GB2312" w:hAnsi="仿宋" w:eastAsia="仿宋_GB2312" w:cs="宋体"/>
          <w:color w:val="000000"/>
          <w:kern w:val="0"/>
          <w:sz w:val="24"/>
        </w:rPr>
        <w:t>后，询价平台保存“初步询价结果全量数据”，并据此计算加权均价和中间价（剔除前）。</w:t>
      </w:r>
    </w:p>
    <w:p w14:paraId="34604EBB">
      <w:pPr>
        <w:snapToGrid w:val="0"/>
        <w:spacing w:line="360" w:lineRule="auto"/>
        <w:ind w:left="420"/>
        <w:rPr>
          <w:rFonts w:hint="eastAsia" w:ascii="仿宋_GB2312" w:hAnsi="仿宋" w:eastAsia="仿宋_GB2312" w:cs="宋体"/>
          <w:color w:val="000000"/>
          <w:kern w:val="0"/>
          <w:sz w:val="24"/>
        </w:rPr>
      </w:pPr>
    </w:p>
    <w:p w14:paraId="6DB933D2">
      <w:pPr>
        <w:snapToGrid w:val="0"/>
        <w:spacing w:line="360" w:lineRule="auto"/>
        <w:ind w:left="420"/>
        <w:rPr>
          <w:rFonts w:hint="eastAsia" w:ascii="仿宋_GB2312" w:hAnsi="仿宋" w:eastAsia="仿宋_GB2312" w:cs="宋体"/>
          <w:color w:val="000000"/>
          <w:kern w:val="0"/>
          <w:sz w:val="24"/>
        </w:rPr>
      </w:pPr>
      <w:r>
        <w:rPr>
          <w:rFonts w:hint="eastAsia" w:ascii="Times New Roman" w:hAnsi="Times New Roman" w:eastAsia="仿宋_GB2312" w:cs="宋体"/>
          <w:color w:val="000000"/>
          <w:kern w:val="0"/>
          <w:sz w:val="24"/>
        </w:rPr>
        <w:t>X</w:t>
      </w:r>
      <w:r>
        <w:rPr>
          <w:rFonts w:hint="eastAsia" w:ascii="仿宋_GB2312" w:hAnsi="仿宋" w:eastAsia="仿宋_GB2312" w:cs="宋体"/>
          <w:color w:val="000000"/>
          <w:kern w:val="0"/>
          <w:sz w:val="24"/>
        </w:rPr>
        <w:t>日</w:t>
      </w:r>
      <w:r>
        <w:rPr>
          <w:rFonts w:hint="eastAsia" w:ascii="Times New Roman" w:hAnsi="Times New Roman" w:eastAsia="仿宋_GB2312" w:cs="宋体"/>
          <w:color w:val="000000"/>
          <w:kern w:val="0"/>
          <w:sz w:val="24"/>
        </w:rPr>
        <w:t>15</w:t>
      </w:r>
      <w:r>
        <w:rPr>
          <w:rFonts w:hint="eastAsia" w:ascii="仿宋_GB2312" w:hAnsi="仿宋" w:eastAsia="仿宋_GB2312" w:cs="宋体"/>
          <w:color w:val="000000"/>
          <w:kern w:val="0"/>
          <w:sz w:val="24"/>
        </w:rPr>
        <w:t>:</w:t>
      </w:r>
      <w:r>
        <w:rPr>
          <w:rFonts w:hint="eastAsia" w:ascii="Times New Roman" w:hAnsi="Times New Roman" w:eastAsia="仿宋_GB2312" w:cs="宋体"/>
          <w:color w:val="000000"/>
          <w:kern w:val="0"/>
          <w:sz w:val="24"/>
        </w:rPr>
        <w:t>00</w:t>
      </w:r>
      <w:r>
        <w:rPr>
          <w:rFonts w:hint="eastAsia" w:ascii="仿宋_GB2312" w:hAnsi="仿宋" w:eastAsia="仿宋_GB2312" w:cs="宋体"/>
          <w:color w:val="000000"/>
          <w:kern w:val="0"/>
          <w:sz w:val="24"/>
        </w:rPr>
        <w:t>至</w:t>
      </w:r>
      <w:r>
        <w:rPr>
          <w:rFonts w:hint="eastAsia" w:ascii="Times New Roman" w:hAnsi="Times New Roman" w:eastAsia="仿宋_GB2312" w:cs="宋体"/>
          <w:color w:val="000000"/>
          <w:kern w:val="0"/>
          <w:sz w:val="24"/>
        </w:rPr>
        <w:t>X</w:t>
      </w:r>
      <w:r>
        <w:rPr>
          <w:rFonts w:ascii="仿宋_GB2312" w:hAnsi="仿宋" w:eastAsia="仿宋_GB2312" w:cs="宋体"/>
          <w:color w:val="000000"/>
          <w:kern w:val="0"/>
          <w:sz w:val="24"/>
        </w:rPr>
        <w:t>+</w:t>
      </w:r>
      <w:r>
        <w:rPr>
          <w:rFonts w:ascii="Times New Roman" w:hAnsi="Times New Roman" w:eastAsia="仿宋_GB2312" w:cs="宋体"/>
          <w:color w:val="000000"/>
          <w:kern w:val="0"/>
          <w:sz w:val="24"/>
        </w:rPr>
        <w:t>k</w:t>
      </w:r>
      <w:r>
        <w:rPr>
          <w:rFonts w:hint="eastAsia" w:ascii="仿宋_GB2312" w:hAnsi="仿宋" w:eastAsia="仿宋_GB2312" w:cs="宋体"/>
          <w:color w:val="000000"/>
          <w:kern w:val="0"/>
          <w:sz w:val="24"/>
        </w:rPr>
        <w:t>日（</w:t>
      </w:r>
      <w:r>
        <w:rPr>
          <w:rFonts w:ascii="Times New Roman" w:hAnsi="Times New Roman" w:eastAsia="仿宋_GB2312" w:cs="宋体"/>
          <w:color w:val="000000"/>
          <w:kern w:val="0"/>
          <w:sz w:val="24"/>
        </w:rPr>
        <w:t>k</w:t>
      </w:r>
      <w:r>
        <w:rPr>
          <w:rFonts w:hint="eastAsia" w:ascii="仿宋_GB2312" w:hAnsi="宋体" w:eastAsia="仿宋_GB2312" w:cs="宋体"/>
          <w:color w:val="000000"/>
          <w:kern w:val="0"/>
          <w:sz w:val="24"/>
        </w:rPr>
        <w:t>≥</w:t>
      </w:r>
      <w:r>
        <w:rPr>
          <w:rFonts w:ascii="Times New Roman" w:hAnsi="Times New Roman" w:eastAsia="仿宋_GB2312" w:cs="宋体"/>
          <w:color w:val="000000"/>
          <w:kern w:val="0"/>
          <w:sz w:val="24"/>
        </w:rPr>
        <w:t>1</w:t>
      </w:r>
      <w:r>
        <w:rPr>
          <w:rFonts w:hint="eastAsia" w:ascii="仿宋_GB2312" w:hAnsi="仿宋" w:eastAsia="仿宋_GB2312" w:cs="宋体"/>
          <w:color w:val="000000"/>
          <w:kern w:val="0"/>
          <w:sz w:val="24"/>
        </w:rPr>
        <w:t>）</w:t>
      </w:r>
    </w:p>
    <w:p w14:paraId="750601F6">
      <w:pPr>
        <w:numPr>
          <w:ilvl w:val="0"/>
          <w:numId w:val="22"/>
        </w:numPr>
        <w:snapToGrid w:val="0"/>
        <w:spacing w:line="360" w:lineRule="auto"/>
        <w:ind w:firstLine="480" w:firstLineChars="200"/>
        <w:rPr>
          <w:rFonts w:hint="eastAsia" w:ascii="仿宋_GB2312" w:hAnsi="仿宋" w:eastAsia="仿宋_GB2312" w:cs="宋体"/>
          <w:color w:val="000000"/>
          <w:kern w:val="0"/>
          <w:sz w:val="24"/>
        </w:rPr>
      </w:pPr>
      <w:r>
        <w:rPr>
          <w:rFonts w:hint="eastAsia" w:ascii="仿宋_GB2312" w:hAnsi="仿宋" w:eastAsia="仿宋_GB2312" w:cs="宋体"/>
          <w:color w:val="000000"/>
          <w:kern w:val="0"/>
          <w:sz w:val="24"/>
        </w:rPr>
        <w:t>发行人登录发行人系统：</w:t>
      </w:r>
    </w:p>
    <w:p w14:paraId="0286322E">
      <w:pPr>
        <w:numPr>
          <w:ilvl w:val="0"/>
          <w:numId w:val="34"/>
        </w:numPr>
        <w:tabs>
          <w:tab w:val="clear" w:pos="420"/>
        </w:tabs>
        <w:snapToGrid w:val="0"/>
        <w:spacing w:line="360" w:lineRule="auto"/>
        <w:ind w:left="1276"/>
        <w:rPr>
          <w:rFonts w:hint="eastAsia" w:ascii="仿宋_GB2312" w:hAnsi="仿宋" w:eastAsia="仿宋_GB2312" w:cs="宋体"/>
          <w:color w:val="000000"/>
          <w:kern w:val="0"/>
          <w:sz w:val="24"/>
        </w:rPr>
      </w:pPr>
      <w:r>
        <w:rPr>
          <w:rFonts w:hint="eastAsia" w:ascii="仿宋_GB2312" w:hAnsi="仿宋" w:eastAsia="仿宋_GB2312" w:cs="宋体"/>
          <w:color w:val="000000"/>
          <w:kern w:val="0"/>
          <w:sz w:val="24"/>
        </w:rPr>
        <w:t>查看加权均价和中间价（剔除前），查看并导出全部询价报价明细数据、账户信息、机构和配售对象名称等；</w:t>
      </w:r>
    </w:p>
    <w:p w14:paraId="713FD345">
      <w:pPr>
        <w:numPr>
          <w:ilvl w:val="0"/>
          <w:numId w:val="34"/>
        </w:numPr>
        <w:tabs>
          <w:tab w:val="clear" w:pos="420"/>
        </w:tabs>
        <w:snapToGrid w:val="0"/>
        <w:spacing w:line="360" w:lineRule="auto"/>
        <w:ind w:left="1276"/>
        <w:rPr>
          <w:rFonts w:hint="eastAsia" w:ascii="仿宋_GB2312" w:hAnsi="仿宋" w:eastAsia="仿宋_GB2312" w:cs="宋体"/>
          <w:color w:val="000000"/>
          <w:kern w:val="0"/>
          <w:sz w:val="24"/>
        </w:rPr>
      </w:pPr>
      <w:r>
        <w:rPr>
          <w:rFonts w:hint="eastAsia" w:ascii="仿宋_GB2312" w:hAnsi="仿宋" w:eastAsia="仿宋_GB2312" w:cs="宋体"/>
          <w:color w:val="000000"/>
          <w:kern w:val="0"/>
          <w:sz w:val="24"/>
        </w:rPr>
        <w:t>剔除配号失败账户（即账号和名称不匹配的账户，含证券账户、基金账户、资金账户）；</w:t>
      </w:r>
    </w:p>
    <w:p w14:paraId="3898DFA0">
      <w:pPr>
        <w:numPr>
          <w:ilvl w:val="0"/>
          <w:numId w:val="34"/>
        </w:numPr>
        <w:tabs>
          <w:tab w:val="clear" w:pos="420"/>
        </w:tabs>
        <w:snapToGrid w:val="0"/>
        <w:spacing w:line="360" w:lineRule="auto"/>
        <w:ind w:left="1276"/>
        <w:rPr>
          <w:rFonts w:hint="eastAsia" w:ascii="仿宋_GB2312" w:hAnsi="仿宋" w:eastAsia="仿宋_GB2312" w:cs="宋体"/>
          <w:color w:val="000000"/>
          <w:kern w:val="0"/>
          <w:sz w:val="24"/>
        </w:rPr>
      </w:pPr>
      <w:r>
        <w:rPr>
          <w:rFonts w:hint="eastAsia" w:ascii="仿宋_GB2312" w:hAnsi="仿宋" w:eastAsia="仿宋_GB2312" w:cs="宋体"/>
          <w:color w:val="000000"/>
          <w:kern w:val="0"/>
          <w:sz w:val="24"/>
        </w:rPr>
        <w:t>剔除无效的场外基金账户和资金账户；</w:t>
      </w:r>
    </w:p>
    <w:p w14:paraId="5BC7DAB6">
      <w:pPr>
        <w:numPr>
          <w:ilvl w:val="0"/>
          <w:numId w:val="34"/>
        </w:numPr>
        <w:tabs>
          <w:tab w:val="clear" w:pos="420"/>
        </w:tabs>
        <w:snapToGrid w:val="0"/>
        <w:spacing w:line="360" w:lineRule="auto"/>
        <w:ind w:left="1276"/>
        <w:rPr>
          <w:rFonts w:hint="eastAsia" w:ascii="仿宋_GB2312" w:hAnsi="仿宋" w:eastAsia="仿宋_GB2312" w:cs="宋体"/>
          <w:color w:val="000000"/>
          <w:kern w:val="0"/>
          <w:sz w:val="24"/>
        </w:rPr>
      </w:pPr>
      <w:r>
        <w:rPr>
          <w:rFonts w:hint="eastAsia" w:ascii="仿宋_GB2312" w:hAnsi="仿宋" w:eastAsia="仿宋_GB2312" w:cs="宋体"/>
          <w:color w:val="000000"/>
          <w:kern w:val="0"/>
          <w:sz w:val="24"/>
        </w:rPr>
        <w:t>剔除限制账户、询价禁入账户（如有）。</w:t>
      </w:r>
    </w:p>
    <w:p w14:paraId="1D1E4CF0">
      <w:pPr>
        <w:snapToGrid w:val="0"/>
        <w:spacing w:line="360" w:lineRule="auto"/>
        <w:rPr>
          <w:rFonts w:hint="eastAsia" w:ascii="仿宋_GB2312" w:hAnsi="仿宋" w:eastAsia="仿宋_GB2312" w:cs="宋体"/>
          <w:color w:val="000000"/>
          <w:kern w:val="0"/>
          <w:sz w:val="24"/>
        </w:rPr>
      </w:pPr>
    </w:p>
    <w:p w14:paraId="2E7A5E58">
      <w:pPr>
        <w:snapToGrid w:val="0"/>
        <w:spacing w:line="360" w:lineRule="auto"/>
        <w:ind w:left="420"/>
        <w:rPr>
          <w:rFonts w:hint="eastAsia" w:ascii="仿宋_GB2312" w:hAnsi="仿宋" w:eastAsia="仿宋_GB2312" w:cs="宋体"/>
          <w:color w:val="000000"/>
          <w:kern w:val="0"/>
          <w:sz w:val="24"/>
        </w:rPr>
      </w:pPr>
      <w:r>
        <w:rPr>
          <w:rFonts w:hint="eastAsia" w:ascii="Times New Roman" w:hAnsi="Times New Roman" w:eastAsia="仿宋_GB2312" w:cs="宋体"/>
          <w:color w:val="000000"/>
          <w:kern w:val="0"/>
          <w:sz w:val="24"/>
        </w:rPr>
        <w:t>X</w:t>
      </w:r>
      <w:r>
        <w:rPr>
          <w:rFonts w:hint="eastAsia" w:ascii="仿宋_GB2312" w:hAnsi="仿宋" w:eastAsia="仿宋_GB2312" w:cs="宋体"/>
          <w:color w:val="000000"/>
          <w:kern w:val="0"/>
          <w:sz w:val="24"/>
        </w:rPr>
        <w:t>日至基金成立前</w:t>
      </w:r>
    </w:p>
    <w:p w14:paraId="27821091">
      <w:pPr>
        <w:numPr>
          <w:ilvl w:val="0"/>
          <w:numId w:val="22"/>
        </w:numPr>
        <w:snapToGrid w:val="0"/>
        <w:spacing w:line="360" w:lineRule="auto"/>
        <w:ind w:firstLine="480" w:firstLineChars="200"/>
        <w:rPr>
          <w:rFonts w:hint="eastAsia" w:ascii="仿宋_GB2312" w:hAnsi="仿宋" w:eastAsia="仿宋_GB2312" w:cs="宋体"/>
          <w:color w:val="000000"/>
          <w:kern w:val="0"/>
          <w:sz w:val="24"/>
        </w:rPr>
      </w:pPr>
      <w:r>
        <w:rPr>
          <w:rFonts w:hint="eastAsia" w:ascii="仿宋_GB2312" w:hAnsi="仿宋" w:eastAsia="仿宋_GB2312" w:cs="宋体"/>
          <w:color w:val="000000"/>
          <w:kern w:val="0"/>
          <w:sz w:val="24"/>
        </w:rPr>
        <w:t>如触发了规则或基金合同约定的中止发售情形，基金管理人或发行人提交中止发售申请，具体流程参考本章“六、特殊情况处理-(一)中止发售”，整个发售流程至此结束。</w:t>
      </w:r>
    </w:p>
    <w:p w14:paraId="43C23FCD">
      <w:pPr>
        <w:rPr>
          <w:szCs w:val="21"/>
        </w:rPr>
      </w:pPr>
    </w:p>
    <w:p w14:paraId="0E166CFF">
      <w:pPr>
        <w:snapToGrid w:val="0"/>
        <w:spacing w:line="360" w:lineRule="auto"/>
        <w:ind w:left="420"/>
        <w:rPr>
          <w:rFonts w:hint="eastAsia" w:ascii="仿宋_GB2312" w:hAnsi="仿宋" w:eastAsia="仿宋_GB2312" w:cs="宋体"/>
          <w:color w:val="000000"/>
          <w:kern w:val="0"/>
          <w:sz w:val="24"/>
        </w:rPr>
      </w:pPr>
      <w:r>
        <w:rPr>
          <w:rFonts w:hint="eastAsia" w:ascii="Times New Roman" w:hAnsi="Times New Roman" w:eastAsia="仿宋_GB2312" w:cs="宋体"/>
          <w:color w:val="000000"/>
          <w:kern w:val="0"/>
          <w:sz w:val="24"/>
        </w:rPr>
        <w:t>X</w:t>
      </w:r>
      <w:r>
        <w:rPr>
          <w:rFonts w:ascii="仿宋_GB2312" w:hAnsi="仿宋" w:eastAsia="仿宋_GB2312" w:cs="宋体"/>
          <w:color w:val="000000"/>
          <w:kern w:val="0"/>
          <w:sz w:val="24"/>
        </w:rPr>
        <w:t>+</w:t>
      </w:r>
      <w:r>
        <w:rPr>
          <w:rFonts w:ascii="Times New Roman" w:hAnsi="Times New Roman" w:eastAsia="仿宋_GB2312" w:cs="宋体"/>
          <w:color w:val="000000"/>
          <w:kern w:val="0"/>
          <w:sz w:val="24"/>
        </w:rPr>
        <w:t>k</w:t>
      </w:r>
      <w:r>
        <w:rPr>
          <w:rFonts w:hint="eastAsia" w:ascii="仿宋_GB2312" w:hAnsi="仿宋" w:eastAsia="仿宋_GB2312" w:cs="宋体"/>
          <w:color w:val="000000"/>
          <w:kern w:val="0"/>
          <w:sz w:val="24"/>
        </w:rPr>
        <w:t>日（</w:t>
      </w:r>
      <w:r>
        <w:rPr>
          <w:rFonts w:hint="eastAsia" w:ascii="Times New Roman" w:hAnsi="Times New Roman" w:eastAsia="仿宋_GB2312" w:cs="宋体"/>
          <w:color w:val="000000"/>
          <w:kern w:val="0"/>
          <w:sz w:val="24"/>
        </w:rPr>
        <w:t>X</w:t>
      </w:r>
      <w:r>
        <w:rPr>
          <w:rFonts w:ascii="仿宋_GB2312" w:hAnsi="仿宋" w:eastAsia="仿宋_GB2312" w:cs="宋体"/>
          <w:color w:val="000000"/>
          <w:kern w:val="0"/>
          <w:sz w:val="24"/>
        </w:rPr>
        <w:t>+</w:t>
      </w:r>
      <w:r>
        <w:rPr>
          <w:rFonts w:ascii="Times New Roman" w:hAnsi="Times New Roman" w:eastAsia="仿宋_GB2312" w:cs="宋体"/>
          <w:color w:val="000000"/>
          <w:kern w:val="0"/>
          <w:sz w:val="24"/>
        </w:rPr>
        <w:t>k</w:t>
      </w:r>
      <w:r>
        <w:rPr>
          <w:rFonts w:hint="eastAsia" w:ascii="仿宋_GB2312" w:hAnsi="仿宋" w:eastAsia="仿宋_GB2312" w:cs="宋体"/>
          <w:color w:val="000000"/>
          <w:kern w:val="0"/>
          <w:sz w:val="24"/>
        </w:rPr>
        <w:t>≤</w:t>
      </w:r>
      <w:r>
        <w:rPr>
          <w:rFonts w:ascii="Times New Roman" w:hAnsi="Times New Roman" w:eastAsia="仿宋_GB2312" w:cs="宋体"/>
          <w:color w:val="000000"/>
          <w:kern w:val="0"/>
          <w:sz w:val="24"/>
        </w:rPr>
        <w:t>L</w:t>
      </w:r>
      <w:r>
        <w:rPr>
          <w:rFonts w:ascii="仿宋_GB2312" w:hAnsi="仿宋" w:eastAsia="仿宋_GB2312" w:cs="宋体"/>
          <w:color w:val="000000"/>
          <w:kern w:val="0"/>
          <w:sz w:val="24"/>
        </w:rPr>
        <w:t>-</w:t>
      </w:r>
      <w:r>
        <w:rPr>
          <w:rFonts w:hint="eastAsia" w:ascii="Times New Roman" w:hAnsi="Times New Roman" w:eastAsia="仿宋_GB2312" w:cs="宋体"/>
          <w:color w:val="000000"/>
          <w:kern w:val="0"/>
          <w:sz w:val="24"/>
        </w:rPr>
        <w:t>5</w:t>
      </w:r>
      <w:r>
        <w:rPr>
          <w:rFonts w:hint="eastAsia" w:ascii="仿宋_GB2312" w:hAnsi="仿宋" w:eastAsia="仿宋_GB2312" w:cs="宋体"/>
          <w:color w:val="000000"/>
          <w:kern w:val="0"/>
          <w:sz w:val="24"/>
        </w:rPr>
        <w:t>，如果触发特别风险提示，</w:t>
      </w:r>
      <w:r>
        <w:rPr>
          <w:rFonts w:hint="eastAsia" w:ascii="Times New Roman" w:hAnsi="Times New Roman" w:eastAsia="仿宋_GB2312" w:cs="宋体"/>
          <w:color w:val="000000"/>
          <w:kern w:val="0"/>
          <w:sz w:val="24"/>
        </w:rPr>
        <w:t>X</w:t>
      </w:r>
      <w:r>
        <w:rPr>
          <w:rFonts w:hint="eastAsia" w:ascii="仿宋_GB2312" w:hAnsi="仿宋" w:eastAsia="仿宋_GB2312" w:cs="宋体"/>
          <w:color w:val="000000"/>
          <w:kern w:val="0"/>
          <w:sz w:val="24"/>
        </w:rPr>
        <w:t>+</w:t>
      </w:r>
      <w:r>
        <w:rPr>
          <w:rFonts w:hint="eastAsia" w:ascii="Times New Roman" w:hAnsi="Times New Roman" w:eastAsia="仿宋_GB2312" w:cs="宋体"/>
          <w:color w:val="000000"/>
          <w:kern w:val="0"/>
          <w:sz w:val="24"/>
        </w:rPr>
        <w:t>k</w:t>
      </w:r>
      <w:r>
        <w:rPr>
          <w:rFonts w:hint="eastAsia" w:ascii="仿宋_GB2312" w:hAnsi="仿宋" w:eastAsia="仿宋_GB2312" w:cs="宋体"/>
          <w:color w:val="000000"/>
          <w:kern w:val="0"/>
          <w:sz w:val="24"/>
        </w:rPr>
        <w:t>≤</w:t>
      </w:r>
      <w:r>
        <w:rPr>
          <w:rFonts w:hint="eastAsia" w:ascii="Times New Roman" w:hAnsi="Times New Roman" w:eastAsia="仿宋_GB2312" w:cs="宋体"/>
          <w:color w:val="000000"/>
          <w:kern w:val="0"/>
          <w:sz w:val="24"/>
        </w:rPr>
        <w:t>L</w:t>
      </w:r>
      <w:r>
        <w:rPr>
          <w:rFonts w:hint="eastAsia" w:ascii="仿宋_GB2312" w:hAnsi="仿宋" w:eastAsia="仿宋_GB2312" w:cs="宋体"/>
          <w:color w:val="000000"/>
          <w:kern w:val="0"/>
          <w:sz w:val="24"/>
        </w:rPr>
        <w:t>-</w:t>
      </w:r>
      <w:r>
        <w:rPr>
          <w:rFonts w:hint="eastAsia" w:ascii="Times New Roman" w:hAnsi="Times New Roman" w:eastAsia="仿宋_GB2312" w:cs="宋体"/>
          <w:color w:val="000000"/>
          <w:kern w:val="0"/>
          <w:sz w:val="24"/>
        </w:rPr>
        <w:t>6</w:t>
      </w:r>
      <w:r>
        <w:rPr>
          <w:rFonts w:hint="eastAsia" w:ascii="仿宋_GB2312" w:hAnsi="仿宋" w:eastAsia="仿宋_GB2312" w:cs="宋体"/>
          <w:color w:val="000000"/>
          <w:kern w:val="0"/>
          <w:sz w:val="24"/>
        </w:rPr>
        <w:t>）</w:t>
      </w:r>
    </w:p>
    <w:p w14:paraId="0D603E18">
      <w:pPr>
        <w:numPr>
          <w:ilvl w:val="0"/>
          <w:numId w:val="22"/>
        </w:numPr>
        <w:snapToGrid w:val="0"/>
        <w:spacing w:line="360" w:lineRule="auto"/>
        <w:ind w:firstLine="480" w:firstLineChars="200"/>
        <w:rPr>
          <w:rFonts w:hint="eastAsia" w:ascii="仿宋_GB2312" w:hAnsi="仿宋" w:eastAsia="仿宋_GB2312" w:cs="宋体"/>
          <w:color w:val="000000"/>
          <w:kern w:val="0"/>
          <w:sz w:val="24"/>
        </w:rPr>
      </w:pPr>
      <w:r>
        <w:rPr>
          <w:rFonts w:hint="eastAsia" w:ascii="Times New Roman" w:hAnsi="Times New Roman" w:eastAsia="仿宋_GB2312" w:cs="宋体"/>
          <w:color w:val="000000"/>
          <w:kern w:val="0"/>
          <w:sz w:val="24"/>
        </w:rPr>
        <w:t>12</w:t>
      </w:r>
      <w:r>
        <w:rPr>
          <w:rFonts w:hint="eastAsia" w:ascii="仿宋_GB2312" w:hAnsi="仿宋" w:eastAsia="仿宋_GB2312" w:cs="宋体"/>
          <w:color w:val="000000"/>
          <w:kern w:val="0"/>
          <w:sz w:val="24"/>
        </w:rPr>
        <w:t>:</w:t>
      </w:r>
      <w:r>
        <w:rPr>
          <w:rFonts w:hint="eastAsia" w:ascii="Times New Roman" w:hAnsi="Times New Roman" w:eastAsia="仿宋_GB2312" w:cs="宋体"/>
          <w:color w:val="000000"/>
          <w:kern w:val="0"/>
          <w:sz w:val="24"/>
        </w:rPr>
        <w:t>00</w:t>
      </w:r>
      <w:r>
        <w:rPr>
          <w:rFonts w:hint="eastAsia" w:ascii="仿宋_GB2312" w:hAnsi="仿宋" w:eastAsia="仿宋_GB2312" w:cs="宋体"/>
          <w:color w:val="000000"/>
          <w:kern w:val="0"/>
          <w:sz w:val="24"/>
        </w:rPr>
        <w:t>前，发行人通过发行人系统首次填入确定的“网下投资者认购相关参数”（认购价格、网下发售份额总量、代码、简称、基金管理人名称及直销渠道收款银行资金账号、发售日期等参数）。</w:t>
      </w:r>
    </w:p>
    <w:p w14:paraId="403ACED3">
      <w:pPr>
        <w:numPr>
          <w:ilvl w:val="0"/>
          <w:numId w:val="22"/>
        </w:numPr>
        <w:snapToGrid w:val="0"/>
        <w:spacing w:line="360" w:lineRule="auto"/>
        <w:ind w:firstLine="480" w:firstLineChars="200"/>
        <w:rPr>
          <w:rFonts w:hint="eastAsia" w:ascii="仿宋_GB2312" w:hAnsi="仿宋" w:eastAsia="仿宋_GB2312" w:cs="宋体"/>
          <w:color w:val="000000"/>
          <w:kern w:val="0"/>
          <w:sz w:val="24"/>
        </w:rPr>
      </w:pPr>
      <w:r>
        <w:rPr>
          <w:rFonts w:hint="eastAsia" w:ascii="仿宋_GB2312" w:hAnsi="仿宋" w:eastAsia="仿宋_GB2312" w:cs="宋体"/>
          <w:color w:val="000000"/>
          <w:kern w:val="0"/>
          <w:sz w:val="24"/>
        </w:rPr>
        <w:t>询价平台根据认购价格，剔除低于认购价格的申报后，测算拟认购总数量应大于等于网下发售份额总量。如测算通过，则相关参数可正常提交；如测算未通过，则不可提交，需修改后再次确定相关参数直至测算通过后方可提交。</w:t>
      </w:r>
    </w:p>
    <w:p w14:paraId="2B1D3FA8">
      <w:pPr>
        <w:numPr>
          <w:ilvl w:val="0"/>
          <w:numId w:val="22"/>
        </w:numPr>
        <w:snapToGrid w:val="0"/>
        <w:spacing w:line="360" w:lineRule="auto"/>
        <w:ind w:firstLine="480" w:firstLineChars="200"/>
        <w:rPr>
          <w:rFonts w:hint="eastAsia" w:ascii="仿宋_GB2312" w:hAnsi="仿宋" w:eastAsia="仿宋_GB2312" w:cs="宋体"/>
          <w:color w:val="000000"/>
          <w:kern w:val="0"/>
          <w:sz w:val="24"/>
        </w:rPr>
      </w:pPr>
      <w:r>
        <w:rPr>
          <w:rFonts w:hint="eastAsia" w:ascii="仿宋_GB2312" w:hAnsi="仿宋" w:eastAsia="仿宋_GB2312" w:cs="宋体"/>
          <w:color w:val="000000"/>
          <w:kern w:val="0"/>
          <w:sz w:val="24"/>
        </w:rPr>
        <w:t>认购参数成功提交后，发行人应提醒基金管理人于</w:t>
      </w:r>
      <w:r>
        <w:rPr>
          <w:rFonts w:hint="eastAsia" w:ascii="Times New Roman" w:hAnsi="Times New Roman" w:eastAsia="仿宋_GB2312" w:cs="宋体"/>
          <w:color w:val="000000"/>
          <w:kern w:val="0"/>
          <w:sz w:val="24"/>
        </w:rPr>
        <w:t>REITs</w:t>
      </w:r>
      <w:r>
        <w:rPr>
          <w:rFonts w:hint="eastAsia" w:ascii="仿宋_GB2312" w:hAnsi="仿宋" w:eastAsia="仿宋_GB2312" w:cs="宋体"/>
          <w:color w:val="000000"/>
          <w:kern w:val="0"/>
          <w:sz w:val="24"/>
        </w:rPr>
        <w:t>业务管理系统平台提交认购业务及公告申请，以及其他必要信息披露文件。（详见本章“</w:t>
      </w:r>
      <w:r>
        <w:rPr>
          <w:rFonts w:ascii="仿宋_GB2312" w:hAnsi="仿宋" w:eastAsia="仿宋_GB2312" w:cs="宋体"/>
          <w:color w:val="000000"/>
          <w:kern w:val="0"/>
          <w:sz w:val="24"/>
        </w:rPr>
        <w:t>三、认购-</w:t>
      </w:r>
      <w:r>
        <w:rPr>
          <w:rFonts w:hint="eastAsia" w:ascii="仿宋_GB2312" w:hAnsi="仿宋" w:eastAsia="仿宋_GB2312" w:cs="宋体"/>
          <w:color w:val="000000"/>
          <w:kern w:val="0"/>
          <w:sz w:val="24"/>
        </w:rPr>
        <w:t>(</w:t>
      </w:r>
      <w:r>
        <w:rPr>
          <w:rFonts w:ascii="仿宋_GB2312" w:hAnsi="仿宋" w:eastAsia="仿宋_GB2312" w:cs="宋体"/>
          <w:color w:val="000000"/>
          <w:kern w:val="0"/>
          <w:sz w:val="24"/>
        </w:rPr>
        <w:t>一</w:t>
      </w:r>
      <w:r>
        <w:rPr>
          <w:rFonts w:hint="eastAsia" w:ascii="仿宋_GB2312" w:hAnsi="仿宋" w:eastAsia="仿宋_GB2312" w:cs="宋体"/>
          <w:color w:val="000000"/>
          <w:kern w:val="0"/>
          <w:sz w:val="24"/>
        </w:rPr>
        <w:t>)认购业务申请与受理</w:t>
      </w:r>
      <w:r>
        <w:rPr>
          <w:rFonts w:ascii="仿宋_GB2312" w:hAnsi="仿宋" w:eastAsia="仿宋_GB2312" w:cs="宋体"/>
          <w:color w:val="000000"/>
          <w:kern w:val="0"/>
          <w:sz w:val="24"/>
        </w:rPr>
        <w:t>”内容）</w:t>
      </w:r>
    </w:p>
    <w:p w14:paraId="1C1FE30E">
      <w:pPr>
        <w:snapToGrid w:val="0"/>
        <w:spacing w:line="360" w:lineRule="auto"/>
        <w:ind w:left="420"/>
        <w:rPr>
          <w:rFonts w:hint="eastAsia" w:ascii="仿宋_GB2312" w:hAnsi="仿宋" w:eastAsia="仿宋_GB2312" w:cs="宋体"/>
          <w:color w:val="000000"/>
          <w:kern w:val="0"/>
          <w:sz w:val="24"/>
        </w:rPr>
      </w:pPr>
    </w:p>
    <w:p w14:paraId="0E564D75">
      <w:pPr>
        <w:snapToGrid w:val="0"/>
        <w:spacing w:line="360" w:lineRule="auto"/>
        <w:ind w:left="420"/>
        <w:rPr>
          <w:rFonts w:hint="eastAsia" w:ascii="仿宋_GB2312" w:hAnsi="仿宋" w:eastAsia="仿宋_GB2312" w:cs="宋体"/>
          <w:color w:val="000000"/>
          <w:kern w:val="0"/>
          <w:sz w:val="24"/>
        </w:rPr>
      </w:pPr>
      <w:r>
        <w:rPr>
          <w:rFonts w:hint="eastAsia" w:ascii="Times New Roman" w:hAnsi="Times New Roman" w:eastAsia="仿宋_GB2312" w:cs="宋体"/>
          <w:color w:val="000000"/>
          <w:kern w:val="0"/>
          <w:sz w:val="24"/>
        </w:rPr>
        <w:t>L</w:t>
      </w:r>
      <w:r>
        <w:rPr>
          <w:rFonts w:hint="eastAsia" w:ascii="仿宋_GB2312" w:hAnsi="仿宋" w:eastAsia="仿宋_GB2312" w:cs="宋体"/>
          <w:color w:val="000000"/>
          <w:kern w:val="0"/>
          <w:sz w:val="24"/>
        </w:rPr>
        <w:t>-</w:t>
      </w:r>
      <w:r>
        <w:rPr>
          <w:rFonts w:hint="eastAsia" w:ascii="Times New Roman" w:hAnsi="Times New Roman" w:eastAsia="仿宋_GB2312" w:cs="宋体"/>
          <w:color w:val="000000"/>
          <w:kern w:val="0"/>
          <w:sz w:val="24"/>
        </w:rPr>
        <w:t>6</w:t>
      </w:r>
      <w:r>
        <w:rPr>
          <w:rFonts w:hint="eastAsia" w:ascii="仿宋_GB2312" w:hAnsi="仿宋" w:eastAsia="仿宋_GB2312" w:cs="宋体"/>
          <w:color w:val="000000"/>
          <w:kern w:val="0"/>
          <w:sz w:val="24"/>
        </w:rPr>
        <w:t>日</w:t>
      </w:r>
      <w:r>
        <w:rPr>
          <w:rFonts w:hint="eastAsia" w:ascii="Times New Roman" w:hAnsi="Times New Roman" w:eastAsia="仿宋_GB2312" w:cs="宋体"/>
          <w:color w:val="000000"/>
          <w:kern w:val="0"/>
          <w:sz w:val="24"/>
        </w:rPr>
        <w:t>15</w:t>
      </w:r>
      <w:r>
        <w:rPr>
          <w:rFonts w:hint="eastAsia" w:ascii="仿宋_GB2312" w:hAnsi="仿宋" w:eastAsia="仿宋_GB2312" w:cs="宋体"/>
          <w:color w:val="000000"/>
          <w:kern w:val="0"/>
          <w:sz w:val="24"/>
        </w:rPr>
        <w:t>:</w:t>
      </w:r>
      <w:r>
        <w:rPr>
          <w:rFonts w:hint="eastAsia" w:ascii="Times New Roman" w:hAnsi="Times New Roman" w:eastAsia="仿宋_GB2312" w:cs="宋体"/>
          <w:color w:val="000000"/>
          <w:kern w:val="0"/>
          <w:sz w:val="24"/>
        </w:rPr>
        <w:t>00</w:t>
      </w:r>
      <w:r>
        <w:rPr>
          <w:rFonts w:hint="eastAsia" w:ascii="仿宋_GB2312" w:hAnsi="仿宋" w:eastAsia="仿宋_GB2312" w:cs="宋体"/>
          <w:color w:val="000000"/>
          <w:kern w:val="0"/>
          <w:sz w:val="24"/>
        </w:rPr>
        <w:t>或之前</w:t>
      </w:r>
    </w:p>
    <w:p w14:paraId="1FE62BEA">
      <w:pPr>
        <w:numPr>
          <w:ilvl w:val="0"/>
          <w:numId w:val="22"/>
        </w:numPr>
        <w:snapToGrid w:val="0"/>
        <w:spacing w:line="360" w:lineRule="auto"/>
        <w:ind w:firstLine="480" w:firstLineChars="200"/>
        <w:rPr>
          <w:rFonts w:hint="eastAsia" w:ascii="仿宋_GB2312" w:hAnsi="仿宋" w:eastAsia="仿宋_GB2312" w:cs="宋体"/>
          <w:color w:val="000000"/>
          <w:kern w:val="0"/>
          <w:sz w:val="24"/>
        </w:rPr>
      </w:pPr>
      <w:r>
        <w:rPr>
          <w:rFonts w:hint="eastAsia" w:ascii="仿宋_GB2312" w:hAnsi="仿宋" w:eastAsia="仿宋_GB2312" w:cs="宋体"/>
          <w:color w:val="000000"/>
          <w:kern w:val="0"/>
          <w:sz w:val="24"/>
        </w:rPr>
        <w:t>发行人通过发行人系统提交认购参数成功后，如确定的认购价格高于剔除不符合条件的报价后所有网下投资者报价的中位数和加权平均数孰低值，基金管理人通过</w:t>
      </w:r>
      <w:r>
        <w:rPr>
          <w:rFonts w:hint="eastAsia" w:ascii="Times New Roman" w:hAnsi="Times New Roman" w:eastAsia="仿宋_GB2312" w:cs="宋体"/>
          <w:color w:val="000000"/>
          <w:kern w:val="0"/>
          <w:sz w:val="24"/>
        </w:rPr>
        <w:t>REITs</w:t>
      </w:r>
      <w:r>
        <w:rPr>
          <w:rFonts w:hint="eastAsia" w:ascii="仿宋_GB2312" w:hAnsi="仿宋" w:eastAsia="仿宋_GB2312" w:cs="宋体"/>
          <w:color w:val="000000"/>
          <w:kern w:val="0"/>
          <w:sz w:val="24"/>
        </w:rPr>
        <w:t>业务管理系统平台菜单“信息披露-</w:t>
      </w:r>
      <w:r>
        <w:rPr>
          <w:rFonts w:hint="eastAsia" w:ascii="Times New Roman" w:hAnsi="Times New Roman" w:eastAsia="仿宋_GB2312" w:cs="宋体"/>
          <w:color w:val="000000"/>
          <w:kern w:val="0"/>
          <w:sz w:val="24"/>
        </w:rPr>
        <w:t>REITs</w:t>
      </w:r>
      <w:r>
        <w:rPr>
          <w:rFonts w:hint="eastAsia" w:ascii="仿宋_GB2312" w:hAnsi="仿宋" w:eastAsia="仿宋_GB2312" w:cs="宋体"/>
          <w:color w:val="000000"/>
          <w:kern w:val="0"/>
          <w:sz w:val="24"/>
        </w:rPr>
        <w:t>公告”，选取对应产品代码及公告类型，提交投资风险特别提示公告，核对通过后次日网站披露。</w:t>
      </w:r>
    </w:p>
    <w:p w14:paraId="5C2F8281">
      <w:pPr>
        <w:snapToGrid w:val="0"/>
        <w:spacing w:line="360" w:lineRule="auto"/>
        <w:ind w:left="420"/>
        <w:rPr>
          <w:rFonts w:hint="eastAsia" w:ascii="仿宋_GB2312" w:hAnsi="仿宋" w:eastAsia="仿宋_GB2312" w:cs="宋体"/>
          <w:color w:val="000000"/>
          <w:kern w:val="0"/>
          <w:sz w:val="24"/>
        </w:rPr>
      </w:pPr>
    </w:p>
    <w:p w14:paraId="25AE682E">
      <w:pPr>
        <w:snapToGrid w:val="0"/>
        <w:spacing w:line="360" w:lineRule="auto"/>
        <w:ind w:left="420"/>
        <w:rPr>
          <w:rFonts w:hint="eastAsia" w:ascii="仿宋_GB2312" w:hAnsi="仿宋" w:eastAsia="仿宋_GB2312" w:cs="宋体"/>
          <w:color w:val="000000"/>
          <w:kern w:val="0"/>
          <w:sz w:val="24"/>
        </w:rPr>
      </w:pPr>
      <w:r>
        <w:rPr>
          <w:rFonts w:hint="eastAsia" w:ascii="Times New Roman" w:hAnsi="Times New Roman" w:eastAsia="仿宋_GB2312" w:cs="宋体"/>
          <w:color w:val="000000"/>
          <w:kern w:val="0"/>
          <w:sz w:val="24"/>
        </w:rPr>
        <w:t>L</w:t>
      </w:r>
      <w:r>
        <w:rPr>
          <w:rFonts w:hint="eastAsia" w:ascii="仿宋_GB2312" w:hAnsi="仿宋" w:eastAsia="仿宋_GB2312" w:cs="宋体"/>
          <w:color w:val="000000"/>
          <w:kern w:val="0"/>
          <w:sz w:val="24"/>
        </w:rPr>
        <w:t>-</w:t>
      </w:r>
      <w:r>
        <w:rPr>
          <w:rFonts w:hint="eastAsia" w:ascii="Times New Roman" w:hAnsi="Times New Roman" w:eastAsia="仿宋_GB2312" w:cs="宋体"/>
          <w:color w:val="000000"/>
          <w:kern w:val="0"/>
          <w:sz w:val="24"/>
        </w:rPr>
        <w:t>4</w:t>
      </w:r>
      <w:r>
        <w:rPr>
          <w:rFonts w:hint="eastAsia" w:ascii="仿宋_GB2312" w:hAnsi="仿宋" w:eastAsia="仿宋_GB2312" w:cs="宋体"/>
          <w:color w:val="000000"/>
          <w:kern w:val="0"/>
          <w:sz w:val="24"/>
        </w:rPr>
        <w:t>日（含）前</w:t>
      </w:r>
    </w:p>
    <w:p w14:paraId="2EDF73F8">
      <w:pPr>
        <w:numPr>
          <w:ilvl w:val="0"/>
          <w:numId w:val="22"/>
        </w:numPr>
        <w:snapToGrid w:val="0"/>
        <w:spacing w:line="360" w:lineRule="auto"/>
        <w:ind w:firstLine="480" w:firstLineChars="200"/>
        <w:rPr>
          <w:rFonts w:hint="eastAsia" w:ascii="仿宋_GB2312" w:hAnsi="仿宋" w:eastAsia="仿宋_GB2312" w:cs="宋体"/>
          <w:color w:val="000000"/>
          <w:kern w:val="0"/>
          <w:sz w:val="24"/>
        </w:rPr>
      </w:pPr>
      <w:r>
        <w:rPr>
          <w:rFonts w:hint="eastAsia" w:ascii="仿宋_GB2312" w:hAnsi="仿宋" w:eastAsia="仿宋_GB2312" w:cs="宋体"/>
          <w:color w:val="000000"/>
          <w:kern w:val="0"/>
          <w:sz w:val="24"/>
        </w:rPr>
        <w:t>“网下投资者认购相关参数”审核通过后，询价平台自动剔除配售对象低于基金认购价格的询价报价及其对应的拟认购数量</w:t>
      </w:r>
      <w:r>
        <w:rPr>
          <w:rFonts w:ascii="仿宋_GB2312" w:hAnsi="仿宋" w:eastAsia="仿宋_GB2312" w:cs="宋体"/>
          <w:color w:val="000000"/>
          <w:kern w:val="0"/>
          <w:sz w:val="24"/>
        </w:rPr>
        <w:t>。</w:t>
      </w:r>
    </w:p>
    <w:p w14:paraId="4D70C0F8">
      <w:pPr>
        <w:numPr>
          <w:ilvl w:val="0"/>
          <w:numId w:val="22"/>
        </w:numPr>
        <w:snapToGrid w:val="0"/>
        <w:spacing w:line="360" w:lineRule="auto"/>
        <w:ind w:firstLine="480" w:firstLineChars="200"/>
        <w:rPr>
          <w:rFonts w:hint="eastAsia" w:ascii="仿宋_GB2312" w:hAnsi="仿宋" w:eastAsia="仿宋_GB2312" w:cs="宋体"/>
          <w:color w:val="000000"/>
          <w:kern w:val="0"/>
          <w:sz w:val="24"/>
        </w:rPr>
      </w:pPr>
      <w:r>
        <w:rPr>
          <w:rFonts w:hint="eastAsia" w:ascii="仿宋_GB2312" w:hAnsi="仿宋" w:eastAsia="仿宋_GB2312" w:cs="宋体"/>
          <w:color w:val="000000"/>
          <w:kern w:val="0"/>
          <w:sz w:val="24"/>
        </w:rPr>
        <w:t>网下投资者通过投资者系统可查询：配售对象的认购价格、认购数量上限、询价报价的拟认购数量（即认购数量下限）、是否被剔除及原因。</w:t>
      </w:r>
    </w:p>
    <w:p w14:paraId="79A7B5B1">
      <w:pPr>
        <w:tabs>
          <w:tab w:val="left" w:pos="420"/>
        </w:tabs>
        <w:snapToGrid w:val="0"/>
        <w:spacing w:line="360" w:lineRule="auto"/>
        <w:ind w:left="420"/>
        <w:rPr>
          <w:rFonts w:hint="eastAsia" w:ascii="仿宋_GB2312" w:hAnsi="仿宋" w:eastAsia="仿宋_GB2312" w:cs="宋体"/>
          <w:color w:val="000000"/>
          <w:kern w:val="0"/>
          <w:sz w:val="24"/>
        </w:rPr>
      </w:pPr>
    </w:p>
    <w:p w14:paraId="31F25212">
      <w:pPr>
        <w:pStyle w:val="30"/>
        <w:numPr>
          <w:ilvl w:val="0"/>
          <w:numId w:val="1"/>
        </w:numPr>
        <w:ind w:left="0" w:firstLine="6" w:firstLineChars="0"/>
        <w:outlineLvl w:val="1"/>
        <w:rPr>
          <w:rFonts w:hint="eastAsia" w:ascii="黑体" w:hAnsi="黑体" w:eastAsia="黑体"/>
          <w:b/>
          <w:sz w:val="30"/>
          <w:szCs w:val="30"/>
        </w:rPr>
      </w:pPr>
      <w:bookmarkStart w:id="265" w:name="_Toc8866"/>
      <w:bookmarkStart w:id="266" w:name="_Toc751817712"/>
      <w:bookmarkStart w:id="267" w:name="_Toc1112874220"/>
      <w:bookmarkStart w:id="268" w:name="_Toc989165935"/>
      <w:bookmarkStart w:id="269" w:name="_Toc6819"/>
      <w:bookmarkStart w:id="270" w:name="_Toc100429943"/>
      <w:bookmarkStart w:id="271" w:name="_Toc70604215"/>
      <w:bookmarkStart w:id="272" w:name="_Toc1866632179"/>
      <w:bookmarkStart w:id="273" w:name="_Toc65181419"/>
      <w:bookmarkStart w:id="274" w:name="_Toc916905109"/>
      <w:bookmarkStart w:id="275" w:name="_Toc949426377"/>
      <w:r>
        <w:rPr>
          <w:rFonts w:hint="eastAsia" w:ascii="黑体" w:hAnsi="黑体" w:eastAsia="黑体"/>
          <w:b/>
          <w:sz w:val="30"/>
          <w:szCs w:val="30"/>
        </w:rPr>
        <w:t>认购</w:t>
      </w:r>
      <w:bookmarkEnd w:id="265"/>
      <w:bookmarkEnd w:id="266"/>
      <w:bookmarkEnd w:id="267"/>
      <w:bookmarkEnd w:id="268"/>
      <w:bookmarkEnd w:id="269"/>
      <w:bookmarkEnd w:id="270"/>
      <w:bookmarkEnd w:id="271"/>
      <w:bookmarkEnd w:id="272"/>
      <w:bookmarkEnd w:id="273"/>
      <w:bookmarkEnd w:id="274"/>
      <w:bookmarkEnd w:id="275"/>
    </w:p>
    <w:p w14:paraId="38433F4D">
      <w:pPr>
        <w:pStyle w:val="30"/>
        <w:numPr>
          <w:ilvl w:val="0"/>
          <w:numId w:val="35"/>
        </w:numPr>
        <w:ind w:firstLineChars="0"/>
        <w:outlineLvl w:val="2"/>
        <w:rPr>
          <w:rFonts w:hint="eastAsia" w:ascii="仿宋_GB2312" w:hAnsi="宋体" w:eastAsia="仿宋_GB2312"/>
          <w:b/>
          <w:sz w:val="28"/>
          <w:szCs w:val="28"/>
        </w:rPr>
      </w:pPr>
      <w:bookmarkStart w:id="276" w:name="_Toc63093383"/>
      <w:bookmarkEnd w:id="276"/>
      <w:bookmarkStart w:id="277" w:name="_Toc63093320"/>
      <w:bookmarkEnd w:id="277"/>
      <w:bookmarkStart w:id="278" w:name="_Toc63093257"/>
      <w:bookmarkEnd w:id="278"/>
      <w:bookmarkStart w:id="279" w:name="_Toc63093369"/>
      <w:bookmarkEnd w:id="279"/>
      <w:bookmarkStart w:id="280" w:name="_Toc63093195"/>
      <w:bookmarkEnd w:id="280"/>
      <w:bookmarkStart w:id="281" w:name="_Toc63093317"/>
      <w:bookmarkEnd w:id="281"/>
      <w:bookmarkStart w:id="282" w:name="_Toc63093318"/>
      <w:bookmarkEnd w:id="282"/>
      <w:bookmarkStart w:id="283" w:name="_Toc63093194"/>
      <w:bookmarkEnd w:id="283"/>
      <w:bookmarkStart w:id="284" w:name="_Toc63093382"/>
      <w:bookmarkEnd w:id="284"/>
      <w:bookmarkStart w:id="285" w:name="_Toc63093186"/>
      <w:bookmarkEnd w:id="285"/>
      <w:bookmarkStart w:id="286" w:name="_Toc63093309"/>
      <w:bookmarkEnd w:id="286"/>
      <w:bookmarkStart w:id="287" w:name="_Toc63093313"/>
      <w:bookmarkEnd w:id="287"/>
      <w:bookmarkStart w:id="288" w:name="_Toc63093306"/>
      <w:bookmarkEnd w:id="288"/>
      <w:bookmarkStart w:id="289" w:name="_Toc63093185"/>
      <w:bookmarkEnd w:id="289"/>
      <w:bookmarkStart w:id="290" w:name="_Toc63093324"/>
      <w:bookmarkEnd w:id="290"/>
      <w:bookmarkStart w:id="291" w:name="_Toc63093308"/>
      <w:bookmarkEnd w:id="291"/>
      <w:bookmarkStart w:id="292" w:name="_Toc63093316"/>
      <w:bookmarkEnd w:id="292"/>
      <w:bookmarkStart w:id="293" w:name="_Toc63093188"/>
      <w:bookmarkEnd w:id="293"/>
      <w:bookmarkStart w:id="294" w:name="_Toc63093372"/>
      <w:bookmarkEnd w:id="294"/>
      <w:bookmarkStart w:id="295" w:name="_Toc63093314"/>
      <w:bookmarkEnd w:id="295"/>
      <w:bookmarkStart w:id="296" w:name="_Toc63093319"/>
      <w:bookmarkEnd w:id="296"/>
      <w:bookmarkStart w:id="297" w:name="_Toc63093370"/>
      <w:bookmarkEnd w:id="297"/>
      <w:bookmarkStart w:id="298" w:name="_Toc63093243"/>
      <w:bookmarkEnd w:id="298"/>
      <w:bookmarkStart w:id="299" w:name="_Toc63093242"/>
      <w:bookmarkEnd w:id="299"/>
      <w:bookmarkStart w:id="300" w:name="_Toc63093183"/>
      <w:bookmarkEnd w:id="300"/>
      <w:bookmarkStart w:id="301" w:name="_Toc63093256"/>
      <w:bookmarkEnd w:id="301"/>
      <w:bookmarkStart w:id="302" w:name="_Toc63093258"/>
      <w:bookmarkEnd w:id="302"/>
      <w:bookmarkStart w:id="303" w:name="_Toc63093312"/>
      <w:bookmarkEnd w:id="303"/>
      <w:bookmarkStart w:id="304" w:name="_Toc63093371"/>
      <w:bookmarkEnd w:id="304"/>
      <w:bookmarkStart w:id="305" w:name="_Toc63093261"/>
      <w:bookmarkEnd w:id="305"/>
      <w:bookmarkStart w:id="306" w:name="_Toc63093384"/>
      <w:bookmarkEnd w:id="306"/>
      <w:bookmarkStart w:id="307" w:name="_Toc63093374"/>
      <w:bookmarkEnd w:id="307"/>
      <w:bookmarkStart w:id="308" w:name="_Toc63093375"/>
      <w:bookmarkEnd w:id="308"/>
      <w:bookmarkStart w:id="309" w:name="_Toc63093322"/>
      <w:bookmarkEnd w:id="309"/>
      <w:bookmarkStart w:id="310" w:name="_Toc63093184"/>
      <w:bookmarkEnd w:id="310"/>
      <w:bookmarkStart w:id="311" w:name="_Toc63093305"/>
      <w:bookmarkEnd w:id="311"/>
      <w:bookmarkStart w:id="312" w:name="_Toc63093193"/>
      <w:bookmarkEnd w:id="312"/>
      <w:bookmarkStart w:id="313" w:name="_Toc63093244"/>
      <w:bookmarkEnd w:id="313"/>
      <w:bookmarkStart w:id="314" w:name="_Toc63093310"/>
      <w:bookmarkEnd w:id="314"/>
      <w:bookmarkStart w:id="315" w:name="_Toc63093247"/>
      <w:bookmarkEnd w:id="315"/>
      <w:bookmarkStart w:id="316" w:name="_Toc63093386"/>
      <w:bookmarkEnd w:id="316"/>
      <w:bookmarkStart w:id="317" w:name="_Toc63093251"/>
      <w:bookmarkEnd w:id="317"/>
      <w:bookmarkStart w:id="318" w:name="_Toc63093180"/>
      <w:bookmarkEnd w:id="318"/>
      <w:bookmarkStart w:id="319" w:name="_Toc63093380"/>
      <w:bookmarkEnd w:id="319"/>
      <w:bookmarkStart w:id="320" w:name="_Toc63093252"/>
      <w:bookmarkEnd w:id="320"/>
      <w:bookmarkStart w:id="321" w:name="_Toc63093255"/>
      <w:bookmarkEnd w:id="321"/>
      <w:bookmarkStart w:id="322" w:name="_Toc63093377"/>
      <w:bookmarkEnd w:id="322"/>
      <w:bookmarkStart w:id="323" w:name="_Toc63093304"/>
      <w:bookmarkEnd w:id="323"/>
      <w:bookmarkStart w:id="324" w:name="_Toc63093196"/>
      <w:bookmarkEnd w:id="324"/>
      <w:bookmarkStart w:id="325" w:name="_Toc63093385"/>
      <w:bookmarkEnd w:id="325"/>
      <w:bookmarkStart w:id="326" w:name="_Toc63093311"/>
      <w:bookmarkEnd w:id="326"/>
      <w:bookmarkStart w:id="327" w:name="_Toc63093379"/>
      <w:bookmarkEnd w:id="327"/>
      <w:bookmarkStart w:id="328" w:name="_Toc63093321"/>
      <w:bookmarkEnd w:id="328"/>
      <w:bookmarkStart w:id="329" w:name="_Toc63093187"/>
      <w:bookmarkEnd w:id="329"/>
      <w:bookmarkStart w:id="330" w:name="_Toc63093178"/>
      <w:bookmarkEnd w:id="330"/>
      <w:bookmarkStart w:id="331" w:name="_Toc63093189"/>
      <w:bookmarkEnd w:id="331"/>
      <w:bookmarkStart w:id="332" w:name="_Toc63093378"/>
      <w:bookmarkEnd w:id="332"/>
      <w:bookmarkStart w:id="333" w:name="_Toc63093177"/>
      <w:bookmarkEnd w:id="333"/>
      <w:bookmarkStart w:id="334" w:name="_Toc63093259"/>
      <w:bookmarkEnd w:id="334"/>
      <w:bookmarkStart w:id="335" w:name="_Toc63093250"/>
      <w:bookmarkEnd w:id="335"/>
      <w:bookmarkStart w:id="336" w:name="_Toc63093260"/>
      <w:bookmarkEnd w:id="336"/>
      <w:bookmarkStart w:id="337" w:name="_Toc63093307"/>
      <w:bookmarkEnd w:id="337"/>
      <w:bookmarkStart w:id="338" w:name="_Toc63093241"/>
      <w:bookmarkEnd w:id="338"/>
      <w:bookmarkStart w:id="339" w:name="_Toc63093179"/>
      <w:bookmarkEnd w:id="339"/>
      <w:bookmarkStart w:id="340" w:name="_Toc63093368"/>
      <w:bookmarkEnd w:id="340"/>
      <w:bookmarkStart w:id="341" w:name="_Toc63093376"/>
      <w:bookmarkEnd w:id="341"/>
      <w:bookmarkStart w:id="342" w:name="_Toc63093246"/>
      <w:bookmarkEnd w:id="342"/>
      <w:bookmarkStart w:id="343" w:name="_Toc63093381"/>
      <w:bookmarkEnd w:id="343"/>
      <w:bookmarkStart w:id="344" w:name="_Toc63093197"/>
      <w:bookmarkEnd w:id="344"/>
      <w:bookmarkStart w:id="345" w:name="_Toc63093245"/>
      <w:bookmarkEnd w:id="345"/>
      <w:bookmarkStart w:id="346" w:name="_Toc63093182"/>
      <w:bookmarkEnd w:id="346"/>
      <w:bookmarkStart w:id="347" w:name="_Toc63093253"/>
      <w:bookmarkEnd w:id="347"/>
      <w:bookmarkStart w:id="348" w:name="_Toc63093323"/>
      <w:bookmarkEnd w:id="348"/>
      <w:bookmarkStart w:id="349" w:name="_Toc63093191"/>
      <w:bookmarkEnd w:id="349"/>
      <w:bookmarkStart w:id="350" w:name="_Toc63093181"/>
      <w:bookmarkEnd w:id="350"/>
      <w:bookmarkStart w:id="351" w:name="_Toc63093192"/>
      <w:bookmarkEnd w:id="351"/>
      <w:bookmarkStart w:id="352" w:name="_Toc63093190"/>
      <w:bookmarkEnd w:id="352"/>
      <w:bookmarkStart w:id="353" w:name="_Toc63093373"/>
      <w:bookmarkEnd w:id="353"/>
      <w:bookmarkStart w:id="354" w:name="_Toc63093315"/>
      <w:bookmarkEnd w:id="354"/>
      <w:bookmarkStart w:id="355" w:name="_Toc63093248"/>
      <w:bookmarkEnd w:id="355"/>
      <w:bookmarkStart w:id="356" w:name="_Toc63093367"/>
      <w:bookmarkEnd w:id="356"/>
      <w:bookmarkStart w:id="357" w:name="_Toc63093249"/>
      <w:bookmarkEnd w:id="357"/>
      <w:bookmarkStart w:id="358" w:name="_Toc63093254"/>
      <w:bookmarkEnd w:id="358"/>
      <w:bookmarkStart w:id="359" w:name="_Toc63093387"/>
      <w:bookmarkEnd w:id="359"/>
      <w:bookmarkStart w:id="360" w:name="_Toc65181420"/>
      <w:bookmarkStart w:id="361" w:name="_Toc2009229399"/>
      <w:bookmarkStart w:id="362" w:name="_Toc7955"/>
      <w:bookmarkStart w:id="363" w:name="_Toc528602397"/>
      <w:bookmarkStart w:id="364" w:name="_Toc297049670"/>
      <w:bookmarkStart w:id="365" w:name="_Toc70604216"/>
      <w:bookmarkStart w:id="366" w:name="_Toc378735255"/>
      <w:bookmarkStart w:id="367" w:name="_Toc452978853"/>
      <w:bookmarkStart w:id="368" w:name="_Toc235941061"/>
      <w:bookmarkStart w:id="369" w:name="_Toc558854014"/>
      <w:r>
        <w:rPr>
          <w:rFonts w:hint="eastAsia" w:ascii="仿宋_GB2312" w:hAnsi="宋体" w:eastAsia="仿宋_GB2312"/>
          <w:b/>
          <w:sz w:val="28"/>
          <w:szCs w:val="28"/>
        </w:rPr>
        <w:t>认购业务申请与受理</w:t>
      </w:r>
      <w:bookmarkEnd w:id="360"/>
      <w:bookmarkEnd w:id="361"/>
      <w:bookmarkEnd w:id="362"/>
      <w:bookmarkEnd w:id="363"/>
      <w:bookmarkEnd w:id="364"/>
      <w:bookmarkEnd w:id="365"/>
      <w:bookmarkEnd w:id="366"/>
      <w:bookmarkEnd w:id="367"/>
      <w:bookmarkEnd w:id="368"/>
      <w:bookmarkEnd w:id="369"/>
    </w:p>
    <w:p w14:paraId="06E040BF">
      <w:pPr>
        <w:pStyle w:val="13"/>
        <w:numPr>
          <w:ilvl w:val="1"/>
          <w:numId w:val="36"/>
        </w:numPr>
        <w:snapToGrid w:val="0"/>
        <w:spacing w:before="0" w:beforeAutospacing="0" w:after="0" w:afterAutospacing="0" w:line="360" w:lineRule="auto"/>
        <w:jc w:val="both"/>
        <w:rPr>
          <w:rFonts w:hint="eastAsia" w:ascii="仿宋_GB2312" w:hAnsi="仿宋" w:eastAsia="仿宋_GB2312"/>
        </w:rPr>
      </w:pPr>
      <w:r>
        <w:rPr>
          <w:rFonts w:hint="eastAsia" w:ascii="仿宋_GB2312" w:hAnsi="仿宋" w:eastAsia="仿宋_GB2312"/>
        </w:rPr>
        <w:t>注意事项：原则上，募集期不超过</w:t>
      </w:r>
      <w:r>
        <w:rPr>
          <w:rFonts w:hint="eastAsia" w:ascii="Times New Roman" w:hAnsi="Times New Roman" w:eastAsia="仿宋_GB2312"/>
        </w:rPr>
        <w:t>5</w:t>
      </w:r>
      <w:r>
        <w:rPr>
          <w:rFonts w:hint="eastAsia" w:ascii="仿宋_GB2312" w:hAnsi="仿宋" w:eastAsia="仿宋_GB2312"/>
        </w:rPr>
        <w:t>个交易日，募集期指场内、场外、询价平台三类认购期的最早起始日至最晚终止日的期间。</w:t>
      </w:r>
    </w:p>
    <w:p w14:paraId="642095B5">
      <w:pPr>
        <w:pStyle w:val="13"/>
        <w:numPr>
          <w:ilvl w:val="1"/>
          <w:numId w:val="36"/>
        </w:numPr>
        <w:snapToGrid w:val="0"/>
        <w:spacing w:before="0" w:beforeAutospacing="0" w:after="0" w:afterAutospacing="0" w:line="360" w:lineRule="auto"/>
        <w:jc w:val="both"/>
        <w:rPr>
          <w:rFonts w:hint="eastAsia" w:ascii="仿宋_GB2312" w:hAnsi="仿宋" w:eastAsia="仿宋_GB2312"/>
        </w:rPr>
      </w:pPr>
      <w:r>
        <w:rPr>
          <w:rFonts w:hint="eastAsia" w:ascii="仿宋_GB2312" w:hAnsi="仿宋" w:eastAsia="仿宋_GB2312"/>
        </w:rPr>
        <w:t>业务办理流程：</w:t>
      </w:r>
    </w:p>
    <w:p w14:paraId="511C350B">
      <w:pPr>
        <w:snapToGrid w:val="0"/>
        <w:spacing w:line="360" w:lineRule="auto"/>
        <w:ind w:left="424" w:leftChars="202"/>
        <w:rPr>
          <w:rFonts w:hint="eastAsia" w:ascii="仿宋_GB2312" w:hAnsi="仿宋" w:eastAsia="仿宋_GB2312" w:cs="宋体"/>
          <w:color w:val="000000"/>
          <w:kern w:val="0"/>
          <w:sz w:val="24"/>
        </w:rPr>
      </w:pPr>
    </w:p>
    <w:p w14:paraId="422BBD3D">
      <w:pPr>
        <w:snapToGrid w:val="0"/>
        <w:spacing w:line="360" w:lineRule="auto"/>
        <w:ind w:left="424" w:leftChars="202"/>
        <w:rPr>
          <w:rFonts w:hint="eastAsia" w:ascii="仿宋_GB2312" w:hAnsi="仿宋" w:eastAsia="仿宋_GB2312" w:cs="宋体"/>
          <w:color w:val="000000"/>
          <w:kern w:val="0"/>
          <w:sz w:val="24"/>
        </w:rPr>
      </w:pPr>
      <w:r>
        <w:rPr>
          <w:rFonts w:hint="eastAsia" w:ascii="Times New Roman" w:hAnsi="Times New Roman" w:eastAsia="仿宋_GB2312" w:cs="宋体"/>
          <w:color w:val="000000"/>
          <w:kern w:val="0"/>
          <w:sz w:val="24"/>
        </w:rPr>
        <w:t>L</w:t>
      </w:r>
      <w:r>
        <w:rPr>
          <w:rFonts w:hint="eastAsia" w:ascii="仿宋_GB2312" w:hAnsi="仿宋" w:eastAsia="仿宋_GB2312" w:cs="宋体"/>
          <w:color w:val="000000"/>
          <w:kern w:val="0"/>
          <w:sz w:val="24"/>
        </w:rPr>
        <w:t>-</w:t>
      </w:r>
      <w:r>
        <w:rPr>
          <w:rFonts w:hint="eastAsia" w:ascii="Times New Roman" w:hAnsi="Times New Roman" w:eastAsia="仿宋_GB2312" w:cs="宋体"/>
          <w:color w:val="000000"/>
          <w:kern w:val="0"/>
          <w:sz w:val="24"/>
        </w:rPr>
        <w:t>4</w:t>
      </w:r>
      <w:r>
        <w:rPr>
          <w:rFonts w:hint="eastAsia" w:ascii="仿宋_GB2312" w:hAnsi="仿宋" w:eastAsia="仿宋_GB2312" w:cs="宋体"/>
          <w:color w:val="000000"/>
          <w:kern w:val="0"/>
          <w:sz w:val="24"/>
        </w:rPr>
        <w:t>日</w:t>
      </w:r>
      <w:r>
        <w:rPr>
          <w:rFonts w:ascii="仿宋_GB2312" w:hAnsi="仿宋" w:eastAsia="仿宋_GB2312" w:cs="宋体"/>
          <w:color w:val="000000"/>
          <w:kern w:val="0"/>
          <w:sz w:val="24"/>
        </w:rPr>
        <w:t>（含）</w:t>
      </w:r>
      <w:r>
        <w:rPr>
          <w:rFonts w:hint="eastAsia" w:ascii="仿宋_GB2312" w:hAnsi="仿宋" w:eastAsia="仿宋_GB2312" w:cs="宋体"/>
          <w:color w:val="000000"/>
          <w:kern w:val="0"/>
          <w:sz w:val="24"/>
        </w:rPr>
        <w:t>前</w:t>
      </w:r>
    </w:p>
    <w:p w14:paraId="2307A9A0">
      <w:pPr>
        <w:numPr>
          <w:ilvl w:val="0"/>
          <w:numId w:val="22"/>
        </w:numPr>
        <w:snapToGrid w:val="0"/>
        <w:spacing w:line="360" w:lineRule="auto"/>
        <w:ind w:firstLine="480" w:firstLineChars="200"/>
        <w:rPr>
          <w:rFonts w:hint="eastAsia" w:ascii="仿宋_GB2312" w:hAnsi="仿宋" w:eastAsia="仿宋_GB2312" w:cs="宋体"/>
          <w:color w:val="000000"/>
          <w:kern w:val="0"/>
          <w:sz w:val="24"/>
        </w:rPr>
      </w:pPr>
      <w:r>
        <w:rPr>
          <w:rFonts w:hint="eastAsia" w:ascii="仿宋_GB2312" w:hAnsi="仿宋" w:eastAsia="仿宋_GB2312" w:cs="宋体"/>
          <w:color w:val="000000"/>
          <w:kern w:val="0"/>
          <w:sz w:val="24"/>
        </w:rPr>
        <w:t>在询价平台提交认购参数成功后，当日</w:t>
      </w:r>
      <w:r>
        <w:rPr>
          <w:rFonts w:hint="eastAsia" w:ascii="Times New Roman" w:hAnsi="Times New Roman" w:eastAsia="仿宋_GB2312" w:cs="宋体"/>
          <w:color w:val="000000"/>
          <w:kern w:val="0"/>
          <w:sz w:val="24"/>
        </w:rPr>
        <w:t>10</w:t>
      </w:r>
      <w:r>
        <w:rPr>
          <w:rFonts w:hint="eastAsia" w:ascii="仿宋_GB2312" w:hAnsi="仿宋" w:eastAsia="仿宋_GB2312" w:cs="宋体"/>
          <w:color w:val="000000"/>
          <w:kern w:val="0"/>
          <w:sz w:val="24"/>
        </w:rPr>
        <w:t>:</w:t>
      </w:r>
      <w:r>
        <w:rPr>
          <w:rFonts w:hint="eastAsia" w:ascii="Times New Roman" w:hAnsi="Times New Roman" w:eastAsia="仿宋_GB2312" w:cs="宋体"/>
          <w:color w:val="000000"/>
          <w:kern w:val="0"/>
          <w:sz w:val="24"/>
        </w:rPr>
        <w:t>00</w:t>
      </w:r>
      <w:r>
        <w:rPr>
          <w:rFonts w:hint="eastAsia" w:ascii="仿宋_GB2312" w:hAnsi="仿宋" w:eastAsia="仿宋_GB2312" w:cs="宋体"/>
          <w:color w:val="000000"/>
          <w:kern w:val="0"/>
          <w:sz w:val="24"/>
        </w:rPr>
        <w:t>前，基金管理人通过</w:t>
      </w:r>
      <w:r>
        <w:rPr>
          <w:rFonts w:hint="eastAsia" w:ascii="Times New Roman" w:hAnsi="Times New Roman" w:eastAsia="仿宋_GB2312" w:cs="宋体"/>
          <w:color w:val="000000"/>
          <w:kern w:val="0"/>
          <w:sz w:val="24"/>
        </w:rPr>
        <w:t>REITs</w:t>
      </w:r>
      <w:r>
        <w:rPr>
          <w:rFonts w:hint="eastAsia" w:ascii="仿宋_GB2312" w:hAnsi="仿宋" w:eastAsia="仿宋_GB2312" w:cs="宋体"/>
          <w:color w:val="000000"/>
          <w:kern w:val="0"/>
          <w:sz w:val="24"/>
        </w:rPr>
        <w:t>业务管理系统平台菜单“业务申请-</w:t>
      </w:r>
      <w:r>
        <w:rPr>
          <w:rFonts w:hint="eastAsia" w:ascii="Times New Roman" w:hAnsi="Times New Roman" w:eastAsia="仿宋_GB2312" w:cs="宋体"/>
          <w:color w:val="000000"/>
          <w:kern w:val="0"/>
          <w:sz w:val="24"/>
        </w:rPr>
        <w:t>REITs</w:t>
      </w:r>
      <w:r>
        <w:rPr>
          <w:rFonts w:hint="eastAsia" w:ascii="仿宋_GB2312" w:hAnsi="仿宋" w:eastAsia="仿宋_GB2312" w:cs="宋体"/>
          <w:color w:val="000000"/>
          <w:kern w:val="0"/>
          <w:sz w:val="24"/>
        </w:rPr>
        <w:t>-认购业务及公告”提交申请，包括业务申请和信息披露文件两部分：</w:t>
      </w:r>
    </w:p>
    <w:p w14:paraId="78031824">
      <w:pPr>
        <w:pStyle w:val="30"/>
        <w:numPr>
          <w:ilvl w:val="0"/>
          <w:numId w:val="25"/>
        </w:numPr>
        <w:snapToGrid w:val="0"/>
        <w:spacing w:line="360" w:lineRule="auto"/>
        <w:ind w:left="1276" w:firstLineChars="0"/>
        <w:rPr>
          <w:rFonts w:hint="eastAsia" w:ascii="仿宋_GB2312" w:hAnsi="仿宋" w:eastAsia="仿宋_GB2312" w:cs="宋体"/>
          <w:color w:val="000000"/>
          <w:kern w:val="0"/>
          <w:sz w:val="24"/>
        </w:rPr>
      </w:pPr>
      <w:r>
        <w:rPr>
          <w:rFonts w:hint="eastAsia" w:ascii="仿宋_GB2312" w:hAnsi="仿宋" w:eastAsia="仿宋_GB2312" w:cs="宋体"/>
          <w:color w:val="000000"/>
          <w:kern w:val="0"/>
          <w:sz w:val="24"/>
        </w:rPr>
        <w:t>业务申请材料：</w:t>
      </w:r>
    </w:p>
    <w:p w14:paraId="29C2260C">
      <w:pPr>
        <w:numPr>
          <w:ilvl w:val="0"/>
          <w:numId w:val="37"/>
        </w:numPr>
        <w:snapToGrid w:val="0"/>
        <w:spacing w:line="360" w:lineRule="auto"/>
        <w:rPr>
          <w:rFonts w:hint="eastAsia" w:ascii="仿宋_GB2312" w:hAnsi="仿宋" w:eastAsia="仿宋_GB2312" w:cs="宋体"/>
          <w:color w:val="000000"/>
          <w:kern w:val="0"/>
          <w:sz w:val="24"/>
        </w:rPr>
      </w:pPr>
      <w:r>
        <w:rPr>
          <w:rFonts w:hint="eastAsia" w:ascii="仿宋_GB2312" w:hAnsi="仿宋" w:eastAsia="仿宋_GB2312" w:cs="宋体"/>
          <w:color w:val="000000"/>
          <w:kern w:val="0"/>
          <w:sz w:val="24"/>
        </w:rPr>
        <w:t>认购申请函（格式参考附件</w:t>
      </w:r>
      <w:r>
        <w:rPr>
          <w:rFonts w:hint="eastAsia" w:ascii="Times New Roman" w:hAnsi="Times New Roman" w:eastAsia="仿宋_GB2312" w:cs="宋体"/>
          <w:color w:val="000000"/>
          <w:kern w:val="0"/>
          <w:sz w:val="24"/>
        </w:rPr>
        <w:t>1</w:t>
      </w:r>
      <w:r>
        <w:rPr>
          <w:rFonts w:hint="eastAsia" w:ascii="仿宋_GB2312" w:hAnsi="仿宋" w:eastAsia="仿宋_GB2312" w:cs="宋体"/>
          <w:color w:val="000000"/>
          <w:kern w:val="0"/>
          <w:sz w:val="24"/>
        </w:rPr>
        <w:t>-</w:t>
      </w:r>
      <w:r>
        <w:rPr>
          <w:rFonts w:hint="eastAsia" w:ascii="Times New Roman" w:hAnsi="Times New Roman" w:eastAsia="仿宋_GB2312" w:cs="宋体"/>
          <w:color w:val="000000"/>
          <w:kern w:val="0"/>
          <w:sz w:val="24"/>
        </w:rPr>
        <w:t>11</w:t>
      </w:r>
      <w:r>
        <w:rPr>
          <w:rFonts w:hint="eastAsia" w:ascii="仿宋_GB2312" w:hAnsi="仿宋" w:eastAsia="仿宋_GB2312" w:cs="宋体"/>
          <w:color w:val="000000"/>
          <w:kern w:val="0"/>
          <w:sz w:val="24"/>
        </w:rPr>
        <w:t>，盖章扫描件）；</w:t>
      </w:r>
    </w:p>
    <w:p w14:paraId="183A75B3">
      <w:pPr>
        <w:numPr>
          <w:ilvl w:val="0"/>
          <w:numId w:val="37"/>
        </w:numPr>
        <w:snapToGrid w:val="0"/>
        <w:spacing w:line="360" w:lineRule="auto"/>
        <w:rPr>
          <w:rFonts w:hint="eastAsia" w:ascii="仿宋_GB2312" w:hAnsi="仿宋" w:eastAsia="仿宋_GB2312" w:cs="宋体"/>
          <w:color w:val="000000"/>
          <w:kern w:val="0"/>
          <w:sz w:val="24"/>
        </w:rPr>
      </w:pPr>
      <w:r>
        <w:rPr>
          <w:rFonts w:hint="eastAsia" w:ascii="仿宋_GB2312" w:hAnsi="仿宋" w:eastAsia="仿宋_GB2312" w:cs="宋体"/>
          <w:color w:val="000000"/>
          <w:kern w:val="0"/>
          <w:sz w:val="24"/>
        </w:rPr>
        <w:t>本所要求的其他材料。</w:t>
      </w:r>
    </w:p>
    <w:p w14:paraId="15C2179E">
      <w:pPr>
        <w:snapToGrid w:val="0"/>
        <w:spacing w:line="360" w:lineRule="auto"/>
        <w:rPr>
          <w:rFonts w:hint="eastAsia" w:ascii="仿宋_GB2312" w:hAnsi="仿宋" w:eastAsia="仿宋_GB2312" w:cs="宋体"/>
          <w:color w:val="000000"/>
          <w:kern w:val="0"/>
          <w:sz w:val="24"/>
        </w:rPr>
      </w:pPr>
    </w:p>
    <w:p w14:paraId="5210B5BB">
      <w:pPr>
        <w:pStyle w:val="30"/>
        <w:numPr>
          <w:ilvl w:val="0"/>
          <w:numId w:val="25"/>
        </w:numPr>
        <w:snapToGrid w:val="0"/>
        <w:spacing w:line="360" w:lineRule="auto"/>
        <w:ind w:left="1276" w:firstLineChars="0"/>
        <w:rPr>
          <w:rFonts w:hint="eastAsia" w:ascii="仿宋_GB2312" w:hAnsi="仿宋" w:eastAsia="仿宋_GB2312" w:cs="宋体"/>
          <w:color w:val="000000"/>
          <w:kern w:val="0"/>
          <w:sz w:val="24"/>
        </w:rPr>
      </w:pPr>
      <w:r>
        <w:rPr>
          <w:rFonts w:hint="eastAsia" w:ascii="仿宋_GB2312" w:hAnsi="仿宋" w:eastAsia="仿宋_GB2312" w:cs="宋体"/>
          <w:color w:val="000000"/>
          <w:kern w:val="0"/>
          <w:sz w:val="24"/>
        </w:rPr>
        <w:t>信息披露文件：</w:t>
      </w:r>
    </w:p>
    <w:p w14:paraId="66189CA6">
      <w:pPr>
        <w:numPr>
          <w:ilvl w:val="0"/>
          <w:numId w:val="38"/>
        </w:numPr>
        <w:snapToGrid w:val="0"/>
        <w:spacing w:line="360" w:lineRule="auto"/>
        <w:rPr>
          <w:rFonts w:hint="eastAsia" w:ascii="仿宋_GB2312" w:hAnsi="仿宋" w:eastAsia="仿宋_GB2312" w:cs="宋体"/>
          <w:color w:val="000000"/>
          <w:kern w:val="0"/>
          <w:sz w:val="24"/>
        </w:rPr>
      </w:pPr>
      <w:r>
        <w:rPr>
          <w:rFonts w:hint="eastAsia" w:ascii="仿宋_GB2312" w:hAnsi="仿宋" w:eastAsia="仿宋_GB2312" w:cs="宋体"/>
          <w:color w:val="000000"/>
          <w:kern w:val="0"/>
          <w:sz w:val="24"/>
        </w:rPr>
        <w:t>发售公告（格式参考附件</w:t>
      </w:r>
      <w:r>
        <w:rPr>
          <w:rFonts w:hint="eastAsia" w:ascii="Times New Roman" w:hAnsi="Times New Roman" w:eastAsia="仿宋_GB2312" w:cs="宋体"/>
          <w:color w:val="000000"/>
          <w:kern w:val="0"/>
          <w:sz w:val="24"/>
        </w:rPr>
        <w:t>2</w:t>
      </w:r>
      <w:r>
        <w:rPr>
          <w:rFonts w:hint="eastAsia" w:ascii="仿宋_GB2312" w:hAnsi="仿宋" w:eastAsia="仿宋_GB2312" w:cs="宋体"/>
          <w:color w:val="000000"/>
          <w:kern w:val="0"/>
          <w:sz w:val="24"/>
        </w:rPr>
        <w:t>-</w:t>
      </w:r>
      <w:r>
        <w:rPr>
          <w:rFonts w:hint="eastAsia" w:ascii="Times New Roman" w:hAnsi="Times New Roman" w:eastAsia="仿宋_GB2312" w:cs="宋体"/>
          <w:color w:val="000000"/>
          <w:kern w:val="0"/>
          <w:sz w:val="24"/>
        </w:rPr>
        <w:t>2</w:t>
      </w:r>
      <w:r>
        <w:rPr>
          <w:rFonts w:hint="eastAsia" w:ascii="仿宋_GB2312" w:hAnsi="仿宋" w:eastAsia="仿宋_GB2312" w:cs="宋体"/>
          <w:color w:val="000000"/>
          <w:kern w:val="0"/>
          <w:sz w:val="24"/>
        </w:rPr>
        <w:t>）；</w:t>
      </w:r>
    </w:p>
    <w:p w14:paraId="593E84B7">
      <w:pPr>
        <w:numPr>
          <w:ilvl w:val="0"/>
          <w:numId w:val="38"/>
        </w:numPr>
        <w:snapToGrid w:val="0"/>
        <w:spacing w:line="360" w:lineRule="auto"/>
        <w:rPr>
          <w:rFonts w:hint="eastAsia" w:ascii="仿宋_GB2312" w:hAnsi="仿宋" w:eastAsia="仿宋_GB2312" w:cs="宋体"/>
          <w:color w:val="000000"/>
          <w:kern w:val="0"/>
          <w:sz w:val="24"/>
        </w:rPr>
      </w:pPr>
      <w:r>
        <w:rPr>
          <w:rFonts w:hint="eastAsia" w:ascii="仿宋_GB2312" w:hAnsi="仿宋" w:eastAsia="仿宋_GB2312" w:cs="宋体"/>
          <w:color w:val="000000"/>
          <w:kern w:val="0"/>
          <w:sz w:val="24"/>
        </w:rPr>
        <w:t>关于战略投资者的专项核查报告；</w:t>
      </w:r>
    </w:p>
    <w:p w14:paraId="4E763659">
      <w:pPr>
        <w:numPr>
          <w:ilvl w:val="0"/>
          <w:numId w:val="38"/>
        </w:numPr>
        <w:snapToGrid w:val="0"/>
        <w:spacing w:line="360" w:lineRule="auto"/>
        <w:rPr>
          <w:rFonts w:hint="eastAsia" w:ascii="仿宋_GB2312" w:hAnsi="仿宋" w:eastAsia="仿宋_GB2312" w:cs="宋体"/>
          <w:color w:val="000000"/>
          <w:kern w:val="0"/>
          <w:sz w:val="24"/>
        </w:rPr>
      </w:pPr>
      <w:r>
        <w:rPr>
          <w:rFonts w:hint="eastAsia" w:ascii="仿宋_GB2312" w:hAnsi="仿宋" w:eastAsia="仿宋_GB2312" w:cs="宋体"/>
          <w:color w:val="000000"/>
          <w:kern w:val="0"/>
          <w:sz w:val="24"/>
        </w:rPr>
        <w:t>律师关于战略投资者核查的专项法律意见书；</w:t>
      </w:r>
    </w:p>
    <w:p w14:paraId="280FD451">
      <w:pPr>
        <w:numPr>
          <w:ilvl w:val="0"/>
          <w:numId w:val="38"/>
        </w:numPr>
        <w:snapToGrid w:val="0"/>
        <w:spacing w:line="360" w:lineRule="auto"/>
        <w:rPr>
          <w:rFonts w:hint="eastAsia" w:ascii="仿宋_GB2312" w:hAnsi="仿宋" w:eastAsia="仿宋_GB2312" w:cs="宋体"/>
          <w:color w:val="000000"/>
          <w:kern w:val="0"/>
          <w:sz w:val="24"/>
        </w:rPr>
      </w:pPr>
      <w:r>
        <w:rPr>
          <w:rFonts w:hint="eastAsia" w:ascii="仿宋_GB2312" w:hAnsi="仿宋" w:eastAsia="仿宋_GB2312" w:cs="宋体"/>
          <w:color w:val="000000"/>
          <w:kern w:val="0"/>
          <w:sz w:val="24"/>
        </w:rPr>
        <w:t>招募说明书（如有更新）；</w:t>
      </w:r>
    </w:p>
    <w:p w14:paraId="0250F50E">
      <w:pPr>
        <w:numPr>
          <w:ilvl w:val="0"/>
          <w:numId w:val="38"/>
        </w:numPr>
        <w:snapToGrid w:val="0"/>
        <w:spacing w:line="360" w:lineRule="auto"/>
        <w:rPr>
          <w:rFonts w:hint="eastAsia" w:ascii="仿宋_GB2312" w:hAnsi="仿宋" w:eastAsia="仿宋_GB2312" w:cs="宋体"/>
          <w:color w:val="000000"/>
          <w:kern w:val="0"/>
          <w:sz w:val="24"/>
        </w:rPr>
      </w:pPr>
      <w:r>
        <w:rPr>
          <w:rFonts w:hint="eastAsia" w:ascii="仿宋_GB2312" w:hAnsi="仿宋" w:eastAsia="仿宋_GB2312" w:cs="宋体"/>
          <w:color w:val="000000"/>
          <w:kern w:val="0"/>
          <w:sz w:val="24"/>
        </w:rPr>
        <w:t>基金合同（如有更新）；</w:t>
      </w:r>
    </w:p>
    <w:p w14:paraId="76D5D474">
      <w:pPr>
        <w:numPr>
          <w:ilvl w:val="0"/>
          <w:numId w:val="38"/>
        </w:numPr>
        <w:snapToGrid w:val="0"/>
        <w:spacing w:line="360" w:lineRule="auto"/>
        <w:rPr>
          <w:rFonts w:hint="eastAsia" w:ascii="仿宋_GB2312" w:hAnsi="仿宋" w:eastAsia="仿宋_GB2312" w:cs="宋体"/>
          <w:color w:val="000000"/>
          <w:kern w:val="0"/>
          <w:sz w:val="24"/>
        </w:rPr>
      </w:pPr>
      <w:r>
        <w:rPr>
          <w:rFonts w:hint="eastAsia" w:ascii="仿宋_GB2312" w:hAnsi="仿宋" w:eastAsia="仿宋_GB2312" w:cs="宋体"/>
          <w:color w:val="000000"/>
          <w:kern w:val="0"/>
          <w:sz w:val="24"/>
        </w:rPr>
        <w:t>托管协议（如有更新）；</w:t>
      </w:r>
    </w:p>
    <w:p w14:paraId="04445318">
      <w:pPr>
        <w:numPr>
          <w:ilvl w:val="0"/>
          <w:numId w:val="38"/>
        </w:numPr>
        <w:snapToGrid w:val="0"/>
        <w:spacing w:line="360" w:lineRule="auto"/>
        <w:rPr>
          <w:rFonts w:hint="eastAsia" w:ascii="仿宋_GB2312" w:hAnsi="仿宋" w:eastAsia="仿宋_GB2312" w:cs="宋体"/>
          <w:color w:val="000000"/>
          <w:kern w:val="0"/>
          <w:sz w:val="24"/>
        </w:rPr>
      </w:pPr>
      <w:r>
        <w:rPr>
          <w:rFonts w:hint="eastAsia" w:ascii="仿宋_GB2312" w:hAnsi="仿宋" w:eastAsia="仿宋_GB2312" w:cs="宋体"/>
          <w:color w:val="000000"/>
          <w:kern w:val="0"/>
          <w:sz w:val="24"/>
        </w:rPr>
        <w:t>基金产品资料概要（如有更新）；</w:t>
      </w:r>
    </w:p>
    <w:p w14:paraId="4C3467F4">
      <w:pPr>
        <w:numPr>
          <w:ilvl w:val="0"/>
          <w:numId w:val="38"/>
        </w:numPr>
        <w:snapToGrid w:val="0"/>
        <w:spacing w:line="360" w:lineRule="auto"/>
        <w:rPr>
          <w:rFonts w:hint="eastAsia" w:ascii="仿宋_GB2312" w:hAnsi="仿宋" w:eastAsia="仿宋_GB2312" w:cs="宋体"/>
          <w:color w:val="000000"/>
          <w:kern w:val="0"/>
          <w:sz w:val="24"/>
        </w:rPr>
      </w:pPr>
      <w:r>
        <w:rPr>
          <w:rFonts w:hint="eastAsia" w:ascii="仿宋_GB2312" w:hAnsi="仿宋" w:eastAsia="仿宋_GB2312" w:cs="宋体"/>
          <w:color w:val="000000"/>
          <w:kern w:val="0"/>
          <w:sz w:val="24"/>
        </w:rPr>
        <w:t>本所要求披露的其他文件。</w:t>
      </w:r>
    </w:p>
    <w:p w14:paraId="1184EA3D">
      <w:pPr>
        <w:snapToGrid w:val="0"/>
        <w:spacing w:line="360" w:lineRule="auto"/>
        <w:ind w:left="851"/>
        <w:rPr>
          <w:rFonts w:hint="eastAsia" w:ascii="仿宋_GB2312" w:hAnsi="仿宋" w:eastAsia="仿宋_GB2312" w:cs="宋体"/>
          <w:color w:val="000000"/>
          <w:kern w:val="0"/>
          <w:sz w:val="24"/>
        </w:rPr>
      </w:pPr>
      <w:r>
        <w:rPr>
          <w:rFonts w:hint="eastAsia" w:ascii="仿宋_GB2312" w:hAnsi="仿宋" w:eastAsia="仿宋_GB2312" w:cs="宋体"/>
          <w:color w:val="000000"/>
          <w:kern w:val="0"/>
          <w:sz w:val="24"/>
        </w:rPr>
        <w:t>上述披露文件需以</w:t>
      </w:r>
      <w:r>
        <w:rPr>
          <w:rFonts w:hint="eastAsia" w:ascii="Times New Roman" w:hAnsi="Times New Roman" w:eastAsia="仿宋_GB2312" w:cs="宋体"/>
          <w:color w:val="000000"/>
          <w:kern w:val="0"/>
          <w:sz w:val="24"/>
        </w:rPr>
        <w:t>PDF</w:t>
      </w:r>
      <w:r>
        <w:rPr>
          <w:rFonts w:hint="eastAsia" w:ascii="仿宋_GB2312" w:hAnsi="仿宋" w:eastAsia="仿宋_GB2312" w:cs="宋体"/>
          <w:color w:val="000000"/>
          <w:kern w:val="0"/>
          <w:sz w:val="24"/>
        </w:rPr>
        <w:t>格式的电子文件提交。</w:t>
      </w:r>
    </w:p>
    <w:p w14:paraId="331ADD89">
      <w:pPr>
        <w:snapToGrid w:val="0"/>
        <w:spacing w:line="360" w:lineRule="auto"/>
        <w:ind w:left="851"/>
        <w:rPr>
          <w:rFonts w:hint="eastAsia" w:ascii="仿宋_GB2312" w:hAnsi="仿宋" w:eastAsia="仿宋_GB2312" w:cs="宋体"/>
          <w:color w:val="000000"/>
          <w:kern w:val="0"/>
          <w:sz w:val="24"/>
        </w:rPr>
      </w:pPr>
    </w:p>
    <w:p w14:paraId="28B18D2A">
      <w:pPr>
        <w:snapToGrid w:val="0"/>
        <w:spacing w:line="360" w:lineRule="auto"/>
        <w:ind w:left="420"/>
        <w:rPr>
          <w:rFonts w:hint="eastAsia" w:ascii="仿宋_GB2312" w:hAnsi="仿宋" w:eastAsia="仿宋_GB2312" w:cs="宋体"/>
          <w:color w:val="000000"/>
          <w:kern w:val="0"/>
          <w:sz w:val="24"/>
        </w:rPr>
      </w:pPr>
      <w:r>
        <w:rPr>
          <w:rFonts w:hint="eastAsia" w:ascii="Times New Roman" w:hAnsi="Times New Roman" w:eastAsia="仿宋_GB2312" w:cs="宋体"/>
          <w:color w:val="000000"/>
          <w:kern w:val="0"/>
          <w:sz w:val="24"/>
        </w:rPr>
        <w:t>L</w:t>
      </w:r>
      <w:r>
        <w:rPr>
          <w:rFonts w:ascii="仿宋_GB2312" w:hAnsi="仿宋" w:eastAsia="仿宋_GB2312" w:cs="宋体"/>
          <w:color w:val="000000"/>
          <w:kern w:val="0"/>
          <w:sz w:val="24"/>
        </w:rPr>
        <w:t>-</w:t>
      </w:r>
      <w:r>
        <w:rPr>
          <w:rFonts w:hint="eastAsia" w:ascii="Times New Roman" w:hAnsi="Times New Roman" w:eastAsia="仿宋_GB2312" w:cs="宋体"/>
          <w:color w:val="000000"/>
          <w:kern w:val="0"/>
          <w:sz w:val="24"/>
        </w:rPr>
        <w:t>4</w:t>
      </w:r>
      <w:r>
        <w:rPr>
          <w:rFonts w:ascii="仿宋_GB2312" w:hAnsi="仿宋" w:eastAsia="仿宋_GB2312" w:cs="宋体"/>
          <w:color w:val="000000"/>
          <w:kern w:val="0"/>
          <w:sz w:val="24"/>
        </w:rPr>
        <w:t>日（含）</w:t>
      </w:r>
    </w:p>
    <w:p w14:paraId="3E81472B">
      <w:pPr>
        <w:numPr>
          <w:ilvl w:val="0"/>
          <w:numId w:val="22"/>
        </w:numPr>
        <w:snapToGrid w:val="0"/>
        <w:spacing w:line="360" w:lineRule="auto"/>
        <w:ind w:firstLine="480" w:firstLineChars="200"/>
        <w:rPr>
          <w:rFonts w:hint="eastAsia" w:ascii="仿宋_GB2312" w:hAnsi="仿宋" w:eastAsia="仿宋_GB2312" w:cs="宋体"/>
          <w:color w:val="000000"/>
          <w:kern w:val="0"/>
          <w:sz w:val="24"/>
        </w:rPr>
      </w:pPr>
      <w:r>
        <w:rPr>
          <w:rFonts w:hint="eastAsia" w:ascii="仿宋_GB2312" w:hAnsi="仿宋" w:eastAsia="仿宋_GB2312" w:cs="宋体"/>
          <w:color w:val="000000"/>
          <w:kern w:val="0"/>
          <w:sz w:val="24"/>
        </w:rPr>
        <w:t>经本所初次审核通过后，基金管理人在</w:t>
      </w:r>
      <w:r>
        <w:rPr>
          <w:rFonts w:hint="eastAsia" w:ascii="Times New Roman" w:hAnsi="Times New Roman" w:eastAsia="仿宋_GB2312" w:cs="宋体"/>
          <w:color w:val="000000"/>
          <w:kern w:val="0"/>
          <w:sz w:val="24"/>
        </w:rPr>
        <w:t>REITs</w:t>
      </w:r>
      <w:r>
        <w:rPr>
          <w:rFonts w:hint="eastAsia" w:ascii="仿宋_GB2312" w:hAnsi="仿宋" w:eastAsia="仿宋_GB2312" w:cs="宋体"/>
          <w:color w:val="000000"/>
          <w:kern w:val="0"/>
          <w:sz w:val="24"/>
        </w:rPr>
        <w:t>业务管理系统平台提交的认购业务申请中对拟定的认购日期进行确认：</w:t>
      </w:r>
    </w:p>
    <w:p w14:paraId="00941E55">
      <w:pPr>
        <w:numPr>
          <w:ilvl w:val="0"/>
          <w:numId w:val="28"/>
        </w:numPr>
        <w:snapToGrid w:val="0"/>
        <w:spacing w:line="360" w:lineRule="auto"/>
        <w:ind w:firstLine="480"/>
        <w:rPr>
          <w:rFonts w:hint="eastAsia" w:ascii="仿宋_GB2312" w:hAnsi="仿宋" w:eastAsia="仿宋_GB2312" w:cs="宋体"/>
          <w:color w:val="000000"/>
          <w:kern w:val="0"/>
          <w:sz w:val="24"/>
        </w:rPr>
      </w:pPr>
      <w:r>
        <w:rPr>
          <w:rFonts w:hint="eastAsia" w:ascii="仿宋_GB2312" w:hAnsi="仿宋" w:eastAsia="仿宋_GB2312" w:cs="宋体"/>
          <w:color w:val="000000"/>
          <w:kern w:val="0"/>
          <w:sz w:val="24"/>
        </w:rPr>
        <w:t>如确定拟定认购日期为正式认购日期，则认购业务申请办结；</w:t>
      </w:r>
    </w:p>
    <w:p w14:paraId="4D5C50F6">
      <w:pPr>
        <w:numPr>
          <w:ilvl w:val="0"/>
          <w:numId w:val="28"/>
        </w:numPr>
        <w:snapToGrid w:val="0"/>
        <w:spacing w:line="360" w:lineRule="auto"/>
        <w:ind w:firstLine="480"/>
        <w:rPr>
          <w:rFonts w:hint="eastAsia" w:ascii="仿宋_GB2312" w:hAnsi="仿宋" w:eastAsia="仿宋_GB2312" w:cs="宋体"/>
          <w:color w:val="000000"/>
          <w:kern w:val="0"/>
          <w:sz w:val="24"/>
        </w:rPr>
      </w:pPr>
      <w:r>
        <w:rPr>
          <w:rFonts w:hint="eastAsia" w:ascii="仿宋_GB2312" w:hAnsi="仿宋" w:eastAsia="仿宋_GB2312" w:cs="宋体"/>
          <w:color w:val="000000"/>
          <w:kern w:val="0"/>
          <w:sz w:val="24"/>
        </w:rPr>
        <w:t>如此时需变更拟定的认购日期，但认购其他相关信息无变动，则基金管理人可修改认购日期，并重新提交日期变更后的发售公告文件，以及业务信息调整申请函（附件</w:t>
      </w:r>
      <w:r>
        <w:rPr>
          <w:rFonts w:hint="eastAsia" w:ascii="Times New Roman" w:hAnsi="Times New Roman" w:eastAsia="仿宋_GB2312" w:cs="宋体"/>
          <w:color w:val="000000"/>
          <w:kern w:val="0"/>
          <w:sz w:val="24"/>
        </w:rPr>
        <w:t>1</w:t>
      </w:r>
      <w:r>
        <w:rPr>
          <w:rFonts w:hint="eastAsia" w:ascii="仿宋_GB2312" w:hAnsi="仿宋" w:eastAsia="仿宋_GB2312" w:cs="宋体"/>
          <w:color w:val="000000"/>
          <w:kern w:val="0"/>
          <w:sz w:val="24"/>
        </w:rPr>
        <w:t>-</w:t>
      </w:r>
      <w:r>
        <w:rPr>
          <w:rFonts w:hint="eastAsia" w:ascii="Times New Roman" w:hAnsi="Times New Roman" w:eastAsia="仿宋_GB2312" w:cs="宋体"/>
          <w:color w:val="000000"/>
          <w:kern w:val="0"/>
          <w:sz w:val="24"/>
        </w:rPr>
        <w:t>10</w:t>
      </w:r>
      <w:r>
        <w:rPr>
          <w:rFonts w:hint="eastAsia" w:ascii="仿宋_GB2312" w:hAnsi="仿宋" w:eastAsia="仿宋_GB2312" w:cs="宋体"/>
          <w:color w:val="000000"/>
          <w:kern w:val="0"/>
          <w:sz w:val="24"/>
        </w:rPr>
        <w:t>），经本所再次审核通过后，认购业务申请办结；</w:t>
      </w:r>
    </w:p>
    <w:p w14:paraId="699ABC0A">
      <w:pPr>
        <w:numPr>
          <w:ilvl w:val="0"/>
          <w:numId w:val="28"/>
        </w:numPr>
        <w:snapToGrid w:val="0"/>
        <w:spacing w:line="360" w:lineRule="auto"/>
        <w:ind w:firstLine="480"/>
        <w:rPr>
          <w:rFonts w:hint="eastAsia" w:ascii="仿宋_GB2312" w:hAnsi="仿宋" w:eastAsia="仿宋_GB2312" w:cs="宋体"/>
          <w:color w:val="000000"/>
          <w:kern w:val="0"/>
          <w:sz w:val="24"/>
        </w:rPr>
      </w:pPr>
      <w:r>
        <w:rPr>
          <w:rFonts w:hint="eastAsia" w:ascii="仿宋_GB2312" w:hAnsi="仿宋" w:eastAsia="仿宋_GB2312" w:cs="宋体"/>
          <w:color w:val="000000"/>
          <w:kern w:val="0"/>
          <w:sz w:val="24"/>
        </w:rPr>
        <w:t>如此时因其他因素导致认购相关信息有变化或需取消认购的，则基金管理人可直接取消此次认购申请，本流程自此终止。后续如有需要，可再次发起新的认购申请。</w:t>
      </w:r>
    </w:p>
    <w:p w14:paraId="702CCCA8">
      <w:pPr>
        <w:snapToGrid w:val="0"/>
        <w:spacing w:line="360" w:lineRule="auto"/>
        <w:ind w:left="851"/>
        <w:rPr>
          <w:rFonts w:hint="eastAsia" w:ascii="仿宋_GB2312" w:hAnsi="仿宋" w:eastAsia="仿宋_GB2312" w:cs="宋体"/>
          <w:color w:val="000000"/>
          <w:kern w:val="0"/>
          <w:sz w:val="24"/>
        </w:rPr>
      </w:pPr>
    </w:p>
    <w:p w14:paraId="01B440FF">
      <w:pPr>
        <w:numPr>
          <w:ilvl w:val="0"/>
          <w:numId w:val="22"/>
        </w:numPr>
        <w:snapToGrid w:val="0"/>
        <w:spacing w:line="360" w:lineRule="auto"/>
        <w:ind w:firstLine="480" w:firstLineChars="200"/>
        <w:rPr>
          <w:rFonts w:hint="eastAsia" w:ascii="仿宋_GB2312" w:hAnsi="仿宋" w:eastAsia="仿宋_GB2312" w:cs="宋体"/>
          <w:color w:val="000000"/>
          <w:kern w:val="0"/>
          <w:sz w:val="24"/>
        </w:rPr>
      </w:pPr>
      <w:r>
        <w:rPr>
          <w:rFonts w:hint="eastAsia" w:ascii="仿宋_GB2312" w:hAnsi="仿宋" w:eastAsia="仿宋_GB2312" w:cs="宋体"/>
          <w:color w:val="000000"/>
          <w:kern w:val="0"/>
          <w:sz w:val="24"/>
        </w:rPr>
        <w:t>本业务申请经本所最终审核办结后，如因特殊情况需要对募集期相关安排作出重大调整的，应当及时通知本所。</w:t>
      </w:r>
    </w:p>
    <w:p w14:paraId="7B2E22C4">
      <w:pPr>
        <w:snapToGrid w:val="0"/>
        <w:spacing w:line="360" w:lineRule="auto"/>
        <w:ind w:left="851"/>
        <w:rPr>
          <w:rFonts w:hint="eastAsia" w:ascii="仿宋_GB2312" w:hAnsi="仿宋" w:eastAsia="仿宋_GB2312" w:cs="宋体"/>
          <w:color w:val="000000"/>
          <w:kern w:val="0"/>
          <w:sz w:val="24"/>
        </w:rPr>
      </w:pPr>
    </w:p>
    <w:p w14:paraId="33F8B8E2">
      <w:pPr>
        <w:pStyle w:val="30"/>
        <w:numPr>
          <w:ilvl w:val="0"/>
          <w:numId w:val="35"/>
        </w:numPr>
        <w:snapToGrid w:val="0"/>
        <w:spacing w:line="360" w:lineRule="auto"/>
        <w:ind w:left="851" w:firstLineChars="0"/>
        <w:outlineLvl w:val="2"/>
        <w:rPr>
          <w:rFonts w:hint="eastAsia" w:ascii="仿宋_GB2312" w:hAnsi="宋体" w:eastAsia="仿宋_GB2312"/>
          <w:b/>
          <w:sz w:val="28"/>
          <w:szCs w:val="28"/>
        </w:rPr>
      </w:pPr>
      <w:bookmarkStart w:id="370" w:name="_Toc1717020272"/>
      <w:bookmarkStart w:id="371" w:name="_Toc236334335"/>
      <w:bookmarkStart w:id="372" w:name="_Toc70604217"/>
      <w:bookmarkStart w:id="373" w:name="_Toc570599525"/>
      <w:bookmarkStart w:id="374" w:name="_Toc1353950808"/>
      <w:bookmarkStart w:id="375" w:name="_Toc65181421"/>
      <w:bookmarkStart w:id="376" w:name="_Toc473409975"/>
      <w:bookmarkStart w:id="377" w:name="_Toc19967"/>
      <w:bookmarkStart w:id="378" w:name="_Toc1305222856"/>
      <w:bookmarkStart w:id="379" w:name="_Toc315650895"/>
      <w:r>
        <w:rPr>
          <w:rFonts w:hint="eastAsia" w:ascii="仿宋_GB2312" w:hAnsi="宋体" w:eastAsia="仿宋_GB2312"/>
          <w:b/>
          <w:sz w:val="28"/>
          <w:szCs w:val="28"/>
        </w:rPr>
        <w:t>披露《发售公告》</w:t>
      </w:r>
      <w:bookmarkEnd w:id="370"/>
      <w:bookmarkEnd w:id="371"/>
      <w:bookmarkEnd w:id="372"/>
      <w:bookmarkEnd w:id="373"/>
      <w:bookmarkEnd w:id="374"/>
      <w:bookmarkEnd w:id="375"/>
      <w:bookmarkEnd w:id="376"/>
      <w:bookmarkEnd w:id="377"/>
      <w:bookmarkEnd w:id="378"/>
      <w:bookmarkEnd w:id="379"/>
    </w:p>
    <w:p w14:paraId="67D9946F">
      <w:pPr>
        <w:snapToGrid w:val="0"/>
        <w:spacing w:line="360" w:lineRule="auto"/>
        <w:ind w:firstLine="480" w:firstLineChars="200"/>
        <w:rPr>
          <w:rFonts w:hint="eastAsia" w:ascii="仿宋_GB2312" w:hAnsi="仿宋" w:eastAsia="仿宋_GB2312" w:cs="宋体"/>
          <w:color w:val="000000"/>
          <w:kern w:val="0"/>
          <w:sz w:val="24"/>
        </w:rPr>
      </w:pPr>
      <w:r>
        <w:rPr>
          <w:rFonts w:hint="eastAsia" w:ascii="Times New Roman" w:hAnsi="Times New Roman" w:eastAsia="仿宋_GB2312" w:cs="宋体"/>
          <w:color w:val="000000"/>
          <w:kern w:val="0"/>
          <w:sz w:val="24"/>
        </w:rPr>
        <w:t>L</w:t>
      </w:r>
      <w:r>
        <w:rPr>
          <w:rFonts w:hint="eastAsia" w:ascii="仿宋_GB2312" w:hAnsi="仿宋" w:eastAsia="仿宋_GB2312" w:cs="宋体"/>
          <w:color w:val="000000"/>
          <w:kern w:val="0"/>
          <w:sz w:val="24"/>
        </w:rPr>
        <w:t>-</w:t>
      </w:r>
      <w:r>
        <w:rPr>
          <w:rFonts w:hint="eastAsia" w:ascii="Times New Roman" w:hAnsi="Times New Roman" w:eastAsia="仿宋_GB2312" w:cs="宋体"/>
          <w:color w:val="000000"/>
          <w:kern w:val="0"/>
          <w:sz w:val="24"/>
        </w:rPr>
        <w:t>3</w:t>
      </w:r>
      <w:r>
        <w:rPr>
          <w:rFonts w:hint="eastAsia" w:ascii="仿宋_GB2312" w:hAnsi="仿宋" w:eastAsia="仿宋_GB2312" w:cs="宋体"/>
          <w:color w:val="000000"/>
          <w:kern w:val="0"/>
          <w:sz w:val="24"/>
        </w:rPr>
        <w:t>日（含，自然日）前</w:t>
      </w:r>
    </w:p>
    <w:p w14:paraId="21205A77">
      <w:pPr>
        <w:numPr>
          <w:ilvl w:val="0"/>
          <w:numId w:val="12"/>
        </w:numPr>
        <w:snapToGrid w:val="0"/>
        <w:spacing w:line="360" w:lineRule="auto"/>
        <w:ind w:firstLine="480" w:firstLineChars="200"/>
        <w:rPr>
          <w:rFonts w:hint="eastAsia" w:ascii="仿宋_GB2312" w:hAnsi="仿宋" w:eastAsia="仿宋_GB2312" w:cs="宋体"/>
          <w:color w:val="000000"/>
          <w:kern w:val="0"/>
          <w:sz w:val="24"/>
        </w:rPr>
      </w:pPr>
      <w:r>
        <w:rPr>
          <w:rFonts w:hint="eastAsia" w:ascii="仿宋_GB2312" w:hAnsi="仿宋" w:eastAsia="仿宋_GB2312" w:cs="宋体"/>
          <w:color w:val="000000"/>
          <w:kern w:val="0"/>
          <w:sz w:val="24"/>
        </w:rPr>
        <w:t>发售公告、基金管理人对</w:t>
      </w:r>
      <w:r>
        <w:rPr>
          <w:rFonts w:ascii="仿宋_GB2312" w:hAnsi="仿宋" w:eastAsia="仿宋_GB2312" w:cs="宋体"/>
          <w:color w:val="000000"/>
          <w:kern w:val="0"/>
          <w:sz w:val="24"/>
        </w:rPr>
        <w:t>战略投资者</w:t>
      </w:r>
      <w:r>
        <w:rPr>
          <w:rFonts w:hint="eastAsia" w:ascii="仿宋_GB2312" w:hAnsi="仿宋" w:eastAsia="仿宋_GB2312" w:cs="宋体"/>
          <w:color w:val="000000"/>
          <w:kern w:val="0"/>
          <w:sz w:val="24"/>
        </w:rPr>
        <w:t>的核查文件及律师事务所对战略投资者核查的法律意见书等公告文件在本所</w:t>
      </w:r>
      <w:r>
        <w:rPr>
          <w:rFonts w:ascii="仿宋_GB2312" w:hAnsi="仿宋" w:eastAsia="仿宋_GB2312" w:cs="宋体"/>
          <w:color w:val="000000"/>
          <w:kern w:val="0"/>
          <w:sz w:val="24"/>
        </w:rPr>
        <w:t>官网</w:t>
      </w:r>
      <w:r>
        <w:rPr>
          <w:rFonts w:hint="eastAsia" w:ascii="仿宋_GB2312" w:hAnsi="仿宋" w:eastAsia="仿宋_GB2312" w:cs="宋体"/>
          <w:color w:val="000000"/>
          <w:kern w:val="0"/>
          <w:sz w:val="24"/>
        </w:rPr>
        <w:t>发布，基金管理人核对网站披露内容是否符合预期。</w:t>
      </w:r>
    </w:p>
    <w:p w14:paraId="713B4F89">
      <w:pPr>
        <w:numPr>
          <w:ilvl w:val="0"/>
          <w:numId w:val="12"/>
        </w:numPr>
        <w:snapToGrid w:val="0"/>
        <w:spacing w:line="360" w:lineRule="auto"/>
        <w:ind w:firstLine="480" w:firstLineChars="200"/>
        <w:rPr>
          <w:rFonts w:hint="eastAsia" w:ascii="仿宋_GB2312" w:hAnsi="仿宋" w:eastAsia="仿宋_GB2312" w:cs="宋体"/>
          <w:color w:val="000000"/>
          <w:kern w:val="0"/>
          <w:sz w:val="24"/>
        </w:rPr>
      </w:pPr>
      <w:r>
        <w:rPr>
          <w:rFonts w:hint="eastAsia" w:ascii="仿宋_GB2312" w:hAnsi="仿宋" w:eastAsia="仿宋_GB2312" w:cs="宋体"/>
          <w:color w:val="000000"/>
          <w:kern w:val="0"/>
          <w:sz w:val="24"/>
        </w:rPr>
        <w:t>基金管理人</w:t>
      </w:r>
      <w:r>
        <w:rPr>
          <w:rFonts w:hint="eastAsia" w:ascii="仿宋_GB2312" w:hAnsi="仿宋" w:eastAsia="仿宋_GB2312" w:cs="宋体"/>
          <w:color w:val="000000"/>
          <w:kern w:val="0"/>
          <w:sz w:val="24"/>
          <w:szCs w:val="21"/>
        </w:rPr>
        <w:t>根据中国证监会规定在</w:t>
      </w:r>
      <w:r>
        <w:rPr>
          <w:rFonts w:hint="eastAsia" w:ascii="仿宋_GB2312" w:hAnsi="仿宋" w:eastAsia="仿宋_GB2312" w:cs="宋体"/>
          <w:color w:val="000000"/>
          <w:kern w:val="0"/>
          <w:sz w:val="24"/>
        </w:rPr>
        <w:t>其他媒介上刊登前述公告。</w:t>
      </w:r>
    </w:p>
    <w:p w14:paraId="0B671F7A">
      <w:pPr>
        <w:tabs>
          <w:tab w:val="left" w:pos="420"/>
        </w:tabs>
        <w:snapToGrid w:val="0"/>
        <w:spacing w:line="360" w:lineRule="auto"/>
        <w:rPr>
          <w:rFonts w:hint="eastAsia" w:ascii="仿宋_GB2312" w:hAnsi="仿宋" w:eastAsia="仿宋_GB2312" w:cs="宋体"/>
          <w:color w:val="000000"/>
          <w:kern w:val="0"/>
          <w:sz w:val="24"/>
        </w:rPr>
      </w:pPr>
    </w:p>
    <w:p w14:paraId="0E2F4398">
      <w:pPr>
        <w:pStyle w:val="30"/>
        <w:numPr>
          <w:ilvl w:val="0"/>
          <w:numId w:val="35"/>
        </w:numPr>
        <w:snapToGrid w:val="0"/>
        <w:spacing w:line="360" w:lineRule="auto"/>
        <w:ind w:left="851" w:firstLineChars="0"/>
        <w:outlineLvl w:val="2"/>
        <w:rPr>
          <w:rFonts w:hint="eastAsia" w:ascii="仿宋_GB2312" w:hAnsi="宋体" w:eastAsia="仿宋_GB2312"/>
          <w:b/>
          <w:sz w:val="28"/>
          <w:szCs w:val="28"/>
        </w:rPr>
      </w:pPr>
      <w:bookmarkStart w:id="380" w:name="_Toc65181422"/>
      <w:bookmarkStart w:id="381" w:name="_Toc70604218"/>
      <w:bookmarkStart w:id="382" w:name="_Toc403023051"/>
      <w:bookmarkStart w:id="383" w:name="_Toc1584531073"/>
      <w:bookmarkStart w:id="384" w:name="_Toc1338707840"/>
      <w:bookmarkStart w:id="385" w:name="_Toc1063168172"/>
      <w:bookmarkStart w:id="386" w:name="_Toc14899"/>
      <w:bookmarkStart w:id="387" w:name="_Toc1274578196"/>
      <w:bookmarkStart w:id="388" w:name="_Toc1797280723"/>
      <w:bookmarkStart w:id="389" w:name="_Toc1035600210"/>
      <w:r>
        <w:rPr>
          <w:rFonts w:hint="eastAsia" w:ascii="仿宋_GB2312" w:hAnsi="宋体" w:eastAsia="仿宋_GB2312"/>
          <w:b/>
          <w:sz w:val="28"/>
          <w:szCs w:val="28"/>
        </w:rPr>
        <w:t>投资者认购</w:t>
      </w:r>
      <w:bookmarkEnd w:id="380"/>
      <w:bookmarkEnd w:id="381"/>
      <w:bookmarkEnd w:id="382"/>
      <w:bookmarkEnd w:id="383"/>
      <w:bookmarkEnd w:id="384"/>
      <w:bookmarkEnd w:id="385"/>
      <w:bookmarkEnd w:id="386"/>
      <w:bookmarkEnd w:id="387"/>
      <w:bookmarkEnd w:id="388"/>
      <w:bookmarkEnd w:id="389"/>
    </w:p>
    <w:p w14:paraId="4640E181">
      <w:pPr>
        <w:pStyle w:val="13"/>
        <w:numPr>
          <w:ilvl w:val="1"/>
          <w:numId w:val="39"/>
        </w:numPr>
        <w:tabs>
          <w:tab w:val="clear" w:pos="840"/>
        </w:tabs>
        <w:snapToGrid w:val="0"/>
        <w:spacing w:before="0" w:beforeAutospacing="0" w:after="0" w:afterAutospacing="0" w:line="360" w:lineRule="auto"/>
        <w:ind w:left="839"/>
        <w:jc w:val="both"/>
        <w:rPr>
          <w:rFonts w:hint="eastAsia" w:ascii="仿宋_GB2312" w:hAnsi="仿宋" w:eastAsia="仿宋_GB2312"/>
        </w:rPr>
      </w:pPr>
      <w:r>
        <w:rPr>
          <w:rFonts w:hint="eastAsia" w:ascii="仿宋_GB2312" w:hAnsi="仿宋" w:eastAsia="仿宋_GB2312"/>
        </w:rPr>
        <w:t>注意事项：使用租用交易单元的投资者无法参与</w:t>
      </w:r>
      <w:r>
        <w:rPr>
          <w:rFonts w:hint="eastAsia" w:ascii="Times New Roman" w:hAnsi="Times New Roman" w:eastAsia="仿宋_GB2312"/>
        </w:rPr>
        <w:t>REITs</w:t>
      </w:r>
      <w:r>
        <w:rPr>
          <w:rFonts w:hint="eastAsia" w:ascii="仿宋_GB2312" w:hAnsi="仿宋" w:eastAsia="仿宋_GB2312"/>
        </w:rPr>
        <w:t>场内认购。</w:t>
      </w:r>
    </w:p>
    <w:p w14:paraId="4217F00C">
      <w:pPr>
        <w:pStyle w:val="13"/>
        <w:numPr>
          <w:ilvl w:val="1"/>
          <w:numId w:val="39"/>
        </w:numPr>
        <w:tabs>
          <w:tab w:val="clear" w:pos="840"/>
        </w:tabs>
        <w:snapToGrid w:val="0"/>
        <w:spacing w:before="0" w:beforeAutospacing="0" w:after="0" w:afterAutospacing="0" w:line="360" w:lineRule="auto"/>
        <w:jc w:val="both"/>
        <w:rPr>
          <w:rFonts w:hint="eastAsia" w:ascii="仿宋_GB2312" w:hAnsi="仿宋" w:eastAsia="仿宋_GB2312"/>
        </w:rPr>
      </w:pPr>
      <w:r>
        <w:rPr>
          <w:rFonts w:hint="eastAsia" w:ascii="仿宋_GB2312" w:hAnsi="仿宋" w:eastAsia="仿宋_GB2312"/>
        </w:rPr>
        <w:t>业务办理流程：</w:t>
      </w:r>
    </w:p>
    <w:p w14:paraId="2B60E290">
      <w:pPr>
        <w:pStyle w:val="13"/>
        <w:numPr>
          <w:ilvl w:val="255"/>
          <w:numId w:val="0"/>
        </w:numPr>
        <w:snapToGrid w:val="0"/>
        <w:spacing w:before="0" w:beforeAutospacing="0" w:after="0" w:afterAutospacing="0" w:line="360" w:lineRule="auto"/>
        <w:ind w:left="420"/>
        <w:jc w:val="both"/>
        <w:rPr>
          <w:rFonts w:hint="eastAsia" w:ascii="仿宋_GB2312" w:hAnsi="仿宋" w:eastAsia="仿宋_GB2312"/>
        </w:rPr>
      </w:pPr>
    </w:p>
    <w:p w14:paraId="3EE07EDC">
      <w:pPr>
        <w:pStyle w:val="13"/>
        <w:numPr>
          <w:ilvl w:val="0"/>
          <w:numId w:val="31"/>
        </w:numPr>
        <w:snapToGrid w:val="0"/>
        <w:spacing w:before="0" w:beforeAutospacing="0" w:after="0" w:afterAutospacing="0" w:line="360" w:lineRule="auto"/>
        <w:ind w:left="426" w:firstLine="0"/>
        <w:jc w:val="both"/>
        <w:rPr>
          <w:rFonts w:hint="eastAsia" w:ascii="仿宋_GB2312" w:hAnsi="仿宋" w:eastAsia="仿宋_GB2312"/>
        </w:rPr>
      </w:pPr>
      <w:r>
        <w:rPr>
          <w:rFonts w:hint="eastAsia" w:ascii="仿宋_GB2312" w:hAnsi="仿宋" w:eastAsia="仿宋_GB2312"/>
        </w:rPr>
        <w:t>名称释义：</w:t>
      </w:r>
    </w:p>
    <w:p w14:paraId="456FA1E0">
      <w:pPr>
        <w:pStyle w:val="13"/>
        <w:snapToGrid w:val="0"/>
        <w:spacing w:before="0" w:beforeAutospacing="0" w:after="0" w:afterAutospacing="0" w:line="360" w:lineRule="auto"/>
        <w:ind w:left="426" w:firstLine="480" w:firstLineChars="200"/>
        <w:jc w:val="both"/>
        <w:rPr>
          <w:rFonts w:hint="eastAsia" w:ascii="仿宋_GB2312" w:hAnsi="仿宋" w:eastAsia="仿宋_GB2312"/>
        </w:rPr>
      </w:pPr>
      <w:r>
        <w:rPr>
          <w:rFonts w:hint="eastAsia" w:ascii="Times New Roman" w:hAnsi="Times New Roman" w:eastAsia="仿宋_GB2312"/>
        </w:rPr>
        <w:t>M</w:t>
      </w:r>
      <w:r>
        <w:rPr>
          <w:rFonts w:hint="eastAsia" w:ascii="仿宋_GB2312" w:hAnsi="仿宋" w:eastAsia="仿宋_GB2312"/>
        </w:rPr>
        <w:t>日-认购终止日</w:t>
      </w:r>
    </w:p>
    <w:p w14:paraId="66A1F40D">
      <w:pPr>
        <w:pStyle w:val="13"/>
        <w:snapToGrid w:val="0"/>
        <w:spacing w:before="0" w:beforeAutospacing="0" w:after="0" w:afterAutospacing="0" w:line="360" w:lineRule="auto"/>
        <w:ind w:left="426" w:firstLine="480" w:firstLineChars="200"/>
        <w:jc w:val="both"/>
        <w:rPr>
          <w:rFonts w:hint="eastAsia" w:ascii="仿宋_GB2312" w:hAnsi="仿宋" w:eastAsia="仿宋_GB2312"/>
        </w:rPr>
      </w:pPr>
      <w:r>
        <w:rPr>
          <w:rFonts w:hint="eastAsia" w:ascii="仿宋_GB2312" w:hAnsi="仿宋" w:eastAsia="仿宋_GB2312"/>
        </w:rPr>
        <w:t>中登</w:t>
      </w:r>
      <w:r>
        <w:rPr>
          <w:rFonts w:hint="eastAsia" w:ascii="Times New Roman" w:hAnsi="Times New Roman" w:eastAsia="仿宋_GB2312"/>
        </w:rPr>
        <w:t>TA</w:t>
      </w:r>
      <w:r>
        <w:rPr>
          <w:rFonts w:hint="eastAsia" w:ascii="仿宋_GB2312" w:hAnsi="仿宋" w:eastAsia="仿宋_GB2312"/>
        </w:rPr>
        <w:t>系统-中国结算开放式基金登记结算系统</w:t>
      </w:r>
    </w:p>
    <w:p w14:paraId="6E1C8337">
      <w:pPr>
        <w:snapToGrid w:val="0"/>
        <w:spacing w:line="360" w:lineRule="auto"/>
        <w:ind w:left="420"/>
        <w:rPr>
          <w:rFonts w:hint="eastAsia" w:ascii="仿宋_GB2312" w:hAnsi="仿宋" w:eastAsia="仿宋_GB2312" w:cs="宋体"/>
          <w:color w:val="000000"/>
          <w:kern w:val="0"/>
          <w:sz w:val="24"/>
        </w:rPr>
      </w:pPr>
    </w:p>
    <w:p w14:paraId="56E2D5C8">
      <w:pPr>
        <w:snapToGrid w:val="0"/>
        <w:spacing w:line="360" w:lineRule="auto"/>
        <w:ind w:left="420"/>
        <w:rPr>
          <w:rFonts w:hint="eastAsia" w:ascii="仿宋_GB2312" w:hAnsi="仿宋" w:eastAsia="仿宋_GB2312" w:cs="宋体"/>
          <w:color w:val="000000"/>
          <w:kern w:val="0"/>
          <w:sz w:val="24"/>
        </w:rPr>
      </w:pPr>
      <w:r>
        <w:rPr>
          <w:rFonts w:hint="eastAsia" w:ascii="Times New Roman" w:hAnsi="Times New Roman" w:eastAsia="仿宋_GB2312" w:cs="宋体"/>
          <w:color w:val="000000"/>
          <w:kern w:val="0"/>
          <w:sz w:val="24"/>
        </w:rPr>
        <w:t>L</w:t>
      </w:r>
      <w:r>
        <w:rPr>
          <w:rFonts w:hint="eastAsia" w:ascii="仿宋_GB2312" w:hAnsi="仿宋" w:eastAsia="仿宋_GB2312" w:cs="宋体"/>
          <w:color w:val="000000"/>
          <w:kern w:val="0"/>
          <w:sz w:val="24"/>
        </w:rPr>
        <w:t>至</w:t>
      </w:r>
      <w:r>
        <w:rPr>
          <w:rFonts w:hint="eastAsia" w:ascii="Times New Roman" w:hAnsi="Times New Roman" w:eastAsia="仿宋_GB2312" w:cs="宋体"/>
          <w:color w:val="000000"/>
          <w:kern w:val="0"/>
          <w:sz w:val="24"/>
        </w:rPr>
        <w:t>M</w:t>
      </w:r>
      <w:r>
        <w:rPr>
          <w:rFonts w:hint="eastAsia" w:ascii="仿宋_GB2312" w:hAnsi="仿宋" w:eastAsia="仿宋_GB2312" w:cs="宋体"/>
          <w:color w:val="000000"/>
          <w:kern w:val="0"/>
          <w:sz w:val="24"/>
        </w:rPr>
        <w:t>日</w:t>
      </w:r>
    </w:p>
    <w:p w14:paraId="57303CC9">
      <w:pPr>
        <w:snapToGrid w:val="0"/>
        <w:spacing w:line="360" w:lineRule="auto"/>
        <w:ind w:left="420"/>
        <w:rPr>
          <w:rFonts w:hint="eastAsia" w:ascii="仿宋_GB2312" w:hAnsi="仿宋" w:eastAsia="仿宋_GB2312" w:cs="宋体"/>
          <w:color w:val="000000"/>
          <w:kern w:val="0"/>
          <w:sz w:val="24"/>
        </w:rPr>
      </w:pPr>
      <w:r>
        <w:rPr>
          <w:rFonts w:hint="eastAsia" w:ascii="仿宋_GB2312" w:hAnsi="仿宋" w:eastAsia="仿宋_GB2312" w:cs="宋体"/>
          <w:color w:val="000000"/>
          <w:kern w:val="0"/>
          <w:sz w:val="24"/>
        </w:rPr>
        <w:t xml:space="preserve">    公众发售：</w:t>
      </w:r>
    </w:p>
    <w:p w14:paraId="7098D0C5">
      <w:pPr>
        <w:numPr>
          <w:ilvl w:val="0"/>
          <w:numId w:val="12"/>
        </w:numPr>
        <w:snapToGrid w:val="0"/>
        <w:spacing w:line="360" w:lineRule="auto"/>
        <w:ind w:firstLine="480" w:firstLineChars="200"/>
        <w:rPr>
          <w:rFonts w:hint="eastAsia" w:ascii="仿宋_GB2312" w:hAnsi="仿宋" w:eastAsia="仿宋_GB2312" w:cs="宋体"/>
          <w:color w:val="000000"/>
          <w:kern w:val="0"/>
          <w:sz w:val="24"/>
        </w:rPr>
      </w:pPr>
      <w:r>
        <w:rPr>
          <w:rFonts w:hint="eastAsia" w:ascii="仿宋_GB2312" w:hAnsi="仿宋" w:eastAsia="仿宋_GB2312" w:cs="宋体"/>
          <w:color w:val="000000"/>
          <w:kern w:val="0"/>
          <w:sz w:val="24"/>
        </w:rPr>
        <w:t>公众投资者可通过场内、场外渠道进行认购。</w:t>
      </w:r>
    </w:p>
    <w:p w14:paraId="318E0908">
      <w:pPr>
        <w:numPr>
          <w:ilvl w:val="0"/>
          <w:numId w:val="12"/>
        </w:numPr>
        <w:snapToGrid w:val="0"/>
        <w:spacing w:line="360" w:lineRule="auto"/>
        <w:ind w:firstLine="480" w:firstLineChars="200"/>
        <w:rPr>
          <w:rFonts w:hint="eastAsia" w:ascii="仿宋_GB2312" w:hAnsi="仿宋" w:eastAsia="仿宋_GB2312" w:cs="宋体"/>
          <w:color w:val="000000"/>
          <w:kern w:val="0"/>
          <w:sz w:val="24"/>
        </w:rPr>
      </w:pPr>
      <w:r>
        <w:rPr>
          <w:rFonts w:hint="eastAsia" w:ascii="仿宋_GB2312" w:hAnsi="仿宋" w:eastAsia="仿宋_GB2312" w:cs="宋体"/>
          <w:color w:val="000000"/>
          <w:kern w:val="0"/>
          <w:sz w:val="24"/>
        </w:rPr>
        <w:t>每个认购日日末，基金管理人接收</w:t>
      </w:r>
      <w:r>
        <w:rPr>
          <w:rFonts w:hint="eastAsia" w:ascii="仿宋_GB2312" w:hAnsi="仿宋" w:eastAsia="仿宋_GB2312"/>
          <w:sz w:val="24"/>
          <w:szCs w:val="24"/>
        </w:rPr>
        <w:t>中登</w:t>
      </w:r>
      <w:r>
        <w:rPr>
          <w:rFonts w:ascii="Times New Roman" w:hAnsi="Times New Roman" w:eastAsia="仿宋_GB2312"/>
          <w:sz w:val="24"/>
          <w:szCs w:val="24"/>
        </w:rPr>
        <w:t>TA</w:t>
      </w:r>
      <w:r>
        <w:rPr>
          <w:rFonts w:ascii="仿宋_GB2312" w:hAnsi="仿宋" w:eastAsia="仿宋_GB2312"/>
          <w:sz w:val="24"/>
          <w:szCs w:val="24"/>
        </w:rPr>
        <w:t>系统</w:t>
      </w:r>
      <w:r>
        <w:rPr>
          <w:rFonts w:hint="eastAsia" w:ascii="仿宋_GB2312" w:hAnsi="仿宋" w:eastAsia="仿宋_GB2312" w:cs="宋体"/>
          <w:color w:val="000000"/>
          <w:kern w:val="0"/>
          <w:sz w:val="24"/>
        </w:rPr>
        <w:t>发送的公众投资者当日场内、场外认购申报数据，并做第一次确认；基金管理人自行收取网下投资者的认购资金，并确认资金到位情况。</w:t>
      </w:r>
    </w:p>
    <w:p w14:paraId="30FD4E4D">
      <w:pPr>
        <w:snapToGrid w:val="0"/>
        <w:spacing w:line="360" w:lineRule="auto"/>
        <w:ind w:left="420"/>
        <w:rPr>
          <w:rFonts w:hint="eastAsia" w:ascii="仿宋_GB2312" w:hAnsi="仿宋" w:eastAsia="仿宋_GB2312" w:cs="宋体"/>
          <w:color w:val="000000"/>
          <w:kern w:val="0"/>
          <w:sz w:val="24"/>
        </w:rPr>
      </w:pPr>
    </w:p>
    <w:p w14:paraId="00B1A403">
      <w:pPr>
        <w:snapToGrid w:val="0"/>
        <w:spacing w:line="360" w:lineRule="auto"/>
        <w:ind w:left="420"/>
        <w:rPr>
          <w:rFonts w:hint="eastAsia" w:ascii="仿宋_GB2312" w:hAnsi="仿宋" w:eastAsia="仿宋_GB2312" w:cs="宋体"/>
          <w:color w:val="000000"/>
          <w:kern w:val="0"/>
          <w:sz w:val="24"/>
        </w:rPr>
      </w:pPr>
      <w:r>
        <w:rPr>
          <w:rFonts w:hint="eastAsia" w:ascii="仿宋_GB2312" w:hAnsi="仿宋" w:eastAsia="仿宋_GB2312" w:cs="宋体"/>
          <w:color w:val="000000"/>
          <w:kern w:val="0"/>
          <w:sz w:val="24"/>
        </w:rPr>
        <w:t xml:space="preserve">    网下投资者认购：</w:t>
      </w:r>
    </w:p>
    <w:p w14:paraId="39EDB7DE">
      <w:pPr>
        <w:numPr>
          <w:ilvl w:val="0"/>
          <w:numId w:val="12"/>
        </w:numPr>
        <w:snapToGrid w:val="0"/>
        <w:spacing w:line="360" w:lineRule="auto"/>
        <w:ind w:firstLine="480" w:firstLineChars="200"/>
        <w:rPr>
          <w:rFonts w:hint="eastAsia" w:ascii="仿宋_GB2312" w:hAnsi="仿宋" w:eastAsia="仿宋_GB2312" w:cs="宋体"/>
          <w:color w:val="000000"/>
          <w:kern w:val="0"/>
          <w:sz w:val="24"/>
        </w:rPr>
      </w:pPr>
      <w:r>
        <w:rPr>
          <w:rFonts w:hint="eastAsia" w:ascii="仿宋_GB2312" w:hAnsi="仿宋" w:eastAsia="仿宋_GB2312" w:cs="宋体"/>
          <w:color w:val="000000"/>
          <w:kern w:val="0"/>
          <w:sz w:val="24"/>
        </w:rPr>
        <w:t>每日</w:t>
      </w:r>
      <w:r>
        <w:rPr>
          <w:rFonts w:hint="eastAsia" w:ascii="Times New Roman" w:hAnsi="Times New Roman" w:eastAsia="仿宋_GB2312" w:cs="宋体"/>
          <w:color w:val="000000"/>
          <w:kern w:val="0"/>
          <w:sz w:val="24"/>
        </w:rPr>
        <w:t>9</w:t>
      </w:r>
      <w:r>
        <w:rPr>
          <w:rFonts w:hint="eastAsia" w:ascii="仿宋_GB2312" w:hAnsi="仿宋" w:eastAsia="仿宋_GB2312" w:cs="宋体"/>
          <w:color w:val="000000"/>
          <w:kern w:val="0"/>
          <w:sz w:val="24"/>
        </w:rPr>
        <w:t>:</w:t>
      </w:r>
      <w:r>
        <w:rPr>
          <w:rFonts w:hint="eastAsia" w:ascii="Times New Roman" w:hAnsi="Times New Roman" w:eastAsia="仿宋_GB2312" w:cs="宋体"/>
          <w:color w:val="000000"/>
          <w:kern w:val="0"/>
          <w:sz w:val="24"/>
        </w:rPr>
        <w:t>00</w:t>
      </w:r>
      <w:r>
        <w:rPr>
          <w:rFonts w:hint="eastAsia" w:ascii="仿宋_GB2312" w:hAnsi="仿宋" w:eastAsia="仿宋_GB2312" w:cs="宋体"/>
          <w:color w:val="000000"/>
          <w:kern w:val="0"/>
          <w:sz w:val="24"/>
        </w:rPr>
        <w:t>-</w:t>
      </w:r>
      <w:r>
        <w:rPr>
          <w:rFonts w:hint="eastAsia" w:ascii="Times New Roman" w:hAnsi="Times New Roman" w:eastAsia="仿宋_GB2312" w:cs="宋体"/>
          <w:color w:val="000000"/>
          <w:kern w:val="0"/>
          <w:sz w:val="24"/>
        </w:rPr>
        <w:t>15</w:t>
      </w:r>
      <w:r>
        <w:rPr>
          <w:rFonts w:hint="eastAsia" w:ascii="仿宋_GB2312" w:hAnsi="仿宋" w:eastAsia="仿宋_GB2312" w:cs="宋体"/>
          <w:color w:val="000000"/>
          <w:kern w:val="0"/>
          <w:sz w:val="24"/>
        </w:rPr>
        <w:t>:</w:t>
      </w:r>
      <w:r>
        <w:rPr>
          <w:rFonts w:hint="eastAsia" w:ascii="Times New Roman" w:hAnsi="Times New Roman" w:eastAsia="仿宋_GB2312" w:cs="宋体"/>
          <w:color w:val="000000"/>
          <w:kern w:val="0"/>
          <w:sz w:val="24"/>
        </w:rPr>
        <w:t>00</w:t>
      </w:r>
      <w:r>
        <w:rPr>
          <w:rFonts w:hint="eastAsia" w:ascii="仿宋_GB2312" w:hAnsi="仿宋" w:eastAsia="仿宋_GB2312" w:cs="宋体"/>
          <w:color w:val="000000"/>
          <w:kern w:val="0"/>
          <w:sz w:val="24"/>
        </w:rPr>
        <w:t>，网下投资者通过投资者系统提交、查询认购申请，并在</w:t>
      </w:r>
      <w:r>
        <w:rPr>
          <w:rFonts w:ascii="Times New Roman" w:hAnsi="Times New Roman" w:eastAsia="仿宋_GB2312" w:cs="宋体"/>
          <w:color w:val="000000"/>
          <w:kern w:val="0"/>
          <w:sz w:val="24"/>
        </w:rPr>
        <w:t>M</w:t>
      </w:r>
      <w:r>
        <w:rPr>
          <w:rFonts w:hint="eastAsia" w:ascii="仿宋_GB2312" w:hAnsi="仿宋" w:eastAsia="仿宋_GB2312" w:cs="宋体"/>
          <w:color w:val="000000"/>
          <w:kern w:val="0"/>
          <w:sz w:val="24"/>
        </w:rPr>
        <w:t>日日末之前（具体时点由基金管理人自行约定）通过确认过的资金账户，向基金管理人支付认购款项。</w:t>
      </w:r>
    </w:p>
    <w:p w14:paraId="6FB3A300">
      <w:pPr>
        <w:numPr>
          <w:ilvl w:val="0"/>
          <w:numId w:val="12"/>
        </w:numPr>
        <w:snapToGrid w:val="0"/>
        <w:spacing w:line="360" w:lineRule="auto"/>
        <w:ind w:firstLine="480" w:firstLineChars="200"/>
        <w:rPr>
          <w:rFonts w:hint="eastAsia" w:ascii="仿宋_GB2312" w:hAnsi="仿宋" w:eastAsia="仿宋_GB2312" w:cs="宋体"/>
          <w:color w:val="000000"/>
          <w:kern w:val="0"/>
          <w:sz w:val="24"/>
        </w:rPr>
      </w:pPr>
      <w:r>
        <w:rPr>
          <w:rFonts w:hint="eastAsia" w:ascii="仿宋_GB2312" w:hAnsi="仿宋" w:eastAsia="仿宋_GB2312" w:cs="宋体"/>
          <w:color w:val="000000"/>
          <w:kern w:val="0"/>
          <w:sz w:val="24"/>
        </w:rPr>
        <w:t>每日</w:t>
      </w:r>
      <w:r>
        <w:rPr>
          <w:rFonts w:hint="eastAsia" w:ascii="Times New Roman" w:hAnsi="Times New Roman" w:eastAsia="仿宋_GB2312" w:cs="宋体"/>
          <w:color w:val="000000"/>
          <w:kern w:val="0"/>
          <w:sz w:val="24"/>
        </w:rPr>
        <w:t>9</w:t>
      </w:r>
      <w:r>
        <w:rPr>
          <w:rFonts w:hint="eastAsia" w:ascii="仿宋_GB2312" w:hAnsi="仿宋" w:eastAsia="仿宋_GB2312" w:cs="宋体"/>
          <w:color w:val="000000"/>
          <w:kern w:val="0"/>
          <w:sz w:val="24"/>
        </w:rPr>
        <w:t>:</w:t>
      </w:r>
      <w:r>
        <w:rPr>
          <w:rFonts w:hint="eastAsia" w:ascii="Times New Roman" w:hAnsi="Times New Roman" w:eastAsia="仿宋_GB2312" w:cs="宋体"/>
          <w:color w:val="000000"/>
          <w:kern w:val="0"/>
          <w:sz w:val="24"/>
        </w:rPr>
        <w:t>00</w:t>
      </w:r>
      <w:r>
        <w:rPr>
          <w:rFonts w:hint="eastAsia" w:ascii="仿宋_GB2312" w:hAnsi="仿宋" w:eastAsia="仿宋_GB2312" w:cs="宋体"/>
          <w:color w:val="000000"/>
          <w:kern w:val="0"/>
          <w:sz w:val="24"/>
        </w:rPr>
        <w:t>-</w:t>
      </w:r>
      <w:r>
        <w:rPr>
          <w:rFonts w:hint="eastAsia" w:ascii="Times New Roman" w:hAnsi="Times New Roman" w:eastAsia="仿宋_GB2312" w:cs="宋体"/>
          <w:color w:val="000000"/>
          <w:kern w:val="0"/>
          <w:sz w:val="24"/>
        </w:rPr>
        <w:t>15</w:t>
      </w:r>
      <w:r>
        <w:rPr>
          <w:rFonts w:hint="eastAsia" w:ascii="仿宋_GB2312" w:hAnsi="仿宋" w:eastAsia="仿宋_GB2312" w:cs="宋体"/>
          <w:color w:val="000000"/>
          <w:kern w:val="0"/>
          <w:sz w:val="24"/>
        </w:rPr>
        <w:t>:</w:t>
      </w:r>
      <w:r>
        <w:rPr>
          <w:rFonts w:hint="eastAsia" w:ascii="Times New Roman" w:hAnsi="Times New Roman" w:eastAsia="仿宋_GB2312" w:cs="宋体"/>
          <w:color w:val="000000"/>
          <w:kern w:val="0"/>
          <w:sz w:val="24"/>
        </w:rPr>
        <w:t>00</w:t>
      </w:r>
      <w:r>
        <w:rPr>
          <w:rFonts w:hint="eastAsia" w:ascii="仿宋_GB2312" w:hAnsi="仿宋" w:eastAsia="仿宋_GB2312" w:cs="宋体"/>
          <w:color w:val="000000"/>
          <w:kern w:val="0"/>
          <w:sz w:val="24"/>
        </w:rPr>
        <w:t>，发行人通过发行人系统可实时查询网下投资者认购情况；每日</w:t>
      </w:r>
      <w:r>
        <w:rPr>
          <w:rFonts w:hint="eastAsia" w:ascii="Times New Roman" w:hAnsi="Times New Roman" w:eastAsia="仿宋_GB2312" w:cs="宋体"/>
          <w:color w:val="000000"/>
          <w:kern w:val="0"/>
          <w:sz w:val="24"/>
        </w:rPr>
        <w:t>15</w:t>
      </w:r>
      <w:r>
        <w:rPr>
          <w:rFonts w:hint="eastAsia" w:ascii="仿宋_GB2312" w:hAnsi="仿宋" w:eastAsia="仿宋_GB2312" w:cs="宋体"/>
          <w:color w:val="000000"/>
          <w:kern w:val="0"/>
          <w:sz w:val="24"/>
        </w:rPr>
        <w:t>:</w:t>
      </w:r>
      <w:r>
        <w:rPr>
          <w:rFonts w:hint="eastAsia" w:ascii="Times New Roman" w:hAnsi="Times New Roman" w:eastAsia="仿宋_GB2312" w:cs="宋体"/>
          <w:color w:val="000000"/>
          <w:kern w:val="0"/>
          <w:sz w:val="24"/>
        </w:rPr>
        <w:t>00</w:t>
      </w:r>
      <w:r>
        <w:rPr>
          <w:rFonts w:hint="eastAsia" w:ascii="仿宋_GB2312" w:hAnsi="仿宋" w:eastAsia="仿宋_GB2312" w:cs="宋体"/>
          <w:color w:val="000000"/>
          <w:kern w:val="0"/>
          <w:sz w:val="24"/>
        </w:rPr>
        <w:t>后，发行人可通过发行人系统下载《认购后下载文件》，其中，包含询价平台自动生成场内认购账户的</w:t>
      </w:r>
      <w:r>
        <w:rPr>
          <w:rFonts w:hint="eastAsia" w:ascii="Times New Roman" w:hAnsi="Times New Roman" w:eastAsia="仿宋_GB2312" w:cs="宋体"/>
          <w:color w:val="000000"/>
          <w:kern w:val="0"/>
          <w:sz w:val="24"/>
        </w:rPr>
        <w:t>PBU</w:t>
      </w:r>
      <w:r>
        <w:rPr>
          <w:rFonts w:hint="eastAsia" w:ascii="仿宋_GB2312" w:hAnsi="仿宋" w:eastAsia="仿宋_GB2312" w:cs="宋体"/>
          <w:color w:val="000000"/>
          <w:kern w:val="0"/>
          <w:sz w:val="24"/>
        </w:rPr>
        <w:t>信息，供发行人强增份额使用。</w:t>
      </w:r>
    </w:p>
    <w:p w14:paraId="59813D1F">
      <w:pPr>
        <w:snapToGrid w:val="0"/>
        <w:spacing w:line="360" w:lineRule="auto"/>
        <w:ind w:firstLine="480"/>
        <w:rPr>
          <w:rFonts w:hint="eastAsia" w:ascii="仿宋_GB2312" w:hAnsi="仿宋" w:eastAsia="仿宋_GB2312" w:cs="宋体"/>
          <w:color w:val="000000"/>
          <w:kern w:val="0"/>
          <w:sz w:val="24"/>
        </w:rPr>
      </w:pPr>
    </w:p>
    <w:p w14:paraId="4E12AD7F">
      <w:pPr>
        <w:snapToGrid w:val="0"/>
        <w:spacing w:line="360" w:lineRule="auto"/>
        <w:ind w:left="420"/>
        <w:rPr>
          <w:rFonts w:hint="eastAsia" w:ascii="仿宋_GB2312" w:hAnsi="仿宋" w:eastAsia="仿宋_GB2312" w:cs="宋体"/>
          <w:color w:val="000000"/>
          <w:kern w:val="0"/>
          <w:sz w:val="24"/>
        </w:rPr>
      </w:pPr>
      <w:r>
        <w:rPr>
          <w:rFonts w:hint="eastAsia" w:ascii="仿宋_GB2312" w:hAnsi="仿宋" w:eastAsia="仿宋_GB2312" w:cs="宋体"/>
          <w:color w:val="000000"/>
          <w:kern w:val="0"/>
          <w:sz w:val="24"/>
        </w:rPr>
        <w:t xml:space="preserve">    战略投资者认购：</w:t>
      </w:r>
    </w:p>
    <w:p w14:paraId="3D96B5CE">
      <w:pPr>
        <w:numPr>
          <w:ilvl w:val="0"/>
          <w:numId w:val="12"/>
        </w:numPr>
        <w:snapToGrid w:val="0"/>
        <w:spacing w:line="360" w:lineRule="auto"/>
        <w:ind w:firstLine="480" w:firstLineChars="200"/>
        <w:rPr>
          <w:rFonts w:hint="eastAsia" w:ascii="仿宋_GB2312" w:hAnsi="仿宋" w:eastAsia="仿宋_GB2312" w:cs="宋体"/>
          <w:color w:val="000000"/>
          <w:kern w:val="0"/>
          <w:sz w:val="24"/>
        </w:rPr>
      </w:pPr>
      <w:r>
        <w:rPr>
          <w:rFonts w:hint="eastAsia" w:ascii="仿宋_GB2312" w:hAnsi="仿宋" w:eastAsia="仿宋_GB2312" w:cs="宋体"/>
          <w:color w:val="000000"/>
          <w:kern w:val="0"/>
          <w:sz w:val="24"/>
        </w:rPr>
        <w:t>战略投资者按与基金管理人签订的认购协议中规定的认购方式进行认购。</w:t>
      </w:r>
    </w:p>
    <w:p w14:paraId="59C9836A">
      <w:pPr>
        <w:rPr>
          <w:rFonts w:hint="eastAsia" w:ascii="宋体" w:hAnsi="宋体"/>
          <w:sz w:val="28"/>
          <w:szCs w:val="28"/>
        </w:rPr>
      </w:pPr>
    </w:p>
    <w:p w14:paraId="22C362B6">
      <w:pPr>
        <w:pStyle w:val="30"/>
        <w:numPr>
          <w:ilvl w:val="0"/>
          <w:numId w:val="35"/>
        </w:numPr>
        <w:snapToGrid w:val="0"/>
        <w:spacing w:line="360" w:lineRule="auto"/>
        <w:ind w:left="851" w:firstLineChars="0"/>
        <w:outlineLvl w:val="2"/>
        <w:rPr>
          <w:rFonts w:hint="eastAsia" w:ascii="仿宋_GB2312" w:hAnsi="宋体" w:eastAsia="仿宋_GB2312"/>
          <w:b/>
          <w:sz w:val="28"/>
          <w:szCs w:val="28"/>
        </w:rPr>
      </w:pPr>
      <w:bookmarkStart w:id="390" w:name="_Toc661899130"/>
      <w:bookmarkStart w:id="391" w:name="_Toc997035340"/>
      <w:bookmarkStart w:id="392" w:name="_Toc6561"/>
      <w:bookmarkStart w:id="393" w:name="_Toc1631262524"/>
      <w:bookmarkStart w:id="394" w:name="_Toc819440092"/>
      <w:bookmarkStart w:id="395" w:name="_Toc70604219"/>
      <w:bookmarkStart w:id="396" w:name="_Toc65181423"/>
      <w:bookmarkStart w:id="397" w:name="_Toc103976631"/>
      <w:bookmarkStart w:id="398" w:name="_Toc949443062"/>
      <w:bookmarkStart w:id="399" w:name="_Toc350306789"/>
      <w:r>
        <w:rPr>
          <w:rFonts w:hint="eastAsia" w:ascii="仿宋_GB2312" w:hAnsi="宋体" w:eastAsia="仿宋_GB2312"/>
          <w:b/>
          <w:sz w:val="28"/>
          <w:szCs w:val="28"/>
        </w:rPr>
        <w:t>认购日期变更</w:t>
      </w:r>
      <w:bookmarkEnd w:id="390"/>
      <w:bookmarkEnd w:id="391"/>
      <w:bookmarkEnd w:id="392"/>
      <w:bookmarkEnd w:id="393"/>
      <w:bookmarkEnd w:id="394"/>
      <w:bookmarkEnd w:id="395"/>
      <w:bookmarkEnd w:id="396"/>
      <w:bookmarkEnd w:id="397"/>
      <w:bookmarkEnd w:id="398"/>
      <w:bookmarkEnd w:id="399"/>
    </w:p>
    <w:p w14:paraId="3CAE947E">
      <w:pPr>
        <w:pStyle w:val="13"/>
        <w:numPr>
          <w:ilvl w:val="1"/>
          <w:numId w:val="40"/>
        </w:numPr>
        <w:snapToGrid w:val="0"/>
        <w:spacing w:before="0" w:beforeAutospacing="0" w:after="0" w:afterAutospacing="0" w:line="360" w:lineRule="auto"/>
        <w:jc w:val="both"/>
        <w:rPr>
          <w:rFonts w:hint="eastAsia" w:ascii="仿宋_GB2312" w:hAnsi="仿宋" w:eastAsia="仿宋_GB2312"/>
        </w:rPr>
      </w:pPr>
      <w:r>
        <w:rPr>
          <w:rFonts w:hint="eastAsia" w:ascii="仿宋_GB2312" w:hAnsi="仿宋" w:eastAsia="仿宋_GB2312"/>
        </w:rPr>
        <w:t>注意事项：在认购期内，基金管理人可根据实际募集情况变更场内、场外、询价平台的认购日期。</w:t>
      </w:r>
    </w:p>
    <w:p w14:paraId="10837E58">
      <w:pPr>
        <w:pStyle w:val="13"/>
        <w:numPr>
          <w:ilvl w:val="1"/>
          <w:numId w:val="40"/>
        </w:numPr>
        <w:snapToGrid w:val="0"/>
        <w:spacing w:before="0" w:beforeAutospacing="0" w:after="0" w:afterAutospacing="0" w:line="360" w:lineRule="auto"/>
        <w:jc w:val="both"/>
        <w:rPr>
          <w:rFonts w:hint="eastAsia" w:ascii="仿宋_GB2312" w:hAnsi="仿宋" w:eastAsia="仿宋_GB2312"/>
        </w:rPr>
      </w:pPr>
      <w:r>
        <w:rPr>
          <w:rFonts w:hint="eastAsia" w:ascii="仿宋_GB2312" w:hAnsi="仿宋" w:eastAsia="仿宋_GB2312"/>
        </w:rPr>
        <w:t>业务办理流程：</w:t>
      </w:r>
    </w:p>
    <w:p w14:paraId="1F929DE8">
      <w:pPr>
        <w:pStyle w:val="13"/>
        <w:snapToGrid w:val="0"/>
        <w:spacing w:before="0" w:beforeAutospacing="0" w:after="0" w:afterAutospacing="0" w:line="360" w:lineRule="auto"/>
        <w:ind w:left="840"/>
        <w:jc w:val="both"/>
        <w:rPr>
          <w:rFonts w:hint="eastAsia" w:ascii="仿宋_GB2312" w:hAnsi="仿宋" w:eastAsia="仿宋_GB2312"/>
        </w:rPr>
      </w:pPr>
    </w:p>
    <w:p w14:paraId="56C0A000">
      <w:pPr>
        <w:pStyle w:val="13"/>
        <w:numPr>
          <w:ilvl w:val="0"/>
          <w:numId w:val="18"/>
        </w:numPr>
        <w:snapToGrid w:val="0"/>
        <w:spacing w:before="0" w:beforeAutospacing="0" w:after="0" w:afterAutospacing="0" w:line="360" w:lineRule="auto"/>
        <w:jc w:val="both"/>
        <w:rPr>
          <w:rFonts w:hint="eastAsia" w:ascii="仿宋_GB2312" w:hAnsi="仿宋" w:eastAsia="仿宋_GB2312"/>
        </w:rPr>
      </w:pPr>
      <w:r>
        <w:rPr>
          <w:rFonts w:hint="eastAsia" w:ascii="仿宋_GB2312" w:hAnsi="仿宋" w:eastAsia="仿宋_GB2312"/>
        </w:rPr>
        <w:t>名称释义：</w:t>
      </w:r>
    </w:p>
    <w:p w14:paraId="36C70E38">
      <w:pPr>
        <w:pStyle w:val="13"/>
        <w:snapToGrid w:val="0"/>
        <w:spacing w:before="0" w:beforeAutospacing="0" w:after="0" w:afterAutospacing="0" w:line="360" w:lineRule="auto"/>
        <w:ind w:left="840"/>
        <w:jc w:val="both"/>
        <w:rPr>
          <w:rFonts w:hint="eastAsia" w:ascii="仿宋_GB2312" w:hAnsi="仿宋" w:eastAsia="仿宋_GB2312"/>
        </w:rPr>
      </w:pPr>
      <w:r>
        <w:rPr>
          <w:rFonts w:hint="eastAsia" w:ascii="Times New Roman" w:hAnsi="Times New Roman" w:eastAsia="仿宋_GB2312"/>
        </w:rPr>
        <w:t>T</w:t>
      </w:r>
      <w:r>
        <w:rPr>
          <w:rFonts w:hint="eastAsia" w:ascii="仿宋_GB2312" w:hAnsi="仿宋" w:eastAsia="仿宋_GB2312"/>
        </w:rPr>
        <w:t>日-原场内/场外/参与询价的网下机构投资者认购终止日与变更后的认购终止日的孰早日</w:t>
      </w:r>
    </w:p>
    <w:p w14:paraId="0D795B9B">
      <w:pPr>
        <w:pStyle w:val="13"/>
        <w:snapToGrid w:val="0"/>
        <w:spacing w:before="0" w:beforeAutospacing="0" w:after="0" w:afterAutospacing="0" w:line="360" w:lineRule="auto"/>
        <w:ind w:left="840"/>
        <w:jc w:val="both"/>
        <w:rPr>
          <w:rFonts w:hint="eastAsia" w:ascii="仿宋_GB2312" w:hAnsi="仿宋" w:eastAsia="仿宋_GB2312"/>
        </w:rPr>
      </w:pPr>
    </w:p>
    <w:p w14:paraId="03BBF3F2">
      <w:pPr>
        <w:snapToGrid w:val="0"/>
        <w:spacing w:line="360" w:lineRule="auto"/>
        <w:ind w:left="420"/>
        <w:rPr>
          <w:rFonts w:hint="eastAsia" w:ascii="仿宋_GB2312" w:hAnsi="仿宋" w:eastAsia="仿宋_GB2312" w:cs="宋体"/>
          <w:color w:val="000000"/>
          <w:kern w:val="0"/>
          <w:sz w:val="24"/>
        </w:rPr>
      </w:pPr>
      <w:r>
        <w:rPr>
          <w:rFonts w:hint="eastAsia" w:ascii="Times New Roman" w:hAnsi="Times New Roman" w:eastAsia="仿宋_GB2312" w:cs="宋体"/>
          <w:color w:val="000000"/>
          <w:kern w:val="0"/>
          <w:sz w:val="24"/>
        </w:rPr>
        <w:t>T</w:t>
      </w:r>
      <w:r>
        <w:rPr>
          <w:rFonts w:hint="eastAsia" w:ascii="仿宋_GB2312" w:hAnsi="仿宋" w:eastAsia="仿宋_GB2312" w:cs="宋体"/>
          <w:color w:val="000000"/>
          <w:kern w:val="0"/>
          <w:sz w:val="24"/>
        </w:rPr>
        <w:t>-</w:t>
      </w:r>
      <w:r>
        <w:rPr>
          <w:rFonts w:hint="eastAsia" w:ascii="Times New Roman" w:hAnsi="Times New Roman" w:eastAsia="仿宋_GB2312" w:cs="宋体"/>
          <w:color w:val="000000"/>
          <w:kern w:val="0"/>
          <w:sz w:val="24"/>
        </w:rPr>
        <w:t>1</w:t>
      </w:r>
      <w:r>
        <w:rPr>
          <w:rFonts w:hint="eastAsia" w:ascii="仿宋_GB2312" w:hAnsi="仿宋" w:eastAsia="仿宋_GB2312" w:cs="宋体"/>
          <w:color w:val="000000"/>
          <w:kern w:val="0"/>
          <w:sz w:val="24"/>
        </w:rPr>
        <w:t>日</w:t>
      </w:r>
      <w:r>
        <w:rPr>
          <w:rFonts w:hint="eastAsia" w:ascii="Times New Roman" w:hAnsi="Times New Roman" w:eastAsia="仿宋_GB2312" w:cs="宋体"/>
          <w:color w:val="000000"/>
          <w:kern w:val="0"/>
          <w:sz w:val="24"/>
        </w:rPr>
        <w:t>12</w:t>
      </w:r>
      <w:r>
        <w:rPr>
          <w:rFonts w:hint="eastAsia" w:ascii="仿宋_GB2312" w:hAnsi="仿宋" w:eastAsia="仿宋_GB2312" w:cs="宋体"/>
          <w:color w:val="000000"/>
          <w:kern w:val="0"/>
          <w:sz w:val="24"/>
        </w:rPr>
        <w:t>：</w:t>
      </w:r>
      <w:r>
        <w:rPr>
          <w:rFonts w:hint="eastAsia" w:ascii="Times New Roman" w:hAnsi="Times New Roman" w:eastAsia="仿宋_GB2312" w:cs="宋体"/>
          <w:color w:val="000000"/>
          <w:kern w:val="0"/>
          <w:sz w:val="24"/>
        </w:rPr>
        <w:t>00</w:t>
      </w:r>
      <w:r>
        <w:rPr>
          <w:rFonts w:hint="eastAsia" w:ascii="仿宋_GB2312" w:hAnsi="仿宋" w:eastAsia="仿宋_GB2312" w:cs="宋体"/>
          <w:color w:val="000000"/>
          <w:kern w:val="0"/>
          <w:sz w:val="24"/>
        </w:rPr>
        <w:t>或之前（如为提前截止，提交时间可推迟至</w:t>
      </w:r>
      <w:r>
        <w:rPr>
          <w:rFonts w:hint="eastAsia" w:ascii="Times New Roman" w:hAnsi="Times New Roman" w:eastAsia="仿宋_GB2312" w:cs="宋体"/>
          <w:color w:val="000000"/>
          <w:kern w:val="0"/>
          <w:sz w:val="24"/>
        </w:rPr>
        <w:t>T</w:t>
      </w:r>
      <w:r>
        <w:rPr>
          <w:rFonts w:hint="eastAsia" w:ascii="仿宋_GB2312" w:hAnsi="仿宋" w:eastAsia="仿宋_GB2312" w:cs="宋体"/>
          <w:color w:val="000000"/>
          <w:kern w:val="0"/>
          <w:sz w:val="24"/>
        </w:rPr>
        <w:t>日</w:t>
      </w:r>
      <w:r>
        <w:rPr>
          <w:rFonts w:hint="eastAsia" w:ascii="Times New Roman" w:hAnsi="Times New Roman" w:eastAsia="仿宋_GB2312" w:cs="宋体"/>
          <w:color w:val="000000"/>
          <w:kern w:val="0"/>
          <w:sz w:val="24"/>
        </w:rPr>
        <w:t>16</w:t>
      </w:r>
      <w:r>
        <w:rPr>
          <w:rFonts w:hint="eastAsia" w:ascii="仿宋_GB2312" w:hAnsi="仿宋" w:eastAsia="仿宋_GB2312" w:cs="宋体"/>
          <w:color w:val="000000"/>
          <w:kern w:val="0"/>
          <w:sz w:val="24"/>
        </w:rPr>
        <w:t>:</w:t>
      </w:r>
      <w:r>
        <w:rPr>
          <w:rFonts w:hint="eastAsia" w:ascii="Times New Roman" w:hAnsi="Times New Roman" w:eastAsia="仿宋_GB2312" w:cs="宋体"/>
          <w:color w:val="000000"/>
          <w:kern w:val="0"/>
          <w:sz w:val="24"/>
        </w:rPr>
        <w:t>00</w:t>
      </w:r>
      <w:r>
        <w:rPr>
          <w:rFonts w:hint="eastAsia" w:ascii="仿宋_GB2312" w:hAnsi="仿宋" w:eastAsia="仿宋_GB2312" w:cs="宋体"/>
          <w:color w:val="000000"/>
          <w:kern w:val="0"/>
          <w:sz w:val="24"/>
        </w:rPr>
        <w:t>前）</w:t>
      </w:r>
    </w:p>
    <w:p w14:paraId="5C8A4BF3">
      <w:pPr>
        <w:numPr>
          <w:ilvl w:val="0"/>
          <w:numId w:val="22"/>
        </w:numPr>
        <w:snapToGrid w:val="0"/>
        <w:spacing w:line="360" w:lineRule="auto"/>
        <w:ind w:firstLine="480" w:firstLineChars="200"/>
        <w:rPr>
          <w:rFonts w:hint="eastAsia" w:ascii="仿宋_GB2312" w:hAnsi="仿宋" w:eastAsia="仿宋_GB2312" w:cs="宋体"/>
          <w:color w:val="000000"/>
          <w:kern w:val="0"/>
          <w:sz w:val="24"/>
        </w:rPr>
      </w:pPr>
      <w:r>
        <w:rPr>
          <w:rFonts w:hint="eastAsia" w:ascii="仿宋_GB2312" w:hAnsi="仿宋" w:eastAsia="仿宋_GB2312" w:cs="宋体"/>
          <w:color w:val="000000"/>
          <w:kern w:val="0"/>
          <w:sz w:val="24"/>
        </w:rPr>
        <w:t>基金管理人提交业务申请材料，并通过</w:t>
      </w:r>
      <w:r>
        <w:rPr>
          <w:rFonts w:hint="eastAsia" w:ascii="Times New Roman" w:hAnsi="Times New Roman" w:eastAsia="仿宋_GB2312" w:cs="宋体"/>
          <w:color w:val="000000"/>
          <w:kern w:val="0"/>
          <w:sz w:val="24"/>
        </w:rPr>
        <w:t>REITs</w:t>
      </w:r>
      <w:r>
        <w:rPr>
          <w:rFonts w:hint="eastAsia" w:ascii="仿宋_GB2312" w:hAnsi="仿宋" w:eastAsia="仿宋_GB2312" w:cs="宋体"/>
          <w:color w:val="000000"/>
          <w:kern w:val="0"/>
          <w:sz w:val="24"/>
        </w:rPr>
        <w:t>业务管理系统平台提交信息披露文件：</w:t>
      </w:r>
    </w:p>
    <w:p w14:paraId="40909C98">
      <w:pPr>
        <w:pStyle w:val="30"/>
        <w:numPr>
          <w:ilvl w:val="0"/>
          <w:numId w:val="25"/>
        </w:numPr>
        <w:snapToGrid w:val="0"/>
        <w:spacing w:line="360" w:lineRule="auto"/>
        <w:ind w:left="1276" w:firstLineChars="0"/>
        <w:rPr>
          <w:rFonts w:hint="eastAsia" w:ascii="仿宋_GB2312" w:hAnsi="仿宋" w:eastAsia="仿宋_GB2312" w:cs="宋体"/>
          <w:color w:val="000000"/>
          <w:kern w:val="0"/>
          <w:sz w:val="24"/>
        </w:rPr>
      </w:pPr>
      <w:r>
        <w:rPr>
          <w:rFonts w:hint="eastAsia" w:ascii="仿宋_GB2312" w:hAnsi="仿宋" w:eastAsia="仿宋_GB2312" w:cs="宋体"/>
          <w:color w:val="000000"/>
          <w:kern w:val="0"/>
          <w:sz w:val="24"/>
        </w:rPr>
        <w:t>业务申请材料：</w:t>
      </w:r>
    </w:p>
    <w:p w14:paraId="06D43B9A">
      <w:pPr>
        <w:numPr>
          <w:ilvl w:val="0"/>
          <w:numId w:val="41"/>
        </w:numPr>
        <w:snapToGrid w:val="0"/>
        <w:spacing w:line="360" w:lineRule="auto"/>
        <w:rPr>
          <w:rFonts w:hint="eastAsia" w:ascii="仿宋_GB2312" w:hAnsi="仿宋" w:eastAsia="仿宋_GB2312" w:cs="宋体"/>
          <w:color w:val="000000"/>
          <w:kern w:val="0"/>
          <w:sz w:val="24"/>
        </w:rPr>
      </w:pPr>
      <w:r>
        <w:rPr>
          <w:rFonts w:hint="eastAsia" w:ascii="仿宋_GB2312" w:hAnsi="仿宋" w:eastAsia="仿宋_GB2312" w:cs="宋体"/>
          <w:color w:val="000000"/>
          <w:kern w:val="0"/>
          <w:sz w:val="24"/>
        </w:rPr>
        <w:t>认购日期变更申请函（格式参考附件</w:t>
      </w:r>
      <w:r>
        <w:rPr>
          <w:rFonts w:hint="eastAsia" w:ascii="Times New Roman" w:hAnsi="Times New Roman" w:eastAsia="仿宋_GB2312" w:cs="宋体"/>
          <w:color w:val="000000"/>
          <w:kern w:val="0"/>
          <w:sz w:val="24"/>
        </w:rPr>
        <w:t>1</w:t>
      </w:r>
      <w:r>
        <w:rPr>
          <w:rFonts w:hint="eastAsia" w:ascii="仿宋_GB2312" w:hAnsi="仿宋" w:eastAsia="仿宋_GB2312" w:cs="宋体"/>
          <w:color w:val="000000"/>
          <w:kern w:val="0"/>
          <w:sz w:val="24"/>
        </w:rPr>
        <w:t>-</w:t>
      </w:r>
      <w:r>
        <w:rPr>
          <w:rFonts w:hint="eastAsia" w:ascii="Times New Roman" w:hAnsi="Times New Roman" w:eastAsia="仿宋_GB2312" w:cs="宋体"/>
          <w:color w:val="000000"/>
          <w:kern w:val="0"/>
          <w:sz w:val="24"/>
        </w:rPr>
        <w:t>12</w:t>
      </w:r>
      <w:r>
        <w:rPr>
          <w:rFonts w:hint="eastAsia" w:ascii="仿宋_GB2312" w:hAnsi="仿宋" w:eastAsia="仿宋_GB2312" w:cs="宋体"/>
          <w:color w:val="000000"/>
          <w:kern w:val="0"/>
          <w:sz w:val="24"/>
        </w:rPr>
        <w:t>，如仅变更场外认购日期不用提交，盖章扫描件）；</w:t>
      </w:r>
    </w:p>
    <w:p w14:paraId="16FF4842">
      <w:pPr>
        <w:numPr>
          <w:ilvl w:val="0"/>
          <w:numId w:val="41"/>
        </w:numPr>
        <w:snapToGrid w:val="0"/>
        <w:spacing w:line="360" w:lineRule="auto"/>
        <w:rPr>
          <w:rFonts w:hint="eastAsia" w:ascii="仿宋_GB2312" w:hAnsi="仿宋" w:eastAsia="仿宋_GB2312" w:cs="宋体"/>
          <w:color w:val="000000"/>
          <w:kern w:val="0"/>
          <w:sz w:val="24"/>
        </w:rPr>
      </w:pPr>
      <w:r>
        <w:rPr>
          <w:rFonts w:hint="eastAsia" w:ascii="仿宋_GB2312" w:hAnsi="仿宋" w:eastAsia="仿宋_GB2312" w:cs="宋体"/>
          <w:color w:val="000000"/>
          <w:kern w:val="0"/>
          <w:sz w:val="24"/>
        </w:rPr>
        <w:t>本所要求的其他材料。</w:t>
      </w:r>
    </w:p>
    <w:p w14:paraId="5A83C020">
      <w:pPr>
        <w:snapToGrid w:val="0"/>
        <w:spacing w:line="360" w:lineRule="auto"/>
        <w:rPr>
          <w:rFonts w:hint="eastAsia" w:ascii="仿宋_GB2312" w:hAnsi="仿宋" w:eastAsia="仿宋_GB2312" w:cs="宋体"/>
          <w:color w:val="000000"/>
          <w:kern w:val="0"/>
          <w:sz w:val="24"/>
        </w:rPr>
      </w:pPr>
    </w:p>
    <w:p w14:paraId="0B6E75A7">
      <w:pPr>
        <w:pStyle w:val="30"/>
        <w:numPr>
          <w:ilvl w:val="0"/>
          <w:numId w:val="25"/>
        </w:numPr>
        <w:snapToGrid w:val="0"/>
        <w:spacing w:line="360" w:lineRule="auto"/>
        <w:ind w:left="1276" w:firstLineChars="0"/>
        <w:rPr>
          <w:rFonts w:hint="eastAsia" w:ascii="仿宋_GB2312" w:hAnsi="仿宋" w:eastAsia="仿宋_GB2312" w:cs="宋体"/>
          <w:color w:val="000000"/>
          <w:kern w:val="0"/>
          <w:sz w:val="24"/>
        </w:rPr>
      </w:pPr>
      <w:r>
        <w:rPr>
          <w:rFonts w:hint="eastAsia" w:ascii="仿宋_GB2312" w:hAnsi="仿宋" w:eastAsia="仿宋_GB2312" w:cs="宋体"/>
          <w:color w:val="000000"/>
          <w:kern w:val="0"/>
          <w:sz w:val="24"/>
        </w:rPr>
        <w:t>信息披露文件：</w:t>
      </w:r>
    </w:p>
    <w:p w14:paraId="27A43BF8">
      <w:pPr>
        <w:numPr>
          <w:ilvl w:val="0"/>
          <w:numId w:val="42"/>
        </w:numPr>
        <w:snapToGrid w:val="0"/>
        <w:spacing w:line="360" w:lineRule="auto"/>
        <w:rPr>
          <w:rFonts w:hint="eastAsia" w:ascii="仿宋_GB2312" w:hAnsi="仿宋" w:eastAsia="仿宋_GB2312" w:cs="宋体"/>
          <w:color w:val="000000"/>
          <w:kern w:val="0"/>
          <w:sz w:val="24"/>
        </w:rPr>
      </w:pPr>
      <w:r>
        <w:rPr>
          <w:rFonts w:hint="eastAsia" w:ascii="仿宋_GB2312" w:hAnsi="仿宋" w:eastAsia="仿宋_GB2312" w:cs="宋体"/>
          <w:color w:val="000000"/>
          <w:kern w:val="0"/>
          <w:sz w:val="24"/>
        </w:rPr>
        <w:t>认购日期变更公告；</w:t>
      </w:r>
    </w:p>
    <w:p w14:paraId="629D6AB0">
      <w:pPr>
        <w:numPr>
          <w:ilvl w:val="0"/>
          <w:numId w:val="42"/>
        </w:numPr>
        <w:snapToGrid w:val="0"/>
        <w:spacing w:line="360" w:lineRule="auto"/>
        <w:rPr>
          <w:rFonts w:hint="eastAsia" w:ascii="仿宋_GB2312" w:hAnsi="仿宋" w:eastAsia="仿宋_GB2312" w:cs="宋体"/>
          <w:color w:val="000000"/>
          <w:kern w:val="0"/>
          <w:sz w:val="24"/>
        </w:rPr>
      </w:pPr>
      <w:r>
        <w:rPr>
          <w:rFonts w:hint="eastAsia" w:ascii="仿宋_GB2312" w:hAnsi="仿宋" w:eastAsia="仿宋_GB2312" w:cs="宋体"/>
          <w:color w:val="000000"/>
          <w:kern w:val="0"/>
          <w:sz w:val="24"/>
        </w:rPr>
        <w:t>本所要求披露的其他文件。</w:t>
      </w:r>
    </w:p>
    <w:p w14:paraId="4C12DAB9">
      <w:pPr>
        <w:snapToGrid w:val="0"/>
        <w:spacing w:line="360" w:lineRule="auto"/>
        <w:ind w:left="851"/>
        <w:rPr>
          <w:rFonts w:hint="eastAsia" w:ascii="仿宋_GB2312" w:hAnsi="仿宋" w:eastAsia="仿宋_GB2312" w:cs="宋体"/>
          <w:color w:val="000000"/>
          <w:kern w:val="0"/>
          <w:sz w:val="24"/>
        </w:rPr>
      </w:pPr>
      <w:r>
        <w:rPr>
          <w:rFonts w:hint="eastAsia" w:ascii="仿宋_GB2312" w:hAnsi="仿宋" w:eastAsia="仿宋_GB2312" w:cs="宋体"/>
          <w:color w:val="000000"/>
          <w:kern w:val="0"/>
          <w:sz w:val="24"/>
        </w:rPr>
        <w:t>上述披露文件需以</w:t>
      </w:r>
      <w:r>
        <w:rPr>
          <w:rFonts w:hint="eastAsia" w:ascii="Times New Roman" w:hAnsi="Times New Roman" w:eastAsia="仿宋_GB2312" w:cs="宋体"/>
          <w:color w:val="000000"/>
          <w:kern w:val="0"/>
          <w:sz w:val="24"/>
        </w:rPr>
        <w:t>PDF</w:t>
      </w:r>
      <w:r>
        <w:rPr>
          <w:rFonts w:hint="eastAsia" w:ascii="仿宋_GB2312" w:hAnsi="仿宋" w:eastAsia="仿宋_GB2312" w:cs="宋体"/>
          <w:color w:val="000000"/>
          <w:kern w:val="0"/>
          <w:sz w:val="24"/>
        </w:rPr>
        <w:t>格式的电子文件提交。</w:t>
      </w:r>
    </w:p>
    <w:p w14:paraId="0A5DBD8F">
      <w:pPr>
        <w:numPr>
          <w:ilvl w:val="0"/>
          <w:numId w:val="22"/>
        </w:numPr>
        <w:snapToGrid w:val="0"/>
        <w:spacing w:line="360" w:lineRule="auto"/>
        <w:ind w:firstLine="480" w:firstLineChars="200"/>
        <w:rPr>
          <w:rFonts w:hint="eastAsia" w:ascii="仿宋_GB2312" w:hAnsi="仿宋" w:eastAsia="仿宋_GB2312" w:cs="宋体"/>
          <w:color w:val="000000"/>
          <w:kern w:val="0"/>
          <w:sz w:val="24"/>
        </w:rPr>
      </w:pPr>
      <w:r>
        <w:rPr>
          <w:rFonts w:hint="eastAsia" w:ascii="仿宋_GB2312" w:hAnsi="仿宋" w:eastAsia="仿宋_GB2312" w:cs="宋体"/>
          <w:color w:val="000000"/>
          <w:kern w:val="0"/>
          <w:sz w:val="24"/>
        </w:rPr>
        <w:t>如涉及询价平台认购日期调整，发行人应同步于发行人系统提交认购日期变更申请。</w:t>
      </w:r>
    </w:p>
    <w:p w14:paraId="493DBBF7">
      <w:pPr>
        <w:snapToGrid w:val="0"/>
        <w:spacing w:line="360" w:lineRule="auto"/>
        <w:ind w:left="420"/>
        <w:rPr>
          <w:rFonts w:hint="eastAsia" w:ascii="仿宋_GB2312" w:hAnsi="仿宋" w:eastAsia="仿宋_GB2312" w:cs="宋体"/>
          <w:color w:val="000000"/>
          <w:kern w:val="0"/>
          <w:sz w:val="24"/>
        </w:rPr>
      </w:pPr>
    </w:p>
    <w:p w14:paraId="6060C23A">
      <w:pPr>
        <w:snapToGrid w:val="0"/>
        <w:spacing w:line="360" w:lineRule="auto"/>
        <w:ind w:left="420"/>
        <w:rPr>
          <w:rFonts w:hint="eastAsia" w:ascii="仿宋_GB2312" w:hAnsi="仿宋" w:eastAsia="仿宋_GB2312" w:cs="宋体"/>
          <w:color w:val="000000"/>
          <w:kern w:val="0"/>
          <w:sz w:val="24"/>
        </w:rPr>
      </w:pPr>
      <w:r>
        <w:rPr>
          <w:rFonts w:hint="eastAsia" w:ascii="Times New Roman" w:hAnsi="Times New Roman" w:eastAsia="仿宋_GB2312" w:cs="宋体"/>
          <w:color w:val="000000"/>
          <w:kern w:val="0"/>
          <w:sz w:val="24"/>
        </w:rPr>
        <w:t>T</w:t>
      </w:r>
      <w:r>
        <w:rPr>
          <w:rFonts w:hint="eastAsia" w:ascii="仿宋_GB2312" w:hAnsi="仿宋" w:eastAsia="仿宋_GB2312" w:cs="宋体"/>
          <w:color w:val="000000"/>
          <w:kern w:val="0"/>
          <w:sz w:val="24"/>
        </w:rPr>
        <w:t>日</w:t>
      </w:r>
    </w:p>
    <w:p w14:paraId="7B08208E">
      <w:pPr>
        <w:numPr>
          <w:ilvl w:val="0"/>
          <w:numId w:val="12"/>
        </w:numPr>
        <w:snapToGrid w:val="0"/>
        <w:spacing w:line="360" w:lineRule="auto"/>
        <w:ind w:firstLine="480" w:firstLineChars="200"/>
        <w:rPr>
          <w:rFonts w:hint="eastAsia" w:ascii="仿宋_GB2312" w:hAnsi="仿宋" w:eastAsia="仿宋_GB2312" w:cs="宋体"/>
          <w:color w:val="000000"/>
          <w:kern w:val="0"/>
          <w:sz w:val="24"/>
        </w:rPr>
      </w:pPr>
      <w:r>
        <w:rPr>
          <w:rFonts w:hint="eastAsia" w:ascii="仿宋_GB2312" w:hAnsi="仿宋" w:eastAsia="仿宋_GB2312" w:cs="宋体"/>
          <w:color w:val="000000"/>
          <w:kern w:val="0"/>
          <w:sz w:val="24"/>
        </w:rPr>
        <w:t>认购日期变更等公告文件在本所</w:t>
      </w:r>
      <w:r>
        <w:rPr>
          <w:rFonts w:ascii="仿宋_GB2312" w:hAnsi="仿宋" w:eastAsia="仿宋_GB2312" w:cs="宋体"/>
          <w:color w:val="000000"/>
          <w:kern w:val="0"/>
          <w:sz w:val="24"/>
        </w:rPr>
        <w:t>官网</w:t>
      </w:r>
      <w:r>
        <w:rPr>
          <w:rFonts w:hint="eastAsia" w:ascii="仿宋_GB2312" w:hAnsi="仿宋" w:eastAsia="仿宋_GB2312" w:cs="宋体"/>
          <w:color w:val="000000"/>
          <w:kern w:val="0"/>
          <w:sz w:val="24"/>
        </w:rPr>
        <w:t>发布，基金管理人核对网站披露内容是否符合预期。</w:t>
      </w:r>
    </w:p>
    <w:p w14:paraId="01D5E099">
      <w:pPr>
        <w:numPr>
          <w:ilvl w:val="0"/>
          <w:numId w:val="12"/>
        </w:numPr>
        <w:snapToGrid w:val="0"/>
        <w:spacing w:line="360" w:lineRule="auto"/>
        <w:ind w:firstLine="480" w:firstLineChars="200"/>
        <w:rPr>
          <w:rFonts w:hint="eastAsia" w:ascii="仿宋_GB2312" w:hAnsi="仿宋" w:eastAsia="仿宋_GB2312" w:cs="宋体"/>
          <w:color w:val="000000"/>
          <w:kern w:val="0"/>
          <w:sz w:val="24"/>
        </w:rPr>
      </w:pPr>
      <w:r>
        <w:rPr>
          <w:rFonts w:hint="eastAsia" w:ascii="仿宋_GB2312" w:hAnsi="仿宋" w:eastAsia="仿宋_GB2312" w:cs="宋体"/>
          <w:color w:val="000000"/>
          <w:kern w:val="0"/>
          <w:sz w:val="24"/>
        </w:rPr>
        <w:t>基金管理人</w:t>
      </w:r>
      <w:r>
        <w:rPr>
          <w:rFonts w:hint="eastAsia" w:ascii="仿宋_GB2312" w:hAnsi="仿宋" w:eastAsia="仿宋_GB2312" w:cs="宋体"/>
          <w:color w:val="000000"/>
          <w:kern w:val="0"/>
          <w:sz w:val="24"/>
          <w:szCs w:val="21"/>
        </w:rPr>
        <w:t>根据中国证监会规定在</w:t>
      </w:r>
      <w:r>
        <w:rPr>
          <w:rFonts w:hint="eastAsia" w:ascii="仿宋_GB2312" w:hAnsi="仿宋" w:eastAsia="仿宋_GB2312" w:cs="宋体"/>
          <w:color w:val="000000"/>
          <w:kern w:val="0"/>
          <w:sz w:val="24"/>
        </w:rPr>
        <w:t>其他媒介上刊登前述公告。</w:t>
      </w:r>
    </w:p>
    <w:p w14:paraId="05160E8C">
      <w:pPr>
        <w:numPr>
          <w:ilvl w:val="0"/>
          <w:numId w:val="12"/>
        </w:numPr>
        <w:snapToGrid w:val="0"/>
        <w:spacing w:line="360" w:lineRule="auto"/>
        <w:ind w:firstLine="480" w:firstLineChars="200"/>
        <w:rPr>
          <w:rFonts w:hint="eastAsia" w:ascii="仿宋_GB2312" w:hAnsi="仿宋" w:eastAsia="仿宋_GB2312" w:cs="宋体"/>
          <w:color w:val="000000"/>
          <w:kern w:val="0"/>
          <w:sz w:val="24"/>
        </w:rPr>
      </w:pPr>
      <w:r>
        <w:rPr>
          <w:rFonts w:hint="eastAsia" w:ascii="仿宋_GB2312" w:hAnsi="仿宋" w:eastAsia="仿宋_GB2312" w:cs="宋体"/>
          <w:color w:val="000000"/>
          <w:kern w:val="0"/>
          <w:sz w:val="24"/>
        </w:rPr>
        <w:t>日末，日期变更生效。</w:t>
      </w:r>
    </w:p>
    <w:p w14:paraId="3A38D6D8">
      <w:pPr>
        <w:snapToGrid w:val="0"/>
        <w:spacing w:line="360" w:lineRule="auto"/>
        <w:ind w:left="420"/>
        <w:rPr>
          <w:rFonts w:hint="eastAsia" w:ascii="仿宋_GB2312" w:hAnsi="仿宋" w:eastAsia="仿宋_GB2312" w:cs="宋体"/>
          <w:color w:val="000000"/>
          <w:kern w:val="0"/>
          <w:sz w:val="24"/>
        </w:rPr>
      </w:pPr>
    </w:p>
    <w:p w14:paraId="3196FFF7">
      <w:pPr>
        <w:pStyle w:val="30"/>
        <w:numPr>
          <w:ilvl w:val="0"/>
          <w:numId w:val="35"/>
        </w:numPr>
        <w:snapToGrid w:val="0"/>
        <w:spacing w:line="360" w:lineRule="auto"/>
        <w:ind w:left="851" w:firstLineChars="0"/>
        <w:outlineLvl w:val="2"/>
        <w:rPr>
          <w:rFonts w:hint="eastAsia" w:ascii="仿宋_GB2312" w:hAnsi="宋体" w:eastAsia="仿宋_GB2312"/>
          <w:b/>
          <w:sz w:val="28"/>
          <w:szCs w:val="28"/>
        </w:rPr>
      </w:pPr>
      <w:bookmarkStart w:id="400" w:name="_Toc1831235406"/>
      <w:bookmarkStart w:id="401" w:name="_Toc70604220"/>
      <w:bookmarkStart w:id="402" w:name="_Toc890574680"/>
      <w:bookmarkStart w:id="403" w:name="_Toc1232166313"/>
      <w:bookmarkStart w:id="404" w:name="_Toc14917"/>
      <w:bookmarkStart w:id="405" w:name="_Toc1040230563"/>
      <w:bookmarkStart w:id="406" w:name="_Toc3779"/>
      <w:bookmarkStart w:id="407" w:name="_Toc3523"/>
      <w:bookmarkStart w:id="408" w:name="_Toc17656"/>
      <w:bookmarkStart w:id="409" w:name="_Toc32456"/>
      <w:bookmarkStart w:id="410" w:name="_Toc11912"/>
      <w:bookmarkStart w:id="411" w:name="_Toc23522"/>
      <w:bookmarkStart w:id="412" w:name="_Toc28976"/>
      <w:bookmarkStart w:id="413" w:name="_Toc9499"/>
      <w:bookmarkStart w:id="414" w:name="_Toc12114"/>
      <w:bookmarkStart w:id="415" w:name="_Toc2979"/>
      <w:bookmarkStart w:id="416" w:name="_Toc65181424"/>
      <w:bookmarkStart w:id="417" w:name="_Toc16914"/>
      <w:bookmarkStart w:id="418" w:name="_Toc667"/>
      <w:bookmarkStart w:id="419" w:name="_Toc8807"/>
      <w:bookmarkStart w:id="420" w:name="_Toc2026656849"/>
      <w:bookmarkStart w:id="421" w:name="_Toc33221073"/>
      <w:bookmarkStart w:id="422" w:name="_Toc22960"/>
      <w:bookmarkStart w:id="423" w:name="_Toc1295"/>
      <w:bookmarkStart w:id="424" w:name="_Toc1696533087"/>
      <w:r>
        <w:rPr>
          <w:rFonts w:hint="eastAsia" w:ascii="仿宋_GB2312" w:hAnsi="宋体" w:eastAsia="仿宋_GB2312"/>
          <w:b/>
          <w:sz w:val="28"/>
          <w:szCs w:val="28"/>
        </w:rPr>
        <w:t>回拨与配售</w:t>
      </w:r>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p>
    <w:p w14:paraId="08E679AE">
      <w:pPr>
        <w:pStyle w:val="13"/>
        <w:numPr>
          <w:ilvl w:val="0"/>
          <w:numId w:val="18"/>
        </w:numPr>
        <w:snapToGrid w:val="0"/>
        <w:spacing w:before="0" w:beforeAutospacing="0" w:after="0" w:afterAutospacing="0" w:line="360" w:lineRule="auto"/>
        <w:jc w:val="both"/>
        <w:rPr>
          <w:rFonts w:hint="eastAsia" w:ascii="仿宋_GB2312" w:hAnsi="仿宋" w:eastAsia="仿宋_GB2312"/>
        </w:rPr>
      </w:pPr>
      <w:r>
        <w:rPr>
          <w:rFonts w:hint="eastAsia" w:ascii="仿宋_GB2312" w:hAnsi="仿宋" w:eastAsia="仿宋_GB2312"/>
        </w:rPr>
        <w:t>名称释义：</w:t>
      </w:r>
      <w:r>
        <w:rPr>
          <w:rFonts w:ascii="Times New Roman" w:hAnsi="Times New Roman" w:eastAsia="仿宋_GB2312"/>
        </w:rPr>
        <w:t>M</w:t>
      </w:r>
      <w:r>
        <w:rPr>
          <w:rFonts w:ascii="仿宋_GB2312" w:hAnsi="仿宋" w:eastAsia="仿宋_GB2312"/>
        </w:rPr>
        <w:t>+</w:t>
      </w:r>
      <w:r>
        <w:rPr>
          <w:rFonts w:ascii="Times New Roman" w:hAnsi="Times New Roman" w:eastAsia="仿宋_GB2312"/>
        </w:rPr>
        <w:t>f</w:t>
      </w:r>
      <w:r>
        <w:rPr>
          <w:rFonts w:hint="eastAsia" w:ascii="仿宋_GB2312" w:hAnsi="仿宋" w:eastAsia="仿宋_GB2312"/>
        </w:rPr>
        <w:t>日为公众投资者认购份额登记日</w:t>
      </w:r>
    </w:p>
    <w:p w14:paraId="0CD6BE9D">
      <w:pPr>
        <w:snapToGrid w:val="0"/>
        <w:spacing w:line="360" w:lineRule="auto"/>
        <w:rPr>
          <w:rFonts w:hint="eastAsia" w:ascii="仿宋_GB2312" w:hAnsi="仿宋" w:eastAsia="仿宋_GB2312" w:cs="宋体"/>
          <w:color w:val="000000"/>
          <w:kern w:val="0"/>
          <w:sz w:val="24"/>
        </w:rPr>
      </w:pPr>
      <w:r>
        <w:rPr>
          <w:rFonts w:hint="eastAsia" w:ascii="仿宋_GB2312" w:hAnsi="仿宋" w:eastAsia="仿宋_GB2312" w:cs="宋体"/>
          <w:color w:val="000000"/>
          <w:kern w:val="0"/>
          <w:sz w:val="24"/>
        </w:rPr>
        <w:t xml:space="preserve">   </w:t>
      </w:r>
    </w:p>
    <w:p w14:paraId="255B3B91">
      <w:pPr>
        <w:snapToGrid w:val="0"/>
        <w:spacing w:line="360" w:lineRule="auto"/>
        <w:ind w:left="420"/>
        <w:rPr>
          <w:rFonts w:hint="eastAsia" w:ascii="仿宋_GB2312" w:hAnsi="仿宋" w:eastAsia="仿宋_GB2312" w:cs="宋体"/>
          <w:color w:val="000000"/>
          <w:kern w:val="0"/>
          <w:sz w:val="24"/>
        </w:rPr>
      </w:pPr>
      <w:r>
        <w:rPr>
          <w:rFonts w:ascii="Times New Roman" w:hAnsi="Times New Roman" w:eastAsia="仿宋_GB2312" w:cs="宋体"/>
          <w:color w:val="000000"/>
          <w:kern w:val="0"/>
          <w:sz w:val="24"/>
        </w:rPr>
        <w:t>M</w:t>
      </w:r>
      <w:r>
        <w:rPr>
          <w:rFonts w:ascii="仿宋_GB2312" w:hAnsi="仿宋" w:eastAsia="仿宋_GB2312" w:cs="宋体"/>
          <w:color w:val="000000"/>
          <w:kern w:val="0"/>
          <w:sz w:val="24"/>
        </w:rPr>
        <w:t>+</w:t>
      </w:r>
      <w:r>
        <w:rPr>
          <w:rFonts w:ascii="Times New Roman" w:hAnsi="Times New Roman" w:eastAsia="仿宋_GB2312" w:cs="宋体"/>
          <w:color w:val="000000"/>
          <w:kern w:val="0"/>
          <w:sz w:val="24"/>
        </w:rPr>
        <w:t>1</w:t>
      </w:r>
      <w:r>
        <w:rPr>
          <w:rFonts w:hint="eastAsia" w:ascii="仿宋_GB2312" w:hAnsi="仿宋" w:eastAsia="仿宋_GB2312" w:cs="宋体"/>
          <w:color w:val="000000"/>
          <w:kern w:val="0"/>
          <w:sz w:val="24"/>
        </w:rPr>
        <w:t>日</w:t>
      </w:r>
    </w:p>
    <w:p w14:paraId="3808FBCC">
      <w:pPr>
        <w:numPr>
          <w:ilvl w:val="0"/>
          <w:numId w:val="22"/>
        </w:numPr>
        <w:snapToGrid w:val="0"/>
        <w:spacing w:line="360" w:lineRule="auto"/>
        <w:ind w:firstLine="480" w:firstLineChars="200"/>
        <w:rPr>
          <w:rFonts w:hint="eastAsia" w:ascii="仿宋_GB2312" w:hAnsi="仿宋" w:eastAsia="仿宋_GB2312" w:cs="宋体"/>
          <w:color w:val="000000"/>
          <w:kern w:val="0"/>
          <w:sz w:val="24"/>
        </w:rPr>
      </w:pPr>
      <w:r>
        <w:rPr>
          <w:rFonts w:hint="eastAsia" w:ascii="仿宋_GB2312" w:hAnsi="仿宋" w:eastAsia="仿宋_GB2312" w:cs="宋体"/>
          <w:color w:val="000000"/>
          <w:kern w:val="0"/>
          <w:sz w:val="24"/>
        </w:rPr>
        <w:t>基金管理人归集公众投资者的场内、场外认购申请；归集特殊认购申请（即根据中国结算</w:t>
      </w:r>
      <w:r>
        <w:rPr>
          <w:rFonts w:ascii="仿宋_GB2312" w:hAnsi="仿宋" w:eastAsia="仿宋_GB2312" w:cs="宋体"/>
          <w:color w:val="000000"/>
          <w:kern w:val="0"/>
          <w:sz w:val="24"/>
        </w:rPr>
        <w:t>总部</w:t>
      </w:r>
      <w:r>
        <w:rPr>
          <w:rFonts w:hint="eastAsia" w:ascii="仿宋_GB2312" w:hAnsi="仿宋" w:eastAsia="仿宋_GB2312" w:cs="宋体"/>
          <w:color w:val="000000"/>
          <w:kern w:val="0"/>
          <w:sz w:val="24"/>
        </w:rPr>
        <w:t>关于</w:t>
      </w:r>
      <w:r>
        <w:rPr>
          <w:rFonts w:hint="eastAsia" w:ascii="Times New Roman" w:hAnsi="Times New Roman" w:eastAsia="仿宋_GB2312" w:cs="宋体"/>
          <w:color w:val="000000"/>
          <w:kern w:val="0"/>
          <w:sz w:val="24"/>
        </w:rPr>
        <w:t>REITs</w:t>
      </w:r>
      <w:r>
        <w:rPr>
          <w:rFonts w:hint="eastAsia" w:ascii="仿宋_GB2312" w:hAnsi="仿宋" w:eastAsia="仿宋_GB2312" w:cs="宋体"/>
          <w:color w:val="000000"/>
          <w:kern w:val="0"/>
          <w:sz w:val="24"/>
        </w:rPr>
        <w:t>业务登记结算有关规定，需通过份额强制调增业务完成初始登记的认购部分）。</w:t>
      </w:r>
    </w:p>
    <w:p w14:paraId="4BB09DF2">
      <w:pPr>
        <w:snapToGrid w:val="0"/>
        <w:spacing w:line="360" w:lineRule="auto"/>
        <w:rPr>
          <w:rFonts w:hint="eastAsia" w:ascii="仿宋_GB2312" w:hAnsi="仿宋" w:eastAsia="仿宋_GB2312" w:cs="宋体"/>
          <w:color w:val="000000"/>
          <w:kern w:val="0"/>
          <w:sz w:val="24"/>
        </w:rPr>
      </w:pPr>
    </w:p>
    <w:p w14:paraId="51A828C7">
      <w:pPr>
        <w:snapToGrid w:val="0"/>
        <w:spacing w:line="360" w:lineRule="auto"/>
        <w:ind w:left="420"/>
        <w:rPr>
          <w:rFonts w:hint="eastAsia" w:ascii="仿宋_GB2312" w:hAnsi="仿宋" w:eastAsia="仿宋_GB2312" w:cs="宋体"/>
          <w:color w:val="000000"/>
          <w:kern w:val="0"/>
          <w:sz w:val="24"/>
        </w:rPr>
      </w:pPr>
      <w:r>
        <w:rPr>
          <w:rFonts w:ascii="Times New Roman" w:hAnsi="Times New Roman" w:eastAsia="仿宋_GB2312" w:cs="宋体"/>
          <w:color w:val="000000"/>
          <w:kern w:val="0"/>
          <w:sz w:val="24"/>
        </w:rPr>
        <w:t>M</w:t>
      </w:r>
      <w:r>
        <w:rPr>
          <w:rFonts w:ascii="仿宋_GB2312" w:hAnsi="仿宋" w:eastAsia="仿宋_GB2312" w:cs="宋体"/>
          <w:color w:val="000000"/>
          <w:kern w:val="0"/>
          <w:sz w:val="24"/>
        </w:rPr>
        <w:t>+</w:t>
      </w:r>
      <w:r>
        <w:rPr>
          <w:rFonts w:ascii="Times New Roman" w:hAnsi="Times New Roman" w:eastAsia="仿宋_GB2312" w:cs="宋体"/>
          <w:color w:val="000000"/>
          <w:kern w:val="0"/>
          <w:sz w:val="24"/>
        </w:rPr>
        <w:t>1</w:t>
      </w:r>
      <w:r>
        <w:rPr>
          <w:rFonts w:hint="eastAsia" w:ascii="仿宋_GB2312" w:hAnsi="仿宋" w:eastAsia="仿宋_GB2312" w:cs="宋体"/>
          <w:color w:val="000000"/>
          <w:kern w:val="0"/>
          <w:sz w:val="24"/>
        </w:rPr>
        <w:t>日至</w:t>
      </w:r>
      <w:r>
        <w:rPr>
          <w:rFonts w:ascii="Times New Roman" w:hAnsi="Times New Roman" w:eastAsia="仿宋_GB2312" w:cs="宋体"/>
          <w:color w:val="000000"/>
          <w:kern w:val="0"/>
          <w:sz w:val="24"/>
        </w:rPr>
        <w:t>M</w:t>
      </w:r>
      <w:r>
        <w:rPr>
          <w:rFonts w:ascii="仿宋_GB2312" w:hAnsi="仿宋" w:eastAsia="仿宋_GB2312" w:cs="宋体"/>
          <w:color w:val="000000"/>
          <w:kern w:val="0"/>
          <w:sz w:val="24"/>
        </w:rPr>
        <w:t>+</w:t>
      </w:r>
      <w:r>
        <w:rPr>
          <w:rFonts w:ascii="Times New Roman" w:hAnsi="Times New Roman" w:eastAsia="仿宋_GB2312" w:cs="宋体"/>
          <w:color w:val="000000"/>
          <w:kern w:val="0"/>
          <w:sz w:val="24"/>
        </w:rPr>
        <w:t>f</w:t>
      </w:r>
      <w:r>
        <w:rPr>
          <w:rFonts w:hint="eastAsia" w:ascii="仿宋_GB2312" w:hAnsi="仿宋" w:eastAsia="仿宋_GB2312" w:cs="宋体"/>
          <w:color w:val="000000"/>
          <w:kern w:val="0"/>
          <w:sz w:val="24"/>
        </w:rPr>
        <w:t>-</w:t>
      </w:r>
      <w:r>
        <w:rPr>
          <w:rFonts w:hint="eastAsia" w:ascii="Times New Roman" w:hAnsi="Times New Roman" w:eastAsia="仿宋_GB2312" w:cs="宋体"/>
          <w:color w:val="000000"/>
          <w:kern w:val="0"/>
          <w:sz w:val="24"/>
        </w:rPr>
        <w:t>1</w:t>
      </w:r>
      <w:r>
        <w:rPr>
          <w:rFonts w:hint="eastAsia" w:ascii="仿宋_GB2312" w:hAnsi="仿宋" w:eastAsia="仿宋_GB2312" w:cs="宋体"/>
          <w:color w:val="000000"/>
          <w:kern w:val="0"/>
          <w:sz w:val="24"/>
        </w:rPr>
        <w:t>日（</w:t>
      </w:r>
      <w:r>
        <w:rPr>
          <w:rFonts w:hint="eastAsia" w:ascii="Times New Roman" w:hAnsi="Times New Roman" w:eastAsia="仿宋_GB2312" w:cs="宋体"/>
          <w:color w:val="000000"/>
          <w:kern w:val="0"/>
          <w:sz w:val="24"/>
        </w:rPr>
        <w:t>f</w:t>
      </w:r>
      <w:r>
        <w:rPr>
          <w:rFonts w:hint="eastAsia" w:ascii="仿宋_GB2312" w:hAnsi="宋体" w:eastAsia="仿宋_GB2312" w:cs="宋体"/>
          <w:color w:val="000000"/>
          <w:kern w:val="0"/>
          <w:sz w:val="24"/>
        </w:rPr>
        <w:t>≥</w:t>
      </w:r>
      <w:r>
        <w:rPr>
          <w:rFonts w:hint="eastAsia" w:ascii="Times New Roman" w:hAnsi="Times New Roman" w:eastAsia="仿宋_GB2312" w:cs="宋体"/>
          <w:color w:val="000000"/>
          <w:kern w:val="0"/>
          <w:sz w:val="24"/>
        </w:rPr>
        <w:t>2</w:t>
      </w:r>
      <w:r>
        <w:rPr>
          <w:rFonts w:hint="eastAsia" w:ascii="仿宋_GB2312" w:hAnsi="仿宋" w:eastAsia="仿宋_GB2312" w:cs="宋体"/>
          <w:color w:val="000000"/>
          <w:kern w:val="0"/>
          <w:sz w:val="24"/>
        </w:rPr>
        <w:t>，由基金管理人确定）</w:t>
      </w:r>
    </w:p>
    <w:p w14:paraId="3B31284B">
      <w:pPr>
        <w:numPr>
          <w:ilvl w:val="0"/>
          <w:numId w:val="22"/>
        </w:numPr>
        <w:snapToGrid w:val="0"/>
        <w:spacing w:line="360" w:lineRule="auto"/>
        <w:ind w:firstLine="480" w:firstLineChars="200"/>
        <w:rPr>
          <w:rFonts w:hint="eastAsia" w:ascii="仿宋_GB2312" w:hAnsi="仿宋" w:eastAsia="仿宋_GB2312" w:cs="宋体"/>
          <w:color w:val="000000"/>
          <w:kern w:val="0"/>
          <w:sz w:val="24"/>
        </w:rPr>
      </w:pPr>
      <w:r>
        <w:rPr>
          <w:rFonts w:hint="eastAsia" w:ascii="仿宋_GB2312" w:hAnsi="仿宋" w:eastAsia="仿宋_GB2312" w:cs="宋体"/>
          <w:color w:val="000000"/>
          <w:kern w:val="0"/>
          <w:sz w:val="24"/>
        </w:rPr>
        <w:t>发行人：</w:t>
      </w:r>
    </w:p>
    <w:p w14:paraId="67E3A274">
      <w:pPr>
        <w:numPr>
          <w:ilvl w:val="0"/>
          <w:numId w:val="43"/>
        </w:numPr>
        <w:tabs>
          <w:tab w:val="clear" w:pos="420"/>
        </w:tabs>
        <w:snapToGrid w:val="0"/>
        <w:spacing w:line="360" w:lineRule="auto"/>
        <w:ind w:left="1276"/>
        <w:rPr>
          <w:rFonts w:hint="eastAsia" w:ascii="仿宋_GB2312" w:hAnsi="仿宋" w:eastAsia="仿宋_GB2312" w:cs="宋体"/>
          <w:color w:val="000000"/>
          <w:kern w:val="0"/>
          <w:sz w:val="24"/>
        </w:rPr>
      </w:pPr>
      <w:r>
        <w:rPr>
          <w:rFonts w:hint="eastAsia" w:ascii="仿宋_GB2312" w:hAnsi="仿宋" w:eastAsia="仿宋_GB2312" w:cs="宋体"/>
          <w:color w:val="000000"/>
          <w:kern w:val="0"/>
          <w:sz w:val="24"/>
        </w:rPr>
        <w:t>核查账户异常、限制账户、询价禁入、资金未到位以及其他违规情况，进行账户剔除；</w:t>
      </w:r>
    </w:p>
    <w:p w14:paraId="22DC3AD9">
      <w:pPr>
        <w:numPr>
          <w:ilvl w:val="0"/>
          <w:numId w:val="43"/>
        </w:numPr>
        <w:tabs>
          <w:tab w:val="clear" w:pos="420"/>
        </w:tabs>
        <w:snapToGrid w:val="0"/>
        <w:spacing w:line="360" w:lineRule="auto"/>
        <w:ind w:left="1276"/>
        <w:rPr>
          <w:rFonts w:hint="eastAsia" w:ascii="仿宋_GB2312" w:hAnsi="仿宋" w:eastAsia="仿宋_GB2312" w:cs="宋体"/>
          <w:color w:val="000000"/>
          <w:kern w:val="0"/>
          <w:sz w:val="24"/>
        </w:rPr>
      </w:pPr>
      <w:r>
        <w:rPr>
          <w:rFonts w:hint="eastAsia" w:ascii="仿宋_GB2312" w:hAnsi="仿宋" w:eastAsia="仿宋_GB2312" w:cs="宋体"/>
          <w:color w:val="000000"/>
          <w:kern w:val="0"/>
          <w:sz w:val="24"/>
        </w:rPr>
        <w:t>根据认购资金到位情况，设置全额配售、比例配售、未正常缴款等类型；</w:t>
      </w:r>
    </w:p>
    <w:p w14:paraId="75CA5039">
      <w:pPr>
        <w:numPr>
          <w:ilvl w:val="0"/>
          <w:numId w:val="43"/>
        </w:numPr>
        <w:tabs>
          <w:tab w:val="clear" w:pos="420"/>
        </w:tabs>
        <w:snapToGrid w:val="0"/>
        <w:spacing w:line="360" w:lineRule="auto"/>
        <w:ind w:left="1276"/>
        <w:rPr>
          <w:rFonts w:hint="eastAsia" w:ascii="仿宋_GB2312" w:hAnsi="仿宋" w:eastAsia="仿宋_GB2312" w:cs="宋体"/>
          <w:color w:val="000000"/>
          <w:kern w:val="0"/>
          <w:sz w:val="24"/>
        </w:rPr>
      </w:pPr>
      <w:r>
        <w:rPr>
          <w:rFonts w:hint="eastAsia" w:ascii="仿宋_GB2312" w:hAnsi="仿宋" w:eastAsia="仿宋_GB2312" w:cs="宋体"/>
          <w:color w:val="000000"/>
          <w:kern w:val="0"/>
          <w:sz w:val="24"/>
        </w:rPr>
        <w:t>根据投资者违规情况，确定配售对象“建议纳入限制名单”。</w:t>
      </w:r>
    </w:p>
    <w:p w14:paraId="6D74A027">
      <w:pPr>
        <w:tabs>
          <w:tab w:val="left" w:pos="420"/>
        </w:tabs>
        <w:snapToGrid w:val="0"/>
        <w:spacing w:line="360" w:lineRule="auto"/>
        <w:ind w:left="900"/>
        <w:rPr>
          <w:rFonts w:hint="eastAsia" w:ascii="仿宋_GB2312" w:hAnsi="仿宋" w:eastAsia="仿宋_GB2312" w:cs="宋体"/>
          <w:color w:val="000000"/>
          <w:kern w:val="0"/>
          <w:sz w:val="24"/>
        </w:rPr>
      </w:pPr>
    </w:p>
    <w:p w14:paraId="2E30E557">
      <w:pPr>
        <w:numPr>
          <w:ilvl w:val="0"/>
          <w:numId w:val="22"/>
        </w:numPr>
        <w:snapToGrid w:val="0"/>
        <w:spacing w:line="360" w:lineRule="auto"/>
        <w:ind w:firstLine="480" w:firstLineChars="200"/>
        <w:rPr>
          <w:rFonts w:hint="eastAsia" w:ascii="仿宋_GB2312" w:hAnsi="仿宋" w:eastAsia="仿宋_GB2312" w:cs="宋体"/>
          <w:color w:val="000000"/>
          <w:kern w:val="0"/>
          <w:sz w:val="24"/>
        </w:rPr>
      </w:pPr>
      <w:r>
        <w:rPr>
          <w:rFonts w:hint="eastAsia" w:ascii="仿宋_GB2312" w:hAnsi="仿宋" w:eastAsia="仿宋_GB2312" w:cs="宋体"/>
          <w:color w:val="000000"/>
          <w:kern w:val="0"/>
          <w:sz w:val="24"/>
        </w:rPr>
        <w:t>基金管理人：</w:t>
      </w:r>
    </w:p>
    <w:p w14:paraId="24DB071C">
      <w:pPr>
        <w:numPr>
          <w:ilvl w:val="0"/>
          <w:numId w:val="44"/>
        </w:numPr>
        <w:snapToGrid w:val="0"/>
        <w:spacing w:line="360" w:lineRule="auto"/>
        <w:ind w:left="1276"/>
        <w:rPr>
          <w:rFonts w:hint="eastAsia" w:ascii="仿宋_GB2312" w:hAnsi="仿宋" w:eastAsia="仿宋_GB2312" w:cs="宋体"/>
          <w:color w:val="000000"/>
          <w:kern w:val="0"/>
          <w:sz w:val="24"/>
        </w:rPr>
      </w:pPr>
      <w:r>
        <w:rPr>
          <w:rFonts w:hint="eastAsia" w:ascii="仿宋_GB2312" w:hAnsi="仿宋" w:eastAsia="仿宋_GB2312" w:cs="宋体"/>
          <w:color w:val="000000"/>
          <w:kern w:val="0"/>
          <w:sz w:val="24"/>
        </w:rPr>
        <w:t>剔除参与了网下询价的配售对象及其关联账户通过公众发售的认购申请；</w:t>
      </w:r>
    </w:p>
    <w:p w14:paraId="01AC821C">
      <w:pPr>
        <w:numPr>
          <w:ilvl w:val="0"/>
          <w:numId w:val="44"/>
        </w:numPr>
        <w:snapToGrid w:val="0"/>
        <w:spacing w:line="360" w:lineRule="auto"/>
        <w:ind w:left="1276"/>
        <w:rPr>
          <w:rFonts w:hint="eastAsia" w:ascii="仿宋_GB2312" w:hAnsi="仿宋" w:eastAsia="仿宋_GB2312" w:cs="宋体"/>
          <w:color w:val="000000"/>
          <w:kern w:val="0"/>
          <w:sz w:val="24"/>
        </w:rPr>
      </w:pPr>
      <w:r>
        <w:rPr>
          <w:rFonts w:hint="eastAsia" w:ascii="仿宋_GB2312" w:hAnsi="仿宋" w:eastAsia="仿宋_GB2312" w:cs="宋体"/>
          <w:color w:val="000000"/>
          <w:kern w:val="0"/>
          <w:sz w:val="24"/>
        </w:rPr>
        <w:t>根据归集的场内账户和场外账户的特殊认购申请，生成缴款成功的特殊认购申请数据。</w:t>
      </w:r>
    </w:p>
    <w:p w14:paraId="520823D8">
      <w:pPr>
        <w:snapToGrid w:val="0"/>
        <w:spacing w:line="360" w:lineRule="auto"/>
        <w:ind w:left="420"/>
        <w:rPr>
          <w:rFonts w:hint="eastAsia" w:ascii="仿宋_GB2312" w:hAnsi="仿宋" w:eastAsia="仿宋_GB2312" w:cs="宋体"/>
          <w:color w:val="000000"/>
          <w:kern w:val="0"/>
          <w:sz w:val="24"/>
        </w:rPr>
      </w:pPr>
    </w:p>
    <w:p w14:paraId="1D53EDBD">
      <w:pPr>
        <w:snapToGrid w:val="0"/>
        <w:spacing w:line="360" w:lineRule="auto"/>
        <w:ind w:left="420"/>
        <w:rPr>
          <w:rFonts w:hint="eastAsia" w:ascii="仿宋_GB2312" w:hAnsi="仿宋" w:eastAsia="仿宋_GB2312" w:cs="宋体"/>
          <w:color w:val="000000"/>
          <w:kern w:val="0"/>
          <w:sz w:val="24"/>
        </w:rPr>
      </w:pPr>
      <w:r>
        <w:rPr>
          <w:rFonts w:ascii="Times New Roman" w:hAnsi="Times New Roman" w:eastAsia="仿宋_GB2312" w:cs="宋体"/>
          <w:color w:val="000000"/>
          <w:kern w:val="0"/>
          <w:sz w:val="24"/>
        </w:rPr>
        <w:t>M</w:t>
      </w:r>
      <w:r>
        <w:rPr>
          <w:rFonts w:ascii="仿宋_GB2312" w:hAnsi="仿宋" w:eastAsia="仿宋_GB2312" w:cs="宋体"/>
          <w:color w:val="000000"/>
          <w:kern w:val="0"/>
          <w:sz w:val="24"/>
        </w:rPr>
        <w:t>+</w:t>
      </w:r>
      <w:r>
        <w:rPr>
          <w:rFonts w:ascii="Times New Roman" w:hAnsi="Times New Roman" w:eastAsia="仿宋_GB2312" w:cs="宋体"/>
          <w:color w:val="000000"/>
          <w:kern w:val="0"/>
          <w:sz w:val="24"/>
        </w:rPr>
        <w:t>f</w:t>
      </w:r>
      <w:r>
        <w:rPr>
          <w:rFonts w:hint="eastAsia" w:ascii="仿宋_GB2312" w:hAnsi="仿宋" w:eastAsia="仿宋_GB2312" w:cs="宋体"/>
          <w:color w:val="000000"/>
          <w:kern w:val="0"/>
          <w:sz w:val="24"/>
        </w:rPr>
        <w:t>-</w:t>
      </w:r>
      <w:r>
        <w:rPr>
          <w:rFonts w:hint="eastAsia" w:ascii="Times New Roman" w:hAnsi="Times New Roman" w:eastAsia="仿宋_GB2312" w:cs="宋体"/>
          <w:color w:val="000000"/>
          <w:kern w:val="0"/>
          <w:sz w:val="24"/>
        </w:rPr>
        <w:t>1</w:t>
      </w:r>
      <w:r>
        <w:rPr>
          <w:rFonts w:hint="eastAsia" w:ascii="仿宋_GB2312" w:hAnsi="仿宋" w:eastAsia="仿宋_GB2312" w:cs="宋体"/>
          <w:color w:val="000000"/>
          <w:kern w:val="0"/>
          <w:sz w:val="24"/>
        </w:rPr>
        <w:t>日</w:t>
      </w:r>
    </w:p>
    <w:p w14:paraId="37D43517">
      <w:pPr>
        <w:numPr>
          <w:ilvl w:val="0"/>
          <w:numId w:val="22"/>
        </w:numPr>
        <w:snapToGrid w:val="0"/>
        <w:spacing w:line="360" w:lineRule="auto"/>
        <w:ind w:firstLine="480" w:firstLineChars="200"/>
        <w:rPr>
          <w:rFonts w:hint="eastAsia" w:ascii="仿宋_GB2312" w:hAnsi="仿宋" w:eastAsia="仿宋_GB2312" w:cs="宋体"/>
          <w:color w:val="000000"/>
          <w:kern w:val="0"/>
          <w:sz w:val="24"/>
        </w:rPr>
      </w:pPr>
      <w:r>
        <w:rPr>
          <w:rFonts w:hint="eastAsia" w:ascii="仿宋_GB2312" w:hAnsi="仿宋" w:eastAsia="仿宋_GB2312" w:cs="宋体"/>
          <w:color w:val="000000"/>
          <w:kern w:val="0"/>
          <w:sz w:val="24"/>
        </w:rPr>
        <w:t>日末，中登</w:t>
      </w:r>
      <w:r>
        <w:rPr>
          <w:rFonts w:ascii="Times New Roman" w:hAnsi="Times New Roman" w:eastAsia="仿宋_GB2312" w:cs="宋体"/>
          <w:color w:val="000000"/>
          <w:kern w:val="0"/>
          <w:sz w:val="24"/>
        </w:rPr>
        <w:t>TA</w:t>
      </w:r>
      <w:r>
        <w:rPr>
          <w:rFonts w:ascii="仿宋_GB2312" w:hAnsi="仿宋" w:eastAsia="仿宋_GB2312" w:cs="宋体"/>
          <w:color w:val="000000"/>
          <w:kern w:val="0"/>
          <w:sz w:val="24"/>
        </w:rPr>
        <w:t>系统</w:t>
      </w:r>
      <w:r>
        <w:rPr>
          <w:rFonts w:hint="eastAsia" w:ascii="仿宋_GB2312" w:hAnsi="仿宋" w:eastAsia="仿宋_GB2312" w:cs="宋体"/>
          <w:color w:val="000000"/>
          <w:kern w:val="0"/>
          <w:sz w:val="24"/>
        </w:rPr>
        <w:t>向基金管理人发送公众投资者场内、外认购申请二次确认待确认数据。</w:t>
      </w:r>
    </w:p>
    <w:p w14:paraId="63058D7E">
      <w:pPr>
        <w:snapToGrid w:val="0"/>
        <w:spacing w:line="360" w:lineRule="auto"/>
        <w:rPr>
          <w:rFonts w:hint="eastAsia" w:ascii="仿宋_GB2312" w:hAnsi="仿宋" w:eastAsia="仿宋_GB2312" w:cs="宋体"/>
          <w:color w:val="000000"/>
          <w:kern w:val="0"/>
          <w:sz w:val="24"/>
        </w:rPr>
      </w:pPr>
    </w:p>
    <w:p w14:paraId="67120851">
      <w:pPr>
        <w:snapToGrid w:val="0"/>
        <w:spacing w:line="360" w:lineRule="auto"/>
        <w:ind w:left="420"/>
        <w:rPr>
          <w:rFonts w:hint="eastAsia" w:ascii="仿宋_GB2312" w:hAnsi="仿宋" w:eastAsia="仿宋_GB2312" w:cs="宋体"/>
          <w:color w:val="000000"/>
          <w:kern w:val="0"/>
          <w:sz w:val="24"/>
        </w:rPr>
      </w:pPr>
      <w:r>
        <w:rPr>
          <w:rFonts w:ascii="Times New Roman" w:hAnsi="Times New Roman" w:eastAsia="仿宋_GB2312" w:cs="宋体"/>
          <w:color w:val="000000"/>
          <w:kern w:val="0"/>
          <w:sz w:val="24"/>
        </w:rPr>
        <w:t>M</w:t>
      </w:r>
      <w:r>
        <w:rPr>
          <w:rFonts w:ascii="仿宋_GB2312" w:hAnsi="仿宋" w:eastAsia="仿宋_GB2312" w:cs="宋体"/>
          <w:color w:val="000000"/>
          <w:kern w:val="0"/>
          <w:sz w:val="24"/>
        </w:rPr>
        <w:t>+</w:t>
      </w:r>
      <w:r>
        <w:rPr>
          <w:rFonts w:ascii="Times New Roman" w:hAnsi="Times New Roman" w:eastAsia="仿宋_GB2312" w:cs="宋体"/>
          <w:color w:val="000000"/>
          <w:kern w:val="0"/>
          <w:sz w:val="24"/>
        </w:rPr>
        <w:t>f</w:t>
      </w:r>
      <w:r>
        <w:rPr>
          <w:rFonts w:hint="eastAsia" w:ascii="仿宋_GB2312" w:hAnsi="仿宋" w:eastAsia="仿宋_GB2312" w:cs="宋体"/>
          <w:color w:val="000000"/>
          <w:kern w:val="0"/>
          <w:sz w:val="24"/>
        </w:rPr>
        <w:t>日</w:t>
      </w:r>
    </w:p>
    <w:p w14:paraId="39D5FAB2">
      <w:pPr>
        <w:numPr>
          <w:ilvl w:val="0"/>
          <w:numId w:val="22"/>
        </w:numPr>
        <w:snapToGrid w:val="0"/>
        <w:spacing w:line="360" w:lineRule="auto"/>
        <w:ind w:firstLine="480" w:firstLineChars="200"/>
        <w:rPr>
          <w:rFonts w:hint="eastAsia" w:ascii="仿宋_GB2312" w:hAnsi="仿宋" w:eastAsia="仿宋_GB2312" w:cs="宋体"/>
          <w:color w:val="000000"/>
          <w:kern w:val="0"/>
          <w:sz w:val="24"/>
        </w:rPr>
      </w:pPr>
      <w:r>
        <w:rPr>
          <w:rFonts w:hint="eastAsia" w:ascii="Times New Roman" w:hAnsi="Times New Roman" w:eastAsia="仿宋_GB2312" w:cs="宋体"/>
          <w:color w:val="000000"/>
          <w:kern w:val="0"/>
          <w:sz w:val="24"/>
        </w:rPr>
        <w:t>11</w:t>
      </w:r>
      <w:r>
        <w:rPr>
          <w:rFonts w:hint="eastAsia" w:ascii="仿宋_GB2312" w:hAnsi="仿宋" w:eastAsia="仿宋_GB2312" w:cs="宋体"/>
          <w:color w:val="000000"/>
          <w:kern w:val="0"/>
          <w:sz w:val="24"/>
        </w:rPr>
        <w:t>:</w:t>
      </w:r>
      <w:r>
        <w:rPr>
          <w:rFonts w:hint="eastAsia" w:ascii="Times New Roman" w:hAnsi="Times New Roman" w:eastAsia="仿宋_GB2312" w:cs="宋体"/>
          <w:color w:val="000000"/>
          <w:kern w:val="0"/>
          <w:sz w:val="24"/>
        </w:rPr>
        <w:t>00</w:t>
      </w:r>
      <w:r>
        <w:rPr>
          <w:rFonts w:hint="eastAsia" w:ascii="仿宋_GB2312" w:hAnsi="仿宋" w:eastAsia="仿宋_GB2312" w:cs="宋体"/>
          <w:color w:val="000000"/>
          <w:kern w:val="0"/>
          <w:sz w:val="24"/>
        </w:rPr>
        <w:t>前，基金管理人完成公众、网下认购额度的回拨和比例配售，确认网下投资者有效认购结果。</w:t>
      </w:r>
    </w:p>
    <w:p w14:paraId="60FF4E63">
      <w:pPr>
        <w:numPr>
          <w:ilvl w:val="0"/>
          <w:numId w:val="22"/>
        </w:numPr>
        <w:snapToGrid w:val="0"/>
        <w:spacing w:line="360" w:lineRule="auto"/>
        <w:ind w:firstLine="480" w:firstLineChars="200"/>
        <w:rPr>
          <w:rFonts w:hint="eastAsia" w:ascii="仿宋_GB2312" w:hAnsi="仿宋" w:eastAsia="仿宋_GB2312" w:cs="宋体"/>
          <w:color w:val="000000"/>
          <w:kern w:val="0"/>
          <w:sz w:val="24"/>
        </w:rPr>
      </w:pPr>
      <w:r>
        <w:rPr>
          <w:rFonts w:ascii="Times New Roman" w:hAnsi="Times New Roman" w:eastAsia="仿宋_GB2312" w:cs="宋体"/>
          <w:color w:val="000000"/>
          <w:kern w:val="0"/>
          <w:sz w:val="24"/>
        </w:rPr>
        <w:t>1</w:t>
      </w:r>
      <w:r>
        <w:rPr>
          <w:rFonts w:hint="eastAsia" w:ascii="Times New Roman" w:hAnsi="Times New Roman" w:eastAsia="仿宋_GB2312" w:cs="宋体"/>
          <w:color w:val="000000"/>
          <w:kern w:val="0"/>
          <w:sz w:val="24"/>
        </w:rPr>
        <w:t>1</w:t>
      </w:r>
      <w:r>
        <w:rPr>
          <w:rFonts w:ascii="仿宋_GB2312" w:hAnsi="仿宋" w:eastAsia="仿宋_GB2312" w:cs="宋体"/>
          <w:color w:val="000000"/>
          <w:kern w:val="0"/>
          <w:sz w:val="24"/>
        </w:rPr>
        <w:t>:</w:t>
      </w:r>
      <w:r>
        <w:rPr>
          <w:rFonts w:hint="eastAsia" w:ascii="Times New Roman" w:hAnsi="Times New Roman" w:eastAsia="仿宋_GB2312" w:cs="宋体"/>
          <w:color w:val="000000"/>
          <w:kern w:val="0"/>
          <w:sz w:val="24"/>
        </w:rPr>
        <w:t>0</w:t>
      </w:r>
      <w:r>
        <w:rPr>
          <w:rFonts w:ascii="Times New Roman" w:hAnsi="Times New Roman" w:eastAsia="仿宋_GB2312" w:cs="宋体"/>
          <w:color w:val="000000"/>
          <w:kern w:val="0"/>
          <w:sz w:val="24"/>
        </w:rPr>
        <w:t>0</w:t>
      </w:r>
      <w:r>
        <w:rPr>
          <w:rFonts w:hint="eastAsia" w:ascii="仿宋_GB2312" w:hAnsi="仿宋" w:eastAsia="仿宋_GB2312" w:cs="宋体"/>
          <w:color w:val="000000"/>
          <w:kern w:val="0"/>
          <w:sz w:val="24"/>
        </w:rPr>
        <w:t>前，基金管理人向中登</w:t>
      </w:r>
      <w:r>
        <w:rPr>
          <w:rFonts w:hint="eastAsia" w:ascii="Times New Roman" w:hAnsi="Times New Roman" w:eastAsia="仿宋_GB2312" w:cs="宋体"/>
          <w:color w:val="000000"/>
          <w:kern w:val="0"/>
          <w:sz w:val="24"/>
        </w:rPr>
        <w:t>TA</w:t>
      </w:r>
      <w:r>
        <w:rPr>
          <w:rFonts w:hint="eastAsia" w:ascii="仿宋_GB2312" w:hAnsi="仿宋" w:eastAsia="仿宋_GB2312" w:cs="宋体"/>
          <w:color w:val="000000"/>
          <w:kern w:val="0"/>
          <w:sz w:val="24"/>
        </w:rPr>
        <w:t>系统发送公众投资者场内、外认购最终确认结果数据文件。</w:t>
      </w:r>
    </w:p>
    <w:p w14:paraId="3D6F0FFF">
      <w:pPr>
        <w:numPr>
          <w:ilvl w:val="0"/>
          <w:numId w:val="22"/>
        </w:numPr>
        <w:snapToGrid w:val="0"/>
        <w:spacing w:line="360" w:lineRule="auto"/>
        <w:ind w:firstLine="480" w:firstLineChars="200"/>
        <w:rPr>
          <w:rFonts w:hint="eastAsia" w:ascii="仿宋_GB2312" w:hAnsi="仿宋" w:eastAsia="仿宋_GB2312" w:cs="宋体"/>
          <w:color w:val="000000"/>
          <w:kern w:val="0"/>
          <w:sz w:val="24"/>
        </w:rPr>
      </w:pPr>
      <w:r>
        <w:rPr>
          <w:rFonts w:ascii="Times New Roman" w:hAnsi="Times New Roman" w:eastAsia="仿宋_GB2312" w:cs="宋体"/>
          <w:color w:val="000000"/>
          <w:kern w:val="0"/>
          <w:sz w:val="24"/>
        </w:rPr>
        <w:t>1</w:t>
      </w:r>
      <w:r>
        <w:rPr>
          <w:rFonts w:hint="eastAsia" w:ascii="Times New Roman" w:hAnsi="Times New Roman" w:eastAsia="仿宋_GB2312" w:cs="宋体"/>
          <w:color w:val="000000"/>
          <w:kern w:val="0"/>
          <w:sz w:val="24"/>
        </w:rPr>
        <w:t>5</w:t>
      </w:r>
      <w:r>
        <w:rPr>
          <w:rFonts w:ascii="仿宋_GB2312" w:hAnsi="仿宋" w:eastAsia="仿宋_GB2312" w:cs="宋体"/>
          <w:color w:val="000000"/>
          <w:kern w:val="0"/>
          <w:sz w:val="24"/>
        </w:rPr>
        <w:t>:</w:t>
      </w:r>
      <w:r>
        <w:rPr>
          <w:rFonts w:ascii="Times New Roman" w:hAnsi="Times New Roman" w:eastAsia="仿宋_GB2312" w:cs="宋体"/>
          <w:color w:val="000000"/>
          <w:kern w:val="0"/>
          <w:sz w:val="24"/>
        </w:rPr>
        <w:t>00</w:t>
      </w:r>
      <w:r>
        <w:rPr>
          <w:rFonts w:hint="eastAsia" w:ascii="仿宋_GB2312" w:hAnsi="仿宋" w:eastAsia="仿宋_GB2312" w:cs="宋体"/>
          <w:color w:val="000000"/>
          <w:kern w:val="0"/>
          <w:sz w:val="24"/>
        </w:rPr>
        <w:t>前，中登</w:t>
      </w:r>
      <w:r>
        <w:rPr>
          <w:rFonts w:hint="eastAsia" w:ascii="Times New Roman" w:hAnsi="Times New Roman" w:eastAsia="仿宋_GB2312" w:cs="宋体"/>
          <w:color w:val="000000"/>
          <w:kern w:val="0"/>
          <w:sz w:val="24"/>
        </w:rPr>
        <w:t>TA</w:t>
      </w:r>
      <w:r>
        <w:rPr>
          <w:rFonts w:hint="eastAsia" w:ascii="仿宋_GB2312" w:hAnsi="仿宋" w:eastAsia="仿宋_GB2312" w:cs="宋体"/>
          <w:color w:val="000000"/>
          <w:kern w:val="0"/>
          <w:sz w:val="24"/>
        </w:rPr>
        <w:t>系统根据基金管理人发送的认购结果完成通过场内、场外销售机构认购的份额登记，并上海结算发送场内份额记增指令。</w:t>
      </w:r>
    </w:p>
    <w:p w14:paraId="68C56FEB">
      <w:pPr>
        <w:numPr>
          <w:ilvl w:val="0"/>
          <w:numId w:val="22"/>
        </w:numPr>
        <w:snapToGrid w:val="0"/>
        <w:spacing w:line="360" w:lineRule="auto"/>
        <w:ind w:firstLine="480" w:firstLineChars="200"/>
        <w:rPr>
          <w:rFonts w:hint="eastAsia" w:ascii="仿宋_GB2312" w:hAnsi="仿宋" w:eastAsia="仿宋_GB2312" w:cs="宋体"/>
          <w:color w:val="000000"/>
          <w:kern w:val="0"/>
          <w:sz w:val="24"/>
        </w:rPr>
      </w:pPr>
      <w:r>
        <w:rPr>
          <w:rFonts w:hint="eastAsia" w:ascii="仿宋_GB2312" w:hAnsi="仿宋" w:eastAsia="仿宋_GB2312" w:cs="宋体"/>
          <w:color w:val="000000"/>
          <w:kern w:val="0"/>
          <w:sz w:val="24"/>
        </w:rPr>
        <w:t>如根据相关规则，触发份额回拨的，基金管理人应在募集期届满后约定期限内，通过</w:t>
      </w:r>
      <w:r>
        <w:rPr>
          <w:rFonts w:hint="eastAsia" w:ascii="Times New Roman" w:hAnsi="Times New Roman" w:eastAsia="仿宋_GB2312" w:cs="宋体"/>
          <w:color w:val="000000"/>
          <w:kern w:val="0"/>
          <w:sz w:val="24"/>
        </w:rPr>
        <w:t>REITs</w:t>
      </w:r>
      <w:r>
        <w:rPr>
          <w:rFonts w:hint="eastAsia" w:ascii="仿宋_GB2312" w:hAnsi="仿宋" w:eastAsia="仿宋_GB2312" w:cs="宋体"/>
          <w:color w:val="000000"/>
          <w:kern w:val="0"/>
          <w:sz w:val="24"/>
        </w:rPr>
        <w:t>业务管理系统平台菜单“信息披露-</w:t>
      </w:r>
      <w:r>
        <w:rPr>
          <w:rFonts w:hint="eastAsia" w:ascii="Times New Roman" w:hAnsi="Times New Roman" w:eastAsia="仿宋_GB2312" w:cs="宋体"/>
          <w:color w:val="000000"/>
          <w:kern w:val="0"/>
          <w:sz w:val="24"/>
        </w:rPr>
        <w:t>REITs</w:t>
      </w:r>
      <w:r>
        <w:rPr>
          <w:rFonts w:hint="eastAsia" w:ascii="仿宋_GB2312" w:hAnsi="仿宋" w:eastAsia="仿宋_GB2312" w:cs="宋体"/>
          <w:color w:val="000000"/>
          <w:kern w:val="0"/>
          <w:sz w:val="24"/>
        </w:rPr>
        <w:t>公告”，选取对应产品代码及公告类型，提交份额回拨公告，核对通过后次日网站披露。</w:t>
      </w:r>
    </w:p>
    <w:p w14:paraId="796372BE">
      <w:pPr>
        <w:numPr>
          <w:ilvl w:val="0"/>
          <w:numId w:val="22"/>
        </w:numPr>
        <w:snapToGrid w:val="0"/>
        <w:spacing w:line="360" w:lineRule="auto"/>
        <w:ind w:firstLine="480" w:firstLineChars="200"/>
        <w:rPr>
          <w:rFonts w:hint="eastAsia" w:ascii="仿宋_GB2312" w:hAnsi="仿宋" w:eastAsia="仿宋_GB2312" w:cs="宋体"/>
          <w:color w:val="000000"/>
          <w:kern w:val="0"/>
          <w:sz w:val="24"/>
        </w:rPr>
      </w:pPr>
      <w:r>
        <w:rPr>
          <w:rFonts w:hint="eastAsia" w:ascii="仿宋_GB2312" w:hAnsi="仿宋" w:eastAsia="仿宋_GB2312" w:cs="宋体"/>
          <w:color w:val="000000"/>
          <w:kern w:val="0"/>
          <w:sz w:val="24"/>
        </w:rPr>
        <w:t>上市前，基金管理人可选择开通/关闭场外份额转托管至场内业务，如需披露相关公告，通过</w:t>
      </w:r>
      <w:r>
        <w:rPr>
          <w:rFonts w:hint="eastAsia" w:ascii="Times New Roman" w:hAnsi="Times New Roman" w:eastAsia="仿宋_GB2312" w:cs="宋体"/>
          <w:color w:val="000000"/>
          <w:kern w:val="0"/>
          <w:sz w:val="24"/>
        </w:rPr>
        <w:t>REITs</w:t>
      </w:r>
      <w:r>
        <w:rPr>
          <w:rFonts w:hint="eastAsia" w:ascii="仿宋_GB2312" w:hAnsi="仿宋" w:eastAsia="仿宋_GB2312" w:cs="宋体"/>
          <w:color w:val="000000"/>
          <w:kern w:val="0"/>
          <w:sz w:val="24"/>
        </w:rPr>
        <w:t>业务管理系统平台菜单“信息披露-</w:t>
      </w:r>
      <w:r>
        <w:rPr>
          <w:rFonts w:hint="eastAsia" w:ascii="Times New Roman" w:hAnsi="Times New Roman" w:eastAsia="仿宋_GB2312" w:cs="宋体"/>
          <w:color w:val="000000"/>
          <w:kern w:val="0"/>
          <w:sz w:val="24"/>
        </w:rPr>
        <w:t>REITs</w:t>
      </w:r>
      <w:r>
        <w:rPr>
          <w:rFonts w:hint="eastAsia" w:ascii="仿宋_GB2312" w:hAnsi="仿宋" w:eastAsia="仿宋_GB2312" w:cs="宋体"/>
          <w:color w:val="000000"/>
          <w:kern w:val="0"/>
          <w:sz w:val="24"/>
        </w:rPr>
        <w:t>公告”，选取对应产品代码及公告类型，提交上市前开通转托管公告，本所审核通过后按公告日期于网站披露。</w:t>
      </w:r>
    </w:p>
    <w:p w14:paraId="7735E432">
      <w:pPr>
        <w:snapToGrid w:val="0"/>
        <w:spacing w:line="360" w:lineRule="auto"/>
        <w:ind w:left="900"/>
        <w:rPr>
          <w:rFonts w:hint="eastAsia" w:ascii="仿宋_GB2312" w:hAnsi="仿宋" w:eastAsia="仿宋_GB2312" w:cs="宋体"/>
          <w:color w:val="000000"/>
          <w:kern w:val="0"/>
          <w:sz w:val="24"/>
        </w:rPr>
      </w:pPr>
    </w:p>
    <w:p w14:paraId="6980580F">
      <w:pPr>
        <w:snapToGrid w:val="0"/>
        <w:spacing w:line="360" w:lineRule="auto"/>
        <w:ind w:left="420"/>
        <w:rPr>
          <w:rFonts w:hint="eastAsia" w:ascii="仿宋_GB2312" w:hAnsi="仿宋" w:eastAsia="仿宋_GB2312" w:cs="宋体"/>
          <w:color w:val="000000"/>
          <w:kern w:val="0"/>
          <w:sz w:val="24"/>
        </w:rPr>
      </w:pPr>
      <w:r>
        <w:rPr>
          <w:rFonts w:ascii="Times New Roman" w:hAnsi="Times New Roman" w:eastAsia="仿宋_GB2312" w:cs="宋体"/>
          <w:color w:val="000000"/>
          <w:kern w:val="0"/>
          <w:sz w:val="24"/>
        </w:rPr>
        <w:t>M</w:t>
      </w:r>
      <w:r>
        <w:rPr>
          <w:rFonts w:ascii="仿宋_GB2312" w:hAnsi="仿宋" w:eastAsia="仿宋_GB2312" w:cs="宋体"/>
          <w:color w:val="000000"/>
          <w:kern w:val="0"/>
          <w:sz w:val="24"/>
        </w:rPr>
        <w:t>+</w:t>
      </w:r>
      <w:r>
        <w:rPr>
          <w:rFonts w:ascii="Times New Roman" w:hAnsi="Times New Roman" w:eastAsia="仿宋_GB2312" w:cs="宋体"/>
          <w:color w:val="000000"/>
          <w:kern w:val="0"/>
          <w:sz w:val="24"/>
        </w:rPr>
        <w:t>f</w:t>
      </w:r>
      <w:r>
        <w:rPr>
          <w:rFonts w:hint="eastAsia" w:ascii="仿宋_GB2312" w:hAnsi="仿宋" w:eastAsia="仿宋_GB2312" w:cs="宋体"/>
          <w:color w:val="000000"/>
          <w:kern w:val="0"/>
          <w:sz w:val="24"/>
        </w:rPr>
        <w:t>+</w:t>
      </w:r>
      <w:r>
        <w:rPr>
          <w:rFonts w:hint="eastAsia" w:ascii="Times New Roman" w:hAnsi="Times New Roman" w:eastAsia="仿宋_GB2312" w:cs="宋体"/>
          <w:color w:val="000000"/>
          <w:kern w:val="0"/>
          <w:sz w:val="24"/>
        </w:rPr>
        <w:t>1</w:t>
      </w:r>
      <w:r>
        <w:rPr>
          <w:rFonts w:hint="eastAsia" w:ascii="仿宋_GB2312" w:hAnsi="仿宋" w:eastAsia="仿宋_GB2312" w:cs="宋体"/>
          <w:color w:val="000000"/>
          <w:kern w:val="0"/>
          <w:sz w:val="24"/>
        </w:rPr>
        <w:t>日</w:t>
      </w:r>
    </w:p>
    <w:p w14:paraId="7BBF2810">
      <w:pPr>
        <w:numPr>
          <w:ilvl w:val="0"/>
          <w:numId w:val="22"/>
        </w:numPr>
        <w:snapToGrid w:val="0"/>
        <w:spacing w:line="360" w:lineRule="auto"/>
        <w:ind w:firstLine="480" w:firstLineChars="200"/>
        <w:rPr>
          <w:rFonts w:hint="eastAsia" w:ascii="仿宋_GB2312" w:hAnsi="仿宋" w:eastAsia="仿宋_GB2312" w:cs="宋体"/>
          <w:color w:val="000000"/>
          <w:kern w:val="0"/>
          <w:sz w:val="24"/>
        </w:rPr>
      </w:pPr>
      <w:r>
        <w:rPr>
          <w:rFonts w:hint="eastAsia" w:ascii="仿宋_GB2312" w:hAnsi="仿宋" w:eastAsia="仿宋_GB2312" w:cs="宋体"/>
          <w:color w:val="000000"/>
          <w:kern w:val="0"/>
          <w:sz w:val="24"/>
        </w:rPr>
        <w:t>完成公众投资者认购申请未确认部分的退款或退息。</w:t>
      </w:r>
    </w:p>
    <w:p w14:paraId="6F70EE3D">
      <w:pPr>
        <w:snapToGrid w:val="0"/>
        <w:spacing w:line="360" w:lineRule="auto"/>
        <w:ind w:left="420"/>
        <w:rPr>
          <w:rFonts w:hint="eastAsia" w:ascii="仿宋_GB2312" w:hAnsi="仿宋" w:eastAsia="仿宋_GB2312" w:cs="宋体"/>
          <w:color w:val="000000"/>
          <w:kern w:val="0"/>
          <w:sz w:val="24"/>
        </w:rPr>
      </w:pPr>
    </w:p>
    <w:p w14:paraId="5A7080E3">
      <w:pPr>
        <w:snapToGrid w:val="0"/>
        <w:spacing w:line="360" w:lineRule="auto"/>
        <w:ind w:left="420"/>
        <w:rPr>
          <w:rFonts w:hint="eastAsia" w:ascii="仿宋_GB2312" w:hAnsi="仿宋" w:eastAsia="仿宋_GB2312" w:cs="宋体"/>
          <w:color w:val="000000"/>
          <w:kern w:val="0"/>
          <w:sz w:val="24"/>
        </w:rPr>
      </w:pPr>
      <w:r>
        <w:rPr>
          <w:rFonts w:hint="eastAsia" w:ascii="Times New Roman" w:hAnsi="Times New Roman" w:eastAsia="仿宋_GB2312" w:cs="宋体"/>
          <w:color w:val="000000"/>
          <w:kern w:val="0"/>
          <w:sz w:val="24"/>
        </w:rPr>
        <w:t>M</w:t>
      </w:r>
      <w:r>
        <w:rPr>
          <w:rFonts w:hint="eastAsia" w:ascii="仿宋_GB2312" w:hAnsi="仿宋" w:eastAsia="仿宋_GB2312" w:cs="宋体"/>
          <w:color w:val="000000"/>
          <w:kern w:val="0"/>
          <w:sz w:val="24"/>
        </w:rPr>
        <w:t>+</w:t>
      </w:r>
      <w:r>
        <w:rPr>
          <w:rFonts w:hint="eastAsia" w:ascii="Times New Roman" w:hAnsi="Times New Roman" w:eastAsia="仿宋_GB2312" w:cs="宋体"/>
          <w:color w:val="000000"/>
          <w:kern w:val="0"/>
          <w:sz w:val="24"/>
        </w:rPr>
        <w:t>f</w:t>
      </w:r>
      <w:r>
        <w:rPr>
          <w:rFonts w:hint="eastAsia" w:ascii="仿宋_GB2312" w:hAnsi="仿宋" w:eastAsia="仿宋_GB2312" w:cs="宋体"/>
          <w:color w:val="000000"/>
          <w:kern w:val="0"/>
          <w:sz w:val="24"/>
        </w:rPr>
        <w:t>+</w:t>
      </w:r>
      <w:r>
        <w:rPr>
          <w:rFonts w:hint="eastAsia" w:ascii="Times New Roman" w:hAnsi="Times New Roman" w:eastAsia="仿宋_GB2312" w:cs="宋体"/>
          <w:color w:val="000000"/>
          <w:kern w:val="0"/>
          <w:sz w:val="24"/>
        </w:rPr>
        <w:t>1</w:t>
      </w:r>
      <w:r>
        <w:rPr>
          <w:rFonts w:hint="eastAsia" w:ascii="仿宋_GB2312" w:hAnsi="仿宋" w:eastAsia="仿宋_GB2312" w:cs="宋体"/>
          <w:color w:val="000000"/>
          <w:kern w:val="0"/>
          <w:sz w:val="24"/>
        </w:rPr>
        <w:t>日至</w:t>
      </w:r>
      <w:r>
        <w:rPr>
          <w:rFonts w:hint="eastAsia" w:ascii="Times New Roman" w:hAnsi="Times New Roman" w:eastAsia="仿宋_GB2312" w:cs="宋体"/>
          <w:color w:val="000000"/>
          <w:kern w:val="0"/>
          <w:sz w:val="24"/>
        </w:rPr>
        <w:t>M</w:t>
      </w:r>
      <w:r>
        <w:rPr>
          <w:rFonts w:hint="eastAsia" w:ascii="仿宋_GB2312" w:hAnsi="仿宋" w:eastAsia="仿宋_GB2312" w:cs="宋体"/>
          <w:color w:val="000000"/>
          <w:kern w:val="0"/>
          <w:sz w:val="24"/>
        </w:rPr>
        <w:t>+</w:t>
      </w:r>
      <w:r>
        <w:rPr>
          <w:rFonts w:hint="eastAsia" w:ascii="Times New Roman" w:hAnsi="Times New Roman" w:eastAsia="仿宋_GB2312" w:cs="宋体"/>
          <w:color w:val="000000"/>
          <w:kern w:val="0"/>
          <w:sz w:val="24"/>
        </w:rPr>
        <w:t>f</w:t>
      </w:r>
      <w:r>
        <w:rPr>
          <w:rFonts w:hint="eastAsia" w:ascii="仿宋_GB2312" w:hAnsi="仿宋" w:eastAsia="仿宋_GB2312" w:cs="宋体"/>
          <w:color w:val="000000"/>
          <w:kern w:val="0"/>
          <w:sz w:val="24"/>
        </w:rPr>
        <w:t>+</w:t>
      </w:r>
      <w:r>
        <w:rPr>
          <w:rFonts w:hint="eastAsia" w:ascii="Times New Roman" w:hAnsi="Times New Roman" w:eastAsia="仿宋_GB2312" w:cs="宋体"/>
          <w:color w:val="000000"/>
          <w:kern w:val="0"/>
          <w:sz w:val="24"/>
        </w:rPr>
        <w:t>n</w:t>
      </w:r>
      <w:r>
        <w:rPr>
          <w:rFonts w:hint="eastAsia" w:ascii="仿宋_GB2312" w:hAnsi="仿宋" w:eastAsia="仿宋_GB2312" w:cs="宋体"/>
          <w:color w:val="000000"/>
          <w:kern w:val="0"/>
          <w:sz w:val="24"/>
        </w:rPr>
        <w:t>日（</w:t>
      </w:r>
      <w:r>
        <w:rPr>
          <w:rFonts w:hint="eastAsia" w:ascii="Times New Roman" w:hAnsi="Times New Roman" w:eastAsia="仿宋_GB2312" w:cs="宋体"/>
          <w:color w:val="000000"/>
          <w:kern w:val="0"/>
          <w:sz w:val="24"/>
        </w:rPr>
        <w:t>n</w:t>
      </w:r>
      <w:r>
        <w:rPr>
          <w:rFonts w:hint="eastAsia" w:ascii="仿宋_GB2312" w:hAnsi="仿宋" w:eastAsia="仿宋_GB2312" w:cs="宋体"/>
          <w:color w:val="000000"/>
          <w:kern w:val="0"/>
          <w:sz w:val="24"/>
        </w:rPr>
        <w:t>≥</w:t>
      </w:r>
      <w:r>
        <w:rPr>
          <w:rFonts w:hint="eastAsia" w:ascii="Times New Roman" w:hAnsi="Times New Roman" w:eastAsia="仿宋_GB2312" w:cs="宋体"/>
          <w:color w:val="000000"/>
          <w:kern w:val="0"/>
          <w:sz w:val="24"/>
        </w:rPr>
        <w:t>2</w:t>
      </w:r>
      <w:r>
        <w:rPr>
          <w:rFonts w:hint="eastAsia" w:ascii="仿宋_GB2312" w:hAnsi="仿宋" w:eastAsia="仿宋_GB2312" w:cs="宋体"/>
          <w:color w:val="000000"/>
          <w:kern w:val="0"/>
          <w:sz w:val="24"/>
        </w:rPr>
        <w:t>）</w:t>
      </w:r>
    </w:p>
    <w:p w14:paraId="290D5F81">
      <w:pPr>
        <w:numPr>
          <w:ilvl w:val="0"/>
          <w:numId w:val="22"/>
        </w:numPr>
        <w:snapToGrid w:val="0"/>
        <w:spacing w:line="360" w:lineRule="auto"/>
        <w:ind w:firstLine="480" w:firstLineChars="200"/>
        <w:rPr>
          <w:rFonts w:hint="eastAsia" w:ascii="仿宋_GB2312" w:hAnsi="仿宋" w:eastAsia="仿宋_GB2312" w:cs="宋体"/>
          <w:color w:val="000000"/>
          <w:kern w:val="0"/>
          <w:sz w:val="24"/>
        </w:rPr>
      </w:pPr>
      <w:r>
        <w:rPr>
          <w:rFonts w:hint="eastAsia" w:ascii="仿宋_GB2312" w:hAnsi="仿宋" w:eastAsia="仿宋_GB2312" w:cs="宋体"/>
          <w:color w:val="000000"/>
          <w:kern w:val="0"/>
          <w:sz w:val="24"/>
        </w:rPr>
        <w:t>每个强增申请日，基金管理人通过</w:t>
      </w:r>
      <w:r>
        <w:rPr>
          <w:rFonts w:hint="eastAsia" w:ascii="Times New Roman" w:hAnsi="Times New Roman" w:eastAsia="仿宋_GB2312" w:cs="宋体"/>
          <w:color w:val="000000"/>
          <w:kern w:val="0"/>
          <w:sz w:val="24"/>
        </w:rPr>
        <w:t>83</w:t>
      </w:r>
      <w:r>
        <w:rPr>
          <w:rFonts w:hint="eastAsia" w:ascii="仿宋_GB2312" w:hAnsi="仿宋" w:eastAsia="仿宋_GB2312" w:cs="宋体"/>
          <w:color w:val="000000"/>
          <w:kern w:val="0"/>
          <w:sz w:val="24"/>
        </w:rPr>
        <w:t>文件向中登</w:t>
      </w:r>
      <w:r>
        <w:rPr>
          <w:rFonts w:hint="eastAsia" w:ascii="Times New Roman" w:hAnsi="Times New Roman" w:eastAsia="仿宋_GB2312" w:cs="宋体"/>
          <w:color w:val="000000"/>
          <w:kern w:val="0"/>
          <w:sz w:val="24"/>
        </w:rPr>
        <w:t>TA</w:t>
      </w:r>
      <w:r>
        <w:rPr>
          <w:rFonts w:hint="eastAsia" w:ascii="仿宋_GB2312" w:hAnsi="仿宋" w:eastAsia="仿宋_GB2312" w:cs="宋体"/>
          <w:color w:val="000000"/>
          <w:kern w:val="0"/>
          <w:sz w:val="24"/>
        </w:rPr>
        <w:t>系统申请强增份额（仅涉及战略投资者和网下投资者）。</w:t>
      </w:r>
    </w:p>
    <w:p w14:paraId="0115A5F1">
      <w:pPr>
        <w:numPr>
          <w:ilvl w:val="0"/>
          <w:numId w:val="22"/>
        </w:numPr>
        <w:snapToGrid w:val="0"/>
        <w:spacing w:line="360" w:lineRule="auto"/>
        <w:ind w:firstLine="480" w:firstLineChars="200"/>
        <w:rPr>
          <w:rFonts w:hint="eastAsia" w:ascii="仿宋_GB2312" w:hAnsi="仿宋" w:eastAsia="仿宋_GB2312" w:cs="宋体"/>
          <w:color w:val="000000"/>
          <w:kern w:val="0"/>
          <w:sz w:val="24"/>
        </w:rPr>
      </w:pPr>
      <w:r>
        <w:rPr>
          <w:rFonts w:hint="eastAsia" w:ascii="仿宋_GB2312" w:hAnsi="仿宋" w:eastAsia="仿宋_GB2312" w:cs="宋体"/>
          <w:color w:val="000000"/>
          <w:kern w:val="0"/>
          <w:sz w:val="24"/>
        </w:rPr>
        <w:t>强增申请日的次日</w:t>
      </w:r>
      <w:r>
        <w:rPr>
          <w:rFonts w:hint="eastAsia" w:ascii="Times New Roman" w:hAnsi="Times New Roman" w:eastAsia="仿宋_GB2312" w:cs="宋体"/>
          <w:color w:val="000000"/>
          <w:kern w:val="0"/>
          <w:sz w:val="24"/>
        </w:rPr>
        <w:t>15</w:t>
      </w:r>
      <w:r>
        <w:rPr>
          <w:rFonts w:hint="eastAsia" w:ascii="仿宋_GB2312" w:hAnsi="仿宋" w:eastAsia="仿宋_GB2312" w:cs="宋体"/>
          <w:color w:val="000000"/>
          <w:kern w:val="0"/>
          <w:sz w:val="24"/>
        </w:rPr>
        <w:t>:</w:t>
      </w:r>
      <w:r>
        <w:rPr>
          <w:rFonts w:hint="eastAsia" w:ascii="Times New Roman" w:hAnsi="Times New Roman" w:eastAsia="仿宋_GB2312" w:cs="宋体"/>
          <w:color w:val="000000"/>
          <w:kern w:val="0"/>
          <w:sz w:val="24"/>
        </w:rPr>
        <w:t>00</w:t>
      </w:r>
      <w:r>
        <w:rPr>
          <w:rFonts w:hint="eastAsia" w:ascii="仿宋_GB2312" w:hAnsi="仿宋" w:eastAsia="仿宋_GB2312" w:cs="宋体"/>
          <w:color w:val="000000"/>
          <w:kern w:val="0"/>
          <w:sz w:val="24"/>
        </w:rPr>
        <w:t>前，中登</w:t>
      </w:r>
      <w:r>
        <w:rPr>
          <w:rFonts w:ascii="Times New Roman" w:hAnsi="Times New Roman" w:eastAsia="仿宋_GB2312" w:cs="宋体"/>
          <w:color w:val="000000"/>
          <w:kern w:val="0"/>
          <w:sz w:val="24"/>
        </w:rPr>
        <w:t>TA</w:t>
      </w:r>
      <w:r>
        <w:rPr>
          <w:rFonts w:ascii="仿宋_GB2312" w:hAnsi="仿宋" w:eastAsia="仿宋_GB2312" w:cs="宋体"/>
          <w:color w:val="000000"/>
          <w:kern w:val="0"/>
          <w:sz w:val="24"/>
        </w:rPr>
        <w:t>系统</w:t>
      </w:r>
      <w:r>
        <w:rPr>
          <w:rFonts w:hint="eastAsia" w:ascii="仿宋_GB2312" w:hAnsi="仿宋" w:eastAsia="仿宋_GB2312" w:cs="宋体"/>
          <w:color w:val="000000"/>
          <w:kern w:val="0"/>
          <w:sz w:val="24"/>
        </w:rPr>
        <w:t>向上海结算发送场内强增份额数据记增指令。如强增有失败情况，则次日继续强增申请过程，直至全部强增完成。</w:t>
      </w:r>
    </w:p>
    <w:p w14:paraId="368BCC5E">
      <w:pPr>
        <w:snapToGrid w:val="0"/>
        <w:spacing w:line="360" w:lineRule="auto"/>
        <w:ind w:left="420"/>
        <w:rPr>
          <w:rFonts w:hint="eastAsia" w:ascii="仿宋_GB2312" w:hAnsi="仿宋" w:eastAsia="仿宋_GB2312" w:cs="宋体"/>
          <w:color w:val="000000"/>
          <w:kern w:val="0"/>
          <w:sz w:val="24"/>
        </w:rPr>
      </w:pPr>
    </w:p>
    <w:p w14:paraId="2C2C065F">
      <w:pPr>
        <w:snapToGrid w:val="0"/>
        <w:spacing w:line="360" w:lineRule="auto"/>
        <w:ind w:left="420"/>
        <w:rPr>
          <w:rFonts w:hint="eastAsia" w:ascii="仿宋_GB2312" w:hAnsi="仿宋" w:eastAsia="仿宋_GB2312" w:cs="宋体"/>
          <w:color w:val="000000"/>
          <w:kern w:val="0"/>
          <w:sz w:val="24"/>
        </w:rPr>
      </w:pPr>
      <w:r>
        <w:rPr>
          <w:rFonts w:hint="eastAsia" w:ascii="Times New Roman" w:hAnsi="Times New Roman" w:eastAsia="仿宋_GB2312" w:cs="宋体"/>
          <w:color w:val="000000"/>
          <w:kern w:val="0"/>
          <w:sz w:val="24"/>
        </w:rPr>
        <w:t>M</w:t>
      </w:r>
      <w:r>
        <w:rPr>
          <w:rFonts w:hint="eastAsia" w:ascii="仿宋_GB2312" w:hAnsi="仿宋" w:eastAsia="仿宋_GB2312" w:cs="宋体"/>
          <w:color w:val="000000"/>
          <w:kern w:val="0"/>
          <w:sz w:val="24"/>
        </w:rPr>
        <w:t>+</w:t>
      </w:r>
      <w:r>
        <w:rPr>
          <w:rFonts w:hint="eastAsia" w:ascii="Times New Roman" w:hAnsi="Times New Roman" w:eastAsia="仿宋_GB2312" w:cs="宋体"/>
          <w:color w:val="000000"/>
          <w:kern w:val="0"/>
          <w:sz w:val="24"/>
        </w:rPr>
        <w:t>f</w:t>
      </w:r>
      <w:r>
        <w:rPr>
          <w:rFonts w:hint="eastAsia" w:ascii="仿宋_GB2312" w:hAnsi="仿宋" w:eastAsia="仿宋_GB2312" w:cs="宋体"/>
          <w:color w:val="000000"/>
          <w:kern w:val="0"/>
          <w:sz w:val="24"/>
        </w:rPr>
        <w:t>+</w:t>
      </w:r>
      <w:r>
        <w:rPr>
          <w:rFonts w:hint="eastAsia" w:ascii="Times New Roman" w:hAnsi="Times New Roman" w:eastAsia="仿宋_GB2312" w:cs="宋体"/>
          <w:color w:val="000000"/>
          <w:kern w:val="0"/>
          <w:sz w:val="24"/>
        </w:rPr>
        <w:t>n</w:t>
      </w:r>
      <w:r>
        <w:rPr>
          <w:rFonts w:hint="eastAsia" w:ascii="仿宋_GB2312" w:hAnsi="仿宋" w:eastAsia="仿宋_GB2312" w:cs="宋体"/>
          <w:color w:val="000000"/>
          <w:kern w:val="0"/>
          <w:sz w:val="24"/>
        </w:rPr>
        <w:t>日</w:t>
      </w:r>
    </w:p>
    <w:p w14:paraId="2FFD2FBF">
      <w:pPr>
        <w:numPr>
          <w:ilvl w:val="0"/>
          <w:numId w:val="22"/>
        </w:numPr>
        <w:snapToGrid w:val="0"/>
        <w:spacing w:line="360" w:lineRule="auto"/>
        <w:ind w:firstLine="480" w:firstLineChars="200"/>
        <w:rPr>
          <w:rFonts w:hint="eastAsia" w:ascii="仿宋_GB2312" w:hAnsi="仿宋" w:eastAsia="仿宋_GB2312" w:cs="宋体"/>
          <w:color w:val="000000"/>
          <w:kern w:val="0"/>
          <w:sz w:val="24"/>
        </w:rPr>
      </w:pPr>
      <w:r>
        <w:rPr>
          <w:rFonts w:hint="eastAsia" w:ascii="Times New Roman" w:hAnsi="Times New Roman" w:eastAsia="仿宋_GB2312" w:cs="宋体"/>
          <w:color w:val="000000"/>
          <w:kern w:val="0"/>
          <w:sz w:val="24"/>
        </w:rPr>
        <w:t>15</w:t>
      </w:r>
      <w:r>
        <w:rPr>
          <w:rFonts w:hint="eastAsia" w:ascii="仿宋_GB2312" w:hAnsi="仿宋" w:eastAsia="仿宋_GB2312" w:cs="宋体"/>
          <w:color w:val="000000"/>
          <w:kern w:val="0"/>
          <w:sz w:val="24"/>
        </w:rPr>
        <w:t>:</w:t>
      </w:r>
      <w:r>
        <w:rPr>
          <w:rFonts w:hint="eastAsia" w:ascii="Times New Roman" w:hAnsi="Times New Roman" w:eastAsia="仿宋_GB2312" w:cs="宋体"/>
          <w:color w:val="000000"/>
          <w:kern w:val="0"/>
          <w:sz w:val="24"/>
        </w:rPr>
        <w:t>00</w:t>
      </w:r>
      <w:r>
        <w:rPr>
          <w:rFonts w:hint="eastAsia" w:ascii="仿宋_GB2312" w:hAnsi="仿宋" w:eastAsia="仿宋_GB2312" w:cs="宋体"/>
          <w:color w:val="000000"/>
          <w:kern w:val="0"/>
          <w:sz w:val="24"/>
        </w:rPr>
        <w:t>前，基金管理人在中登</w:t>
      </w:r>
      <w:r>
        <w:rPr>
          <w:rFonts w:ascii="Times New Roman" w:hAnsi="Times New Roman" w:eastAsia="仿宋_GB2312" w:cs="宋体"/>
          <w:color w:val="000000"/>
          <w:kern w:val="0"/>
          <w:sz w:val="24"/>
        </w:rPr>
        <w:t>TA</w:t>
      </w:r>
      <w:r>
        <w:rPr>
          <w:rFonts w:ascii="仿宋_GB2312" w:hAnsi="仿宋" w:eastAsia="仿宋_GB2312" w:cs="宋体"/>
          <w:color w:val="000000"/>
          <w:kern w:val="0"/>
          <w:sz w:val="24"/>
        </w:rPr>
        <w:t>系统</w:t>
      </w:r>
      <w:r>
        <w:rPr>
          <w:rFonts w:hint="eastAsia" w:ascii="仿宋_GB2312" w:hAnsi="仿宋" w:eastAsia="仿宋_GB2312" w:cs="宋体"/>
          <w:color w:val="000000"/>
          <w:kern w:val="0"/>
          <w:sz w:val="24"/>
        </w:rPr>
        <w:t>参数管理平台设置不允许场内份额强增业务的业务控制（不再打开）。</w:t>
      </w:r>
    </w:p>
    <w:p w14:paraId="1F1D85EF">
      <w:pPr>
        <w:numPr>
          <w:ilvl w:val="0"/>
          <w:numId w:val="22"/>
        </w:numPr>
        <w:snapToGrid w:val="0"/>
        <w:spacing w:line="360" w:lineRule="auto"/>
        <w:ind w:firstLine="480" w:firstLineChars="200"/>
        <w:rPr>
          <w:rFonts w:hint="eastAsia" w:ascii="仿宋_GB2312" w:hAnsi="仿宋" w:eastAsia="仿宋_GB2312" w:cs="宋体"/>
          <w:color w:val="000000"/>
          <w:kern w:val="0"/>
          <w:sz w:val="24"/>
        </w:rPr>
      </w:pPr>
      <w:r>
        <w:rPr>
          <w:rFonts w:hint="eastAsia" w:ascii="Times New Roman" w:hAnsi="Times New Roman" w:eastAsia="仿宋_GB2312" w:cs="宋体"/>
          <w:color w:val="000000"/>
          <w:kern w:val="0"/>
          <w:sz w:val="24"/>
        </w:rPr>
        <w:t>20</w:t>
      </w:r>
      <w:r>
        <w:rPr>
          <w:rFonts w:hint="eastAsia" w:ascii="仿宋_GB2312" w:hAnsi="仿宋" w:eastAsia="仿宋_GB2312" w:cs="宋体"/>
          <w:color w:val="000000"/>
          <w:kern w:val="0"/>
          <w:sz w:val="24"/>
        </w:rPr>
        <w:t>:</w:t>
      </w:r>
      <w:r>
        <w:rPr>
          <w:rFonts w:hint="eastAsia" w:ascii="Times New Roman" w:hAnsi="Times New Roman" w:eastAsia="仿宋_GB2312" w:cs="宋体"/>
          <w:color w:val="000000"/>
          <w:kern w:val="0"/>
          <w:sz w:val="24"/>
        </w:rPr>
        <w:t>00</w:t>
      </w:r>
      <w:r>
        <w:rPr>
          <w:rFonts w:hint="eastAsia" w:ascii="仿宋_GB2312" w:hAnsi="仿宋" w:eastAsia="仿宋_GB2312" w:cs="宋体"/>
          <w:color w:val="000000"/>
          <w:kern w:val="0"/>
          <w:sz w:val="24"/>
        </w:rPr>
        <w:t>前，发行人通过发行人系统上传</w:t>
      </w:r>
      <w:r>
        <w:rPr>
          <w:rFonts w:hint="eastAsia" w:ascii="仿宋_GB2312" w:eastAsia="仿宋_GB2312"/>
          <w:sz w:val="24"/>
          <w:szCs w:val="24"/>
        </w:rPr>
        <w:t>《配售结果上传文件》</w:t>
      </w:r>
      <w:r>
        <w:rPr>
          <w:rFonts w:hint="eastAsia"/>
          <w:szCs w:val="21"/>
        </w:rPr>
        <w:t>。</w:t>
      </w:r>
    </w:p>
    <w:p w14:paraId="4AA7E99B">
      <w:pPr>
        <w:numPr>
          <w:ilvl w:val="0"/>
          <w:numId w:val="22"/>
        </w:numPr>
        <w:snapToGrid w:val="0"/>
        <w:spacing w:line="360" w:lineRule="auto"/>
        <w:ind w:firstLine="480" w:firstLineChars="200"/>
        <w:rPr>
          <w:rFonts w:hint="eastAsia" w:ascii="仿宋_GB2312" w:hAnsi="仿宋" w:eastAsia="仿宋_GB2312" w:cs="宋体"/>
          <w:color w:val="000000"/>
          <w:kern w:val="0"/>
          <w:sz w:val="24"/>
        </w:rPr>
      </w:pPr>
      <w:r>
        <w:rPr>
          <w:rFonts w:hint="eastAsia" w:ascii="Times New Roman" w:hAnsi="Times New Roman" w:eastAsia="仿宋_GB2312" w:cs="宋体"/>
          <w:color w:val="000000"/>
          <w:kern w:val="0"/>
          <w:sz w:val="24"/>
        </w:rPr>
        <w:t>20</w:t>
      </w:r>
      <w:r>
        <w:rPr>
          <w:rFonts w:hint="eastAsia" w:ascii="仿宋_GB2312" w:hAnsi="仿宋" w:eastAsia="仿宋_GB2312" w:cs="宋体"/>
          <w:color w:val="000000"/>
          <w:kern w:val="0"/>
          <w:sz w:val="24"/>
        </w:rPr>
        <w:t>:</w:t>
      </w:r>
      <w:r>
        <w:rPr>
          <w:rFonts w:hint="eastAsia" w:ascii="Times New Roman" w:hAnsi="Times New Roman" w:eastAsia="仿宋_GB2312" w:cs="宋体"/>
          <w:color w:val="000000"/>
          <w:kern w:val="0"/>
          <w:sz w:val="24"/>
        </w:rPr>
        <w:t>00</w:t>
      </w:r>
      <w:r>
        <w:rPr>
          <w:rFonts w:hint="eastAsia" w:ascii="仿宋_GB2312" w:hAnsi="仿宋" w:eastAsia="仿宋_GB2312" w:cs="宋体"/>
          <w:color w:val="000000"/>
          <w:kern w:val="0"/>
          <w:sz w:val="24"/>
        </w:rPr>
        <w:t>后，询价平台保存</w:t>
      </w:r>
      <w:r>
        <w:rPr>
          <w:rFonts w:hint="eastAsia" w:ascii="仿宋_GB2312" w:eastAsia="仿宋_GB2312"/>
          <w:sz w:val="24"/>
          <w:szCs w:val="24"/>
        </w:rPr>
        <w:t>《配售结果上传文件》</w:t>
      </w:r>
      <w:r>
        <w:rPr>
          <w:rFonts w:hint="eastAsia" w:ascii="仿宋_GB2312" w:hAnsi="仿宋" w:eastAsia="仿宋_GB2312" w:cs="宋体"/>
          <w:color w:val="000000"/>
          <w:kern w:val="0"/>
          <w:sz w:val="24"/>
        </w:rPr>
        <w:t>，网下投资者可登录投资者系统查询其认购获配结果。</w:t>
      </w:r>
    </w:p>
    <w:p w14:paraId="26B9B999">
      <w:pPr>
        <w:snapToGrid w:val="0"/>
        <w:spacing w:line="360" w:lineRule="auto"/>
        <w:ind w:left="420"/>
        <w:rPr>
          <w:rFonts w:hint="eastAsia" w:ascii="仿宋_GB2312" w:hAnsi="仿宋" w:eastAsia="仿宋_GB2312" w:cs="宋体"/>
          <w:color w:val="000000"/>
          <w:kern w:val="0"/>
          <w:sz w:val="24"/>
        </w:rPr>
      </w:pPr>
    </w:p>
    <w:p w14:paraId="3E11F7B3">
      <w:pPr>
        <w:snapToGrid w:val="0"/>
        <w:spacing w:line="360" w:lineRule="auto"/>
        <w:ind w:left="420"/>
        <w:rPr>
          <w:rFonts w:hint="eastAsia" w:ascii="仿宋_GB2312" w:hAnsi="仿宋" w:eastAsia="仿宋_GB2312" w:cs="宋体"/>
          <w:color w:val="000000"/>
          <w:kern w:val="0"/>
          <w:sz w:val="24"/>
        </w:rPr>
      </w:pPr>
      <w:r>
        <w:rPr>
          <w:rFonts w:hint="eastAsia" w:ascii="Times New Roman" w:hAnsi="Times New Roman" w:eastAsia="仿宋_GB2312" w:cs="宋体"/>
          <w:color w:val="000000"/>
          <w:kern w:val="0"/>
          <w:sz w:val="24"/>
        </w:rPr>
        <w:t>M</w:t>
      </w:r>
      <w:r>
        <w:rPr>
          <w:rFonts w:hint="eastAsia" w:ascii="仿宋_GB2312" w:hAnsi="仿宋" w:eastAsia="仿宋_GB2312" w:cs="宋体"/>
          <w:color w:val="000000"/>
          <w:kern w:val="0"/>
          <w:sz w:val="24"/>
        </w:rPr>
        <w:t>+</w:t>
      </w:r>
      <w:r>
        <w:rPr>
          <w:rFonts w:hint="eastAsia" w:ascii="Times New Roman" w:hAnsi="Times New Roman" w:eastAsia="仿宋_GB2312" w:cs="宋体"/>
          <w:color w:val="000000"/>
          <w:kern w:val="0"/>
          <w:sz w:val="24"/>
        </w:rPr>
        <w:t>f</w:t>
      </w:r>
      <w:r>
        <w:rPr>
          <w:rFonts w:hint="eastAsia" w:ascii="仿宋_GB2312" w:hAnsi="仿宋" w:eastAsia="仿宋_GB2312" w:cs="宋体"/>
          <w:color w:val="000000"/>
          <w:kern w:val="0"/>
          <w:sz w:val="24"/>
        </w:rPr>
        <w:t>+</w:t>
      </w:r>
      <w:r>
        <w:rPr>
          <w:rFonts w:hint="eastAsia" w:ascii="Times New Roman" w:hAnsi="Times New Roman" w:eastAsia="仿宋_GB2312" w:cs="宋体"/>
          <w:color w:val="000000"/>
          <w:kern w:val="0"/>
          <w:sz w:val="24"/>
        </w:rPr>
        <w:t>n</w:t>
      </w:r>
      <w:r>
        <w:rPr>
          <w:rFonts w:hint="eastAsia" w:ascii="仿宋_GB2312" w:hAnsi="仿宋" w:eastAsia="仿宋_GB2312" w:cs="宋体"/>
          <w:color w:val="000000"/>
          <w:kern w:val="0"/>
          <w:sz w:val="24"/>
        </w:rPr>
        <w:t>日（含）后</w:t>
      </w:r>
    </w:p>
    <w:p w14:paraId="5258750E">
      <w:pPr>
        <w:numPr>
          <w:ilvl w:val="0"/>
          <w:numId w:val="22"/>
        </w:numPr>
        <w:snapToGrid w:val="0"/>
        <w:spacing w:line="360" w:lineRule="auto"/>
        <w:ind w:firstLine="480" w:firstLineChars="200"/>
        <w:rPr>
          <w:rFonts w:hint="eastAsia" w:ascii="仿宋_GB2312" w:hAnsi="仿宋" w:eastAsia="仿宋_GB2312" w:cs="宋体"/>
          <w:color w:val="000000"/>
          <w:kern w:val="0"/>
          <w:sz w:val="24"/>
        </w:rPr>
      </w:pPr>
      <w:r>
        <w:rPr>
          <w:rFonts w:hint="eastAsia" w:ascii="仿宋_GB2312" w:hAnsi="仿宋" w:eastAsia="仿宋_GB2312" w:cs="宋体"/>
          <w:color w:val="000000"/>
          <w:kern w:val="0"/>
          <w:sz w:val="24"/>
        </w:rPr>
        <w:t>基金管理人完成网下投资者和战略配售投资者认购申请未确认部分的退款。</w:t>
      </w:r>
    </w:p>
    <w:p w14:paraId="268F6A90">
      <w:pPr>
        <w:pStyle w:val="30"/>
        <w:ind w:left="6" w:firstLine="0" w:firstLineChars="0"/>
        <w:rPr>
          <w:rFonts w:hint="eastAsia" w:ascii="宋体" w:hAnsi="宋体"/>
          <w:sz w:val="28"/>
          <w:szCs w:val="28"/>
        </w:rPr>
      </w:pPr>
    </w:p>
    <w:p w14:paraId="66F7CCEF">
      <w:pPr>
        <w:pStyle w:val="30"/>
        <w:numPr>
          <w:ilvl w:val="0"/>
          <w:numId w:val="1"/>
        </w:numPr>
        <w:ind w:left="0" w:firstLine="6" w:firstLineChars="0"/>
        <w:outlineLvl w:val="1"/>
        <w:rPr>
          <w:rFonts w:hint="eastAsia" w:ascii="黑体" w:hAnsi="黑体" w:eastAsia="黑体"/>
          <w:b/>
          <w:sz w:val="30"/>
          <w:szCs w:val="30"/>
        </w:rPr>
      </w:pPr>
      <w:bookmarkStart w:id="425" w:name="_Toc28270"/>
      <w:bookmarkStart w:id="426" w:name="_Toc14100"/>
      <w:bookmarkStart w:id="427" w:name="_Toc1461083539"/>
      <w:bookmarkStart w:id="428" w:name="_Toc353157656"/>
      <w:bookmarkStart w:id="429" w:name="_Toc13303"/>
      <w:bookmarkStart w:id="430" w:name="_Toc25423"/>
      <w:bookmarkStart w:id="431" w:name="_Toc843889502"/>
      <w:bookmarkStart w:id="432" w:name="_Toc15297"/>
      <w:bookmarkStart w:id="433" w:name="_Toc23779"/>
      <w:bookmarkStart w:id="434" w:name="_Toc1071761872"/>
      <w:bookmarkStart w:id="435" w:name="_Toc16945"/>
      <w:bookmarkStart w:id="436" w:name="_Toc836268185"/>
      <w:bookmarkStart w:id="437" w:name="_Toc25997"/>
      <w:bookmarkStart w:id="438" w:name="_Toc65181425"/>
      <w:bookmarkStart w:id="439" w:name="_Toc13317"/>
      <w:bookmarkStart w:id="440" w:name="_Toc1130"/>
      <w:bookmarkStart w:id="441" w:name="_Toc8317"/>
      <w:bookmarkStart w:id="442" w:name="_Toc6486"/>
      <w:bookmarkStart w:id="443" w:name="_Toc1542112687"/>
      <w:bookmarkStart w:id="444" w:name="_Toc20263"/>
      <w:bookmarkStart w:id="445" w:name="_Toc19602"/>
      <w:bookmarkStart w:id="446" w:name="_Toc27058"/>
      <w:bookmarkStart w:id="447" w:name="_Toc70604221"/>
      <w:bookmarkStart w:id="448" w:name="_Toc1569703531"/>
      <w:bookmarkStart w:id="449" w:name="_Toc22205"/>
      <w:r>
        <w:rPr>
          <w:rFonts w:hint="eastAsia" w:ascii="黑体" w:hAnsi="黑体" w:eastAsia="黑体"/>
          <w:b/>
          <w:sz w:val="30"/>
          <w:szCs w:val="30"/>
        </w:rPr>
        <w:t>基金</w:t>
      </w:r>
      <w:bookmarkEnd w:id="425"/>
      <w:r>
        <w:rPr>
          <w:rFonts w:hint="eastAsia" w:ascii="黑体" w:hAnsi="黑体" w:eastAsia="黑体"/>
          <w:b/>
          <w:sz w:val="30"/>
          <w:szCs w:val="30"/>
        </w:rPr>
        <w:t>成立</w:t>
      </w:r>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r>
        <w:rPr>
          <w:rFonts w:hint="eastAsia" w:ascii="黑体" w:hAnsi="黑体" w:eastAsia="黑体"/>
          <w:b/>
          <w:sz w:val="30"/>
          <w:szCs w:val="30"/>
        </w:rPr>
        <w:tab/>
      </w:r>
    </w:p>
    <w:p w14:paraId="4B7DD69F">
      <w:pPr>
        <w:pStyle w:val="30"/>
        <w:numPr>
          <w:ilvl w:val="0"/>
          <w:numId w:val="45"/>
        </w:numPr>
        <w:ind w:firstLineChars="0"/>
        <w:outlineLvl w:val="2"/>
        <w:rPr>
          <w:rFonts w:hint="eastAsia" w:ascii="仿宋_GB2312" w:hAnsi="宋体" w:eastAsia="仿宋_GB2312"/>
          <w:b/>
          <w:sz w:val="28"/>
          <w:szCs w:val="28"/>
        </w:rPr>
      </w:pPr>
      <w:bookmarkStart w:id="450" w:name="_Toc1227848753"/>
      <w:bookmarkStart w:id="451" w:name="_Toc3036"/>
      <w:bookmarkStart w:id="452" w:name="_Toc20292"/>
      <w:bookmarkStart w:id="453" w:name="_Toc1882779518"/>
      <w:bookmarkStart w:id="454" w:name="_Toc3149"/>
      <w:bookmarkStart w:id="455" w:name="_Toc32634"/>
      <w:bookmarkStart w:id="456" w:name="_Toc11631"/>
      <w:bookmarkStart w:id="457" w:name="_Toc560101528"/>
      <w:bookmarkStart w:id="458" w:name="_Toc887952009"/>
      <w:bookmarkStart w:id="459" w:name="_Toc27753"/>
      <w:bookmarkStart w:id="460" w:name="_Toc20069"/>
      <w:bookmarkStart w:id="461" w:name="_Toc21514"/>
      <w:bookmarkStart w:id="462" w:name="_Toc527772583"/>
      <w:bookmarkStart w:id="463" w:name="_Toc18780"/>
      <w:bookmarkStart w:id="464" w:name="_Toc28537"/>
      <w:bookmarkStart w:id="465" w:name="_Toc404488204"/>
      <w:bookmarkStart w:id="466" w:name="_Toc70604222"/>
      <w:bookmarkStart w:id="467" w:name="_Toc23750"/>
      <w:bookmarkStart w:id="468" w:name="_Toc1783"/>
      <w:bookmarkStart w:id="469" w:name="_Toc4390"/>
      <w:bookmarkStart w:id="470" w:name="_Toc65181426"/>
      <w:bookmarkStart w:id="471" w:name="_Toc22009"/>
      <w:bookmarkStart w:id="472" w:name="_Toc5304"/>
      <w:bookmarkStart w:id="473" w:name="_Toc1921940693"/>
      <w:bookmarkStart w:id="474" w:name="_Toc21753"/>
      <w:r>
        <w:rPr>
          <w:rFonts w:hint="eastAsia" w:ascii="仿宋_GB2312" w:hAnsi="宋体" w:eastAsia="仿宋_GB2312"/>
          <w:b/>
          <w:sz w:val="28"/>
          <w:szCs w:val="28"/>
        </w:rPr>
        <w:t>披露《基金合同生效公告》</w:t>
      </w:r>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r>
        <w:rPr>
          <w:rFonts w:hint="eastAsia" w:ascii="仿宋_GB2312" w:hAnsi="宋体" w:eastAsia="仿宋_GB2312"/>
          <w:b/>
          <w:sz w:val="28"/>
          <w:szCs w:val="28"/>
        </w:rPr>
        <w:tab/>
      </w:r>
    </w:p>
    <w:p w14:paraId="359F7DE2">
      <w:pPr>
        <w:pStyle w:val="13"/>
        <w:numPr>
          <w:ilvl w:val="1"/>
          <w:numId w:val="46"/>
        </w:numPr>
        <w:snapToGrid w:val="0"/>
        <w:spacing w:before="0" w:beforeAutospacing="0" w:after="0" w:afterAutospacing="0" w:line="360" w:lineRule="auto"/>
        <w:ind w:left="851"/>
        <w:jc w:val="both"/>
        <w:rPr>
          <w:rFonts w:hint="eastAsia" w:ascii="仿宋_GB2312" w:hAnsi="仿宋" w:eastAsia="仿宋_GB2312"/>
        </w:rPr>
      </w:pPr>
      <w:r>
        <w:rPr>
          <w:rFonts w:hint="eastAsia" w:ascii="仿宋_GB2312" w:hAnsi="仿宋" w:eastAsia="仿宋_GB2312"/>
        </w:rPr>
        <w:t>注意事项：基金管理人应在备案通过当日提交合同生效公告，次日披露。</w:t>
      </w:r>
    </w:p>
    <w:p w14:paraId="42AD2510">
      <w:pPr>
        <w:pStyle w:val="13"/>
        <w:numPr>
          <w:ilvl w:val="1"/>
          <w:numId w:val="46"/>
        </w:numPr>
        <w:snapToGrid w:val="0"/>
        <w:spacing w:before="0" w:beforeAutospacing="0" w:after="0" w:afterAutospacing="0" w:line="360" w:lineRule="auto"/>
        <w:jc w:val="both"/>
        <w:rPr>
          <w:rFonts w:hint="eastAsia" w:ascii="仿宋_GB2312" w:hAnsi="仿宋" w:eastAsia="仿宋_GB2312"/>
        </w:rPr>
      </w:pPr>
      <w:r>
        <w:rPr>
          <w:rFonts w:hint="eastAsia" w:ascii="仿宋_GB2312" w:hAnsi="仿宋" w:eastAsia="仿宋_GB2312"/>
        </w:rPr>
        <w:t>业务办理流程：</w:t>
      </w:r>
    </w:p>
    <w:p w14:paraId="0773A81D">
      <w:pPr>
        <w:pStyle w:val="13"/>
        <w:snapToGrid w:val="0"/>
        <w:spacing w:before="0" w:beforeAutospacing="0" w:after="0" w:afterAutospacing="0" w:line="360" w:lineRule="auto"/>
        <w:ind w:left="420"/>
        <w:jc w:val="both"/>
        <w:rPr>
          <w:rFonts w:hint="eastAsia" w:ascii="仿宋_GB2312" w:hAnsi="仿宋" w:eastAsia="仿宋_GB2312"/>
        </w:rPr>
      </w:pPr>
    </w:p>
    <w:p w14:paraId="7B051714">
      <w:pPr>
        <w:pStyle w:val="13"/>
        <w:numPr>
          <w:ilvl w:val="0"/>
          <w:numId w:val="18"/>
        </w:numPr>
        <w:snapToGrid w:val="0"/>
        <w:spacing w:before="0" w:beforeAutospacing="0" w:after="0" w:afterAutospacing="0" w:line="360" w:lineRule="auto"/>
        <w:jc w:val="both"/>
        <w:rPr>
          <w:rFonts w:hint="eastAsia" w:ascii="仿宋_GB2312" w:hAnsi="仿宋" w:eastAsia="仿宋_GB2312"/>
        </w:rPr>
      </w:pPr>
      <w:r>
        <w:rPr>
          <w:rFonts w:hint="eastAsia" w:ascii="仿宋_GB2312" w:hAnsi="仿宋" w:eastAsia="仿宋_GB2312"/>
        </w:rPr>
        <w:t>名称释义：</w:t>
      </w:r>
      <w:r>
        <w:rPr>
          <w:rFonts w:hint="eastAsia" w:ascii="Times New Roman" w:hAnsi="Times New Roman" w:eastAsia="仿宋_GB2312"/>
        </w:rPr>
        <w:t>T</w:t>
      </w:r>
      <w:r>
        <w:rPr>
          <w:rFonts w:hint="eastAsia" w:ascii="仿宋_GB2312" w:hAnsi="仿宋" w:eastAsia="仿宋_GB2312"/>
        </w:rPr>
        <w:t>日为基金合同生效日</w:t>
      </w:r>
    </w:p>
    <w:p w14:paraId="0D536376">
      <w:pPr>
        <w:snapToGrid w:val="0"/>
        <w:spacing w:line="360" w:lineRule="auto"/>
        <w:rPr>
          <w:rFonts w:hint="eastAsia" w:ascii="仿宋_GB2312" w:hAnsi="仿宋" w:eastAsia="仿宋_GB2312" w:cs="宋体"/>
          <w:color w:val="000000"/>
          <w:kern w:val="0"/>
          <w:sz w:val="24"/>
        </w:rPr>
      </w:pPr>
    </w:p>
    <w:p w14:paraId="531B6FD2">
      <w:pPr>
        <w:snapToGrid w:val="0"/>
        <w:spacing w:line="360" w:lineRule="auto"/>
        <w:ind w:firstLine="480" w:firstLineChars="200"/>
        <w:rPr>
          <w:rFonts w:hint="eastAsia" w:ascii="仿宋_GB2312" w:hAnsi="仿宋" w:eastAsia="仿宋_GB2312" w:cs="宋体"/>
          <w:color w:val="000000"/>
          <w:kern w:val="0"/>
          <w:sz w:val="24"/>
        </w:rPr>
      </w:pPr>
      <w:r>
        <w:rPr>
          <w:rFonts w:hint="eastAsia" w:ascii="Times New Roman" w:hAnsi="Times New Roman" w:eastAsia="仿宋_GB2312" w:cs="宋体"/>
          <w:color w:val="000000"/>
          <w:kern w:val="0"/>
          <w:sz w:val="24"/>
        </w:rPr>
        <w:t>T</w:t>
      </w:r>
      <w:r>
        <w:rPr>
          <w:rFonts w:hint="eastAsia" w:ascii="仿宋_GB2312" w:hAnsi="仿宋" w:eastAsia="仿宋_GB2312" w:cs="宋体"/>
          <w:color w:val="000000"/>
          <w:kern w:val="0"/>
          <w:sz w:val="24"/>
        </w:rPr>
        <w:t>日</w:t>
      </w:r>
    </w:p>
    <w:p w14:paraId="5E9DAFD7">
      <w:pPr>
        <w:numPr>
          <w:ilvl w:val="0"/>
          <w:numId w:val="22"/>
        </w:numPr>
        <w:snapToGrid w:val="0"/>
        <w:spacing w:line="360" w:lineRule="auto"/>
        <w:ind w:firstLine="480" w:firstLineChars="200"/>
        <w:rPr>
          <w:rFonts w:hint="eastAsia" w:ascii="仿宋_GB2312" w:hAnsi="仿宋" w:eastAsia="仿宋_GB2312" w:cs="宋体"/>
          <w:color w:val="000000"/>
          <w:kern w:val="0"/>
          <w:sz w:val="24"/>
        </w:rPr>
      </w:pPr>
      <w:r>
        <w:rPr>
          <w:rFonts w:hint="eastAsia" w:ascii="仿宋_GB2312" w:hAnsi="仿宋" w:eastAsia="仿宋_GB2312" w:cs="宋体"/>
          <w:color w:val="000000"/>
          <w:kern w:val="0"/>
          <w:sz w:val="24"/>
        </w:rPr>
        <w:t>基金管理人通过</w:t>
      </w:r>
      <w:r>
        <w:rPr>
          <w:rFonts w:hint="eastAsia" w:ascii="Times New Roman" w:hAnsi="Times New Roman" w:eastAsia="仿宋_GB2312" w:cs="宋体"/>
          <w:color w:val="000000"/>
          <w:kern w:val="0"/>
          <w:sz w:val="24"/>
        </w:rPr>
        <w:t>REITs</w:t>
      </w:r>
      <w:r>
        <w:rPr>
          <w:rFonts w:hint="eastAsia" w:ascii="仿宋_GB2312" w:hAnsi="仿宋" w:eastAsia="仿宋_GB2312" w:cs="宋体"/>
          <w:color w:val="000000"/>
          <w:kern w:val="0"/>
          <w:sz w:val="24"/>
        </w:rPr>
        <w:t>业务管理系统平台菜单“信息披露-</w:t>
      </w:r>
      <w:r>
        <w:rPr>
          <w:rFonts w:hint="eastAsia" w:ascii="Times New Roman" w:hAnsi="Times New Roman" w:eastAsia="仿宋_GB2312" w:cs="宋体"/>
          <w:color w:val="000000"/>
          <w:kern w:val="0"/>
          <w:sz w:val="24"/>
        </w:rPr>
        <w:t>REITs</w:t>
      </w:r>
      <w:r>
        <w:rPr>
          <w:rFonts w:hint="eastAsia" w:ascii="仿宋_GB2312" w:hAnsi="仿宋" w:eastAsia="仿宋_GB2312" w:cs="宋体"/>
          <w:color w:val="000000"/>
          <w:kern w:val="0"/>
          <w:sz w:val="24"/>
        </w:rPr>
        <w:t>公告”，选取对应产品代码及公告类型，提交基金合同生效公告（格式参考附件</w:t>
      </w:r>
      <w:r>
        <w:rPr>
          <w:rFonts w:hint="eastAsia" w:ascii="Times New Roman" w:hAnsi="Times New Roman" w:eastAsia="仿宋_GB2312" w:cs="宋体"/>
          <w:color w:val="000000"/>
          <w:kern w:val="0"/>
          <w:sz w:val="24"/>
        </w:rPr>
        <w:t>2</w:t>
      </w:r>
      <w:r>
        <w:rPr>
          <w:rFonts w:hint="eastAsia" w:ascii="仿宋_GB2312" w:hAnsi="仿宋" w:eastAsia="仿宋_GB2312" w:cs="宋体"/>
          <w:color w:val="000000"/>
          <w:kern w:val="0"/>
          <w:sz w:val="24"/>
        </w:rPr>
        <w:t>-</w:t>
      </w:r>
      <w:r>
        <w:rPr>
          <w:rFonts w:hint="eastAsia" w:ascii="Times New Roman" w:hAnsi="Times New Roman" w:eastAsia="仿宋_GB2312" w:cs="宋体"/>
          <w:color w:val="000000"/>
          <w:kern w:val="0"/>
          <w:sz w:val="24"/>
        </w:rPr>
        <w:t>3</w:t>
      </w:r>
      <w:r>
        <w:rPr>
          <w:rFonts w:hint="eastAsia" w:ascii="仿宋_GB2312" w:hAnsi="仿宋" w:eastAsia="仿宋_GB2312" w:cs="宋体"/>
          <w:color w:val="000000"/>
          <w:kern w:val="0"/>
          <w:sz w:val="24"/>
        </w:rPr>
        <w:t>）。</w:t>
      </w:r>
    </w:p>
    <w:p w14:paraId="626FC22A">
      <w:pPr>
        <w:snapToGrid w:val="0"/>
        <w:spacing w:line="360" w:lineRule="auto"/>
        <w:rPr>
          <w:rFonts w:hint="eastAsia" w:ascii="仿宋_GB2312" w:hAnsi="仿宋" w:eastAsia="仿宋_GB2312" w:cs="宋体"/>
          <w:color w:val="000000"/>
          <w:kern w:val="0"/>
          <w:sz w:val="24"/>
        </w:rPr>
      </w:pPr>
    </w:p>
    <w:p w14:paraId="7478B725">
      <w:pPr>
        <w:snapToGrid w:val="0"/>
        <w:spacing w:line="360" w:lineRule="auto"/>
        <w:ind w:firstLine="480" w:firstLineChars="200"/>
        <w:rPr>
          <w:rFonts w:hint="eastAsia" w:ascii="仿宋_GB2312" w:hAnsi="仿宋" w:eastAsia="仿宋_GB2312" w:cs="宋体"/>
          <w:color w:val="000000"/>
          <w:kern w:val="0"/>
          <w:sz w:val="24"/>
        </w:rPr>
      </w:pPr>
      <w:r>
        <w:rPr>
          <w:rFonts w:hint="eastAsia" w:ascii="Times New Roman" w:hAnsi="Times New Roman" w:eastAsia="仿宋_GB2312" w:cs="宋体"/>
          <w:color w:val="000000"/>
          <w:kern w:val="0"/>
          <w:sz w:val="24"/>
        </w:rPr>
        <w:t>T</w:t>
      </w:r>
      <w:r>
        <w:rPr>
          <w:rFonts w:hint="eastAsia" w:ascii="仿宋_GB2312" w:hAnsi="仿宋" w:eastAsia="仿宋_GB2312" w:cs="宋体"/>
          <w:color w:val="000000"/>
          <w:kern w:val="0"/>
          <w:sz w:val="24"/>
        </w:rPr>
        <w:t>+</w:t>
      </w:r>
      <w:r>
        <w:rPr>
          <w:rFonts w:hint="eastAsia" w:ascii="Times New Roman" w:hAnsi="Times New Roman" w:eastAsia="仿宋_GB2312" w:cs="宋体"/>
          <w:color w:val="000000"/>
          <w:kern w:val="0"/>
          <w:sz w:val="24"/>
        </w:rPr>
        <w:t>1</w:t>
      </w:r>
      <w:r>
        <w:rPr>
          <w:rFonts w:hint="eastAsia" w:ascii="仿宋_GB2312" w:hAnsi="仿宋" w:eastAsia="仿宋_GB2312" w:cs="宋体"/>
          <w:color w:val="000000"/>
          <w:kern w:val="0"/>
          <w:sz w:val="24"/>
        </w:rPr>
        <w:t>日</w:t>
      </w:r>
    </w:p>
    <w:p w14:paraId="56170A3D">
      <w:pPr>
        <w:numPr>
          <w:ilvl w:val="0"/>
          <w:numId w:val="12"/>
        </w:numPr>
        <w:snapToGrid w:val="0"/>
        <w:spacing w:line="360" w:lineRule="auto"/>
        <w:ind w:firstLine="480" w:firstLineChars="200"/>
        <w:rPr>
          <w:rFonts w:hint="eastAsia" w:ascii="仿宋_GB2312" w:hAnsi="仿宋" w:eastAsia="仿宋_GB2312" w:cs="宋体"/>
          <w:color w:val="000000"/>
          <w:kern w:val="0"/>
          <w:sz w:val="24"/>
        </w:rPr>
      </w:pPr>
      <w:r>
        <w:rPr>
          <w:rFonts w:hint="eastAsia" w:ascii="仿宋_GB2312" w:hAnsi="仿宋" w:eastAsia="仿宋_GB2312" w:cs="宋体"/>
          <w:color w:val="000000"/>
          <w:kern w:val="0"/>
          <w:sz w:val="24"/>
        </w:rPr>
        <w:t>基金合同生效公告在本所</w:t>
      </w:r>
      <w:r>
        <w:rPr>
          <w:rFonts w:ascii="仿宋_GB2312" w:hAnsi="仿宋" w:eastAsia="仿宋_GB2312" w:cs="宋体"/>
          <w:color w:val="000000"/>
          <w:kern w:val="0"/>
          <w:sz w:val="24"/>
        </w:rPr>
        <w:t>官网</w:t>
      </w:r>
      <w:r>
        <w:rPr>
          <w:rFonts w:hint="eastAsia" w:ascii="仿宋_GB2312" w:hAnsi="仿宋" w:eastAsia="仿宋_GB2312" w:cs="宋体"/>
          <w:color w:val="000000"/>
          <w:kern w:val="0"/>
          <w:sz w:val="24"/>
        </w:rPr>
        <w:t>发布，基金管理人核对网站披露内容是否符合预期。</w:t>
      </w:r>
    </w:p>
    <w:p w14:paraId="4CF0B37B">
      <w:pPr>
        <w:numPr>
          <w:ilvl w:val="0"/>
          <w:numId w:val="12"/>
        </w:numPr>
        <w:snapToGrid w:val="0"/>
        <w:spacing w:line="360" w:lineRule="auto"/>
        <w:ind w:firstLine="480" w:firstLineChars="200"/>
        <w:rPr>
          <w:rFonts w:hint="eastAsia" w:ascii="仿宋_GB2312" w:hAnsi="仿宋" w:eastAsia="仿宋_GB2312" w:cs="宋体"/>
          <w:color w:val="000000"/>
          <w:kern w:val="0"/>
          <w:sz w:val="24"/>
        </w:rPr>
      </w:pPr>
      <w:r>
        <w:rPr>
          <w:rFonts w:hint="eastAsia" w:ascii="仿宋_GB2312" w:hAnsi="仿宋" w:eastAsia="仿宋_GB2312" w:cs="宋体"/>
          <w:color w:val="000000"/>
          <w:kern w:val="0"/>
          <w:sz w:val="24"/>
        </w:rPr>
        <w:t>基金管理人</w:t>
      </w:r>
      <w:r>
        <w:rPr>
          <w:rFonts w:hint="eastAsia" w:ascii="仿宋_GB2312" w:hAnsi="仿宋" w:eastAsia="仿宋_GB2312" w:cs="宋体"/>
          <w:color w:val="000000"/>
          <w:kern w:val="0"/>
          <w:sz w:val="24"/>
          <w:szCs w:val="21"/>
        </w:rPr>
        <w:t>根据中国证监会规定在</w:t>
      </w:r>
      <w:r>
        <w:rPr>
          <w:rFonts w:hint="eastAsia" w:ascii="仿宋_GB2312" w:hAnsi="仿宋" w:eastAsia="仿宋_GB2312" w:cs="宋体"/>
          <w:color w:val="000000"/>
          <w:kern w:val="0"/>
          <w:sz w:val="24"/>
        </w:rPr>
        <w:t>其他媒介上刊登前述公告。</w:t>
      </w:r>
    </w:p>
    <w:p w14:paraId="4922500C">
      <w:pPr>
        <w:rPr>
          <w:rFonts w:hint="eastAsia" w:ascii="宋体" w:hAnsi="宋体"/>
          <w:sz w:val="28"/>
          <w:szCs w:val="28"/>
        </w:rPr>
      </w:pPr>
    </w:p>
    <w:p w14:paraId="4465B872">
      <w:pPr>
        <w:pStyle w:val="30"/>
        <w:numPr>
          <w:ilvl w:val="0"/>
          <w:numId w:val="45"/>
        </w:numPr>
        <w:ind w:firstLineChars="0"/>
        <w:outlineLvl w:val="2"/>
        <w:rPr>
          <w:rFonts w:hint="eastAsia" w:ascii="仿宋_GB2312" w:hAnsi="宋体" w:eastAsia="仿宋_GB2312"/>
          <w:b/>
          <w:sz w:val="28"/>
          <w:szCs w:val="28"/>
        </w:rPr>
      </w:pPr>
      <w:bookmarkStart w:id="475" w:name="_Toc3719"/>
      <w:bookmarkStart w:id="476" w:name="_Toc29925"/>
      <w:bookmarkStart w:id="477" w:name="_Toc25294"/>
      <w:bookmarkStart w:id="478" w:name="_Toc16776"/>
      <w:bookmarkStart w:id="479" w:name="_Toc165"/>
      <w:bookmarkStart w:id="480" w:name="_Toc16888"/>
      <w:bookmarkStart w:id="481" w:name="_Toc16427"/>
      <w:bookmarkStart w:id="482" w:name="_Toc28329"/>
      <w:bookmarkStart w:id="483" w:name="_Toc7217"/>
      <w:bookmarkStart w:id="484" w:name="_Toc3442"/>
      <w:bookmarkStart w:id="485" w:name="_Toc17049"/>
      <w:bookmarkStart w:id="486" w:name="_Toc14516"/>
      <w:bookmarkStart w:id="487" w:name="_Toc9769"/>
      <w:bookmarkStart w:id="488" w:name="_Toc7828"/>
      <w:bookmarkStart w:id="489" w:name="_Toc15719"/>
      <w:bookmarkStart w:id="490" w:name="_Toc912022348"/>
      <w:bookmarkStart w:id="491" w:name="_Toc516883535"/>
      <w:bookmarkStart w:id="492" w:name="_Toc2145183982"/>
      <w:bookmarkStart w:id="493" w:name="_Toc1908720216"/>
      <w:bookmarkStart w:id="494" w:name="_Toc70604223"/>
      <w:bookmarkStart w:id="495" w:name="_Toc38776323"/>
      <w:bookmarkStart w:id="496" w:name="_Toc676923367"/>
      <w:bookmarkStart w:id="497" w:name="_Toc65181427"/>
      <w:bookmarkStart w:id="498" w:name="_Toc1473150910"/>
      <w:bookmarkStart w:id="499" w:name="_Toc16485"/>
      <w:r>
        <w:rPr>
          <w:rFonts w:hint="eastAsia" w:ascii="仿宋_GB2312" w:hAnsi="宋体" w:eastAsia="仿宋_GB2312"/>
          <w:b/>
          <w:sz w:val="28"/>
          <w:szCs w:val="28"/>
        </w:rPr>
        <w:t>材料</w:t>
      </w:r>
      <w:bookmarkEnd w:id="475"/>
      <w:bookmarkEnd w:id="476"/>
      <w:bookmarkEnd w:id="477"/>
      <w:bookmarkEnd w:id="478"/>
      <w:bookmarkEnd w:id="479"/>
      <w:bookmarkEnd w:id="480"/>
      <w:bookmarkEnd w:id="481"/>
      <w:bookmarkEnd w:id="482"/>
      <w:bookmarkEnd w:id="483"/>
      <w:bookmarkEnd w:id="484"/>
      <w:bookmarkEnd w:id="485"/>
      <w:bookmarkEnd w:id="486"/>
      <w:bookmarkEnd w:id="487"/>
      <w:bookmarkEnd w:id="488"/>
      <w:bookmarkEnd w:id="489"/>
      <w:r>
        <w:rPr>
          <w:rFonts w:hint="eastAsia" w:ascii="仿宋_GB2312" w:hAnsi="宋体" w:eastAsia="仿宋_GB2312"/>
          <w:b/>
          <w:sz w:val="28"/>
          <w:szCs w:val="28"/>
        </w:rPr>
        <w:t>报备</w:t>
      </w:r>
      <w:bookmarkEnd w:id="490"/>
      <w:bookmarkEnd w:id="491"/>
      <w:bookmarkEnd w:id="492"/>
      <w:bookmarkEnd w:id="493"/>
      <w:bookmarkEnd w:id="494"/>
      <w:bookmarkEnd w:id="495"/>
      <w:bookmarkEnd w:id="496"/>
      <w:bookmarkEnd w:id="497"/>
      <w:bookmarkEnd w:id="498"/>
      <w:bookmarkEnd w:id="499"/>
      <w:r>
        <w:rPr>
          <w:rFonts w:hint="eastAsia" w:ascii="仿宋_GB2312" w:hAnsi="宋体" w:eastAsia="仿宋_GB2312"/>
          <w:b/>
          <w:sz w:val="28"/>
          <w:szCs w:val="28"/>
        </w:rPr>
        <w:tab/>
      </w:r>
    </w:p>
    <w:p w14:paraId="0D61D053">
      <w:pPr>
        <w:pStyle w:val="13"/>
        <w:numPr>
          <w:ilvl w:val="1"/>
          <w:numId w:val="47"/>
        </w:numPr>
        <w:snapToGrid w:val="0"/>
        <w:spacing w:before="0" w:beforeAutospacing="0" w:after="0" w:afterAutospacing="0" w:line="360" w:lineRule="auto"/>
        <w:jc w:val="both"/>
        <w:rPr>
          <w:rFonts w:hint="eastAsia" w:ascii="仿宋_GB2312" w:hAnsi="仿宋" w:eastAsia="仿宋_GB2312"/>
        </w:rPr>
      </w:pPr>
      <w:r>
        <w:rPr>
          <w:rFonts w:hint="eastAsia" w:ascii="仿宋_GB2312" w:hAnsi="仿宋" w:eastAsia="仿宋_GB2312"/>
        </w:rPr>
        <w:t>业务办理流程：</w:t>
      </w:r>
    </w:p>
    <w:p w14:paraId="7C81AAA2">
      <w:pPr>
        <w:pStyle w:val="13"/>
        <w:snapToGrid w:val="0"/>
        <w:spacing w:before="0" w:beforeAutospacing="0" w:after="0" w:afterAutospacing="0" w:line="360" w:lineRule="auto"/>
        <w:ind w:left="420"/>
        <w:jc w:val="both"/>
        <w:rPr>
          <w:rFonts w:hint="eastAsia" w:ascii="仿宋_GB2312" w:hAnsi="仿宋" w:eastAsia="仿宋_GB2312"/>
        </w:rPr>
      </w:pPr>
    </w:p>
    <w:p w14:paraId="157C08AF">
      <w:pPr>
        <w:pStyle w:val="13"/>
        <w:numPr>
          <w:ilvl w:val="0"/>
          <w:numId w:val="18"/>
        </w:numPr>
        <w:snapToGrid w:val="0"/>
        <w:spacing w:before="0" w:beforeAutospacing="0" w:after="0" w:afterAutospacing="0" w:line="360" w:lineRule="auto"/>
        <w:jc w:val="both"/>
        <w:rPr>
          <w:rFonts w:hint="eastAsia" w:ascii="仿宋_GB2312" w:hAnsi="仿宋" w:eastAsia="仿宋_GB2312"/>
        </w:rPr>
      </w:pPr>
      <w:r>
        <w:rPr>
          <w:rFonts w:hint="eastAsia" w:ascii="仿宋_GB2312" w:hAnsi="仿宋" w:eastAsia="仿宋_GB2312"/>
        </w:rPr>
        <w:t>名称释义：</w:t>
      </w:r>
    </w:p>
    <w:p w14:paraId="5265D08E">
      <w:pPr>
        <w:pStyle w:val="13"/>
        <w:snapToGrid w:val="0"/>
        <w:spacing w:before="0" w:beforeAutospacing="0" w:after="0" w:afterAutospacing="0" w:line="360" w:lineRule="auto"/>
        <w:ind w:left="840"/>
        <w:jc w:val="both"/>
        <w:rPr>
          <w:rFonts w:hint="eastAsia" w:ascii="仿宋_GB2312" w:hAnsi="仿宋" w:eastAsia="仿宋_GB2312"/>
        </w:rPr>
      </w:pPr>
      <w:r>
        <w:rPr>
          <w:rFonts w:hint="eastAsia" w:ascii="Times New Roman" w:hAnsi="Times New Roman" w:eastAsia="仿宋_GB2312"/>
        </w:rPr>
        <w:t>T</w:t>
      </w:r>
      <w:r>
        <w:rPr>
          <w:rFonts w:hint="eastAsia" w:ascii="仿宋_GB2312" w:hAnsi="仿宋" w:eastAsia="仿宋_GB2312"/>
        </w:rPr>
        <w:t>日-基金合同生效日</w:t>
      </w:r>
    </w:p>
    <w:p w14:paraId="26FEAD28">
      <w:pPr>
        <w:pStyle w:val="13"/>
        <w:snapToGrid w:val="0"/>
        <w:spacing w:before="0" w:beforeAutospacing="0" w:after="0" w:afterAutospacing="0" w:line="360" w:lineRule="auto"/>
        <w:ind w:left="420"/>
        <w:jc w:val="both"/>
        <w:rPr>
          <w:rFonts w:hint="eastAsia" w:ascii="仿宋_GB2312" w:hAnsi="仿宋" w:eastAsia="仿宋_GB2312"/>
        </w:rPr>
      </w:pPr>
    </w:p>
    <w:p w14:paraId="13459BA5">
      <w:pPr>
        <w:pStyle w:val="13"/>
        <w:snapToGrid w:val="0"/>
        <w:spacing w:before="0" w:beforeAutospacing="0" w:after="0" w:afterAutospacing="0" w:line="360" w:lineRule="auto"/>
        <w:ind w:left="420"/>
        <w:jc w:val="both"/>
        <w:rPr>
          <w:rFonts w:hint="eastAsia" w:ascii="仿宋_GB2312" w:hAnsi="仿宋" w:eastAsia="仿宋_GB2312"/>
        </w:rPr>
      </w:pPr>
      <w:r>
        <w:rPr>
          <w:rFonts w:hint="eastAsia" w:ascii="Times New Roman" w:hAnsi="Times New Roman" w:eastAsia="仿宋_GB2312"/>
        </w:rPr>
        <w:t>T</w:t>
      </w:r>
      <w:r>
        <w:rPr>
          <w:rFonts w:hint="eastAsia" w:ascii="仿宋_GB2312" w:hAnsi="仿宋" w:eastAsia="仿宋_GB2312"/>
        </w:rPr>
        <w:t>+</w:t>
      </w:r>
      <w:r>
        <w:rPr>
          <w:rFonts w:hint="eastAsia" w:ascii="Times New Roman" w:hAnsi="Times New Roman" w:eastAsia="仿宋_GB2312"/>
        </w:rPr>
        <w:t>10</w:t>
      </w:r>
      <w:r>
        <w:rPr>
          <w:rFonts w:hint="eastAsia" w:ascii="仿宋_GB2312" w:hAnsi="仿宋" w:eastAsia="仿宋_GB2312"/>
        </w:rPr>
        <w:t>日内</w:t>
      </w:r>
    </w:p>
    <w:p w14:paraId="7070C0AF">
      <w:pPr>
        <w:numPr>
          <w:ilvl w:val="0"/>
          <w:numId w:val="22"/>
        </w:numPr>
        <w:snapToGrid w:val="0"/>
        <w:spacing w:line="360" w:lineRule="auto"/>
        <w:ind w:firstLine="480" w:firstLineChars="200"/>
        <w:rPr>
          <w:rFonts w:hint="eastAsia" w:ascii="仿宋_GB2312" w:hAnsi="仿宋" w:eastAsia="仿宋_GB2312" w:cs="宋体"/>
          <w:color w:val="000000"/>
          <w:kern w:val="0"/>
          <w:sz w:val="24"/>
        </w:rPr>
      </w:pPr>
      <w:r>
        <w:rPr>
          <w:rFonts w:hint="eastAsia" w:ascii="仿宋_GB2312" w:hAnsi="仿宋" w:eastAsia="仿宋_GB2312" w:cs="宋体"/>
          <w:color w:val="000000"/>
          <w:kern w:val="0"/>
          <w:sz w:val="24"/>
        </w:rPr>
        <w:t>基金管理人通过</w:t>
      </w:r>
      <w:r>
        <w:rPr>
          <w:rFonts w:hint="eastAsia" w:ascii="Times New Roman" w:hAnsi="Times New Roman" w:eastAsia="仿宋_GB2312" w:cs="宋体"/>
          <w:color w:val="000000"/>
          <w:kern w:val="0"/>
          <w:sz w:val="24"/>
        </w:rPr>
        <w:t>REITs</w:t>
      </w:r>
      <w:r>
        <w:rPr>
          <w:rFonts w:hint="eastAsia" w:ascii="仿宋_GB2312" w:hAnsi="仿宋" w:eastAsia="仿宋_GB2312" w:cs="宋体"/>
          <w:color w:val="000000"/>
          <w:kern w:val="0"/>
          <w:sz w:val="24"/>
        </w:rPr>
        <w:t>业务管理系统平台菜单“业务申请-</w:t>
      </w:r>
      <w:r>
        <w:rPr>
          <w:rFonts w:hint="eastAsia" w:ascii="Times New Roman" w:hAnsi="Times New Roman" w:eastAsia="仿宋_GB2312" w:cs="宋体"/>
          <w:color w:val="000000"/>
          <w:kern w:val="0"/>
          <w:sz w:val="24"/>
        </w:rPr>
        <w:t>REITs</w:t>
      </w:r>
      <w:r>
        <w:rPr>
          <w:rFonts w:hint="eastAsia" w:ascii="仿宋_GB2312" w:hAnsi="仿宋" w:eastAsia="仿宋_GB2312" w:cs="宋体"/>
          <w:color w:val="000000"/>
          <w:kern w:val="0"/>
          <w:sz w:val="24"/>
        </w:rPr>
        <w:t>-基金成立材料报备”提交以下文件：</w:t>
      </w:r>
    </w:p>
    <w:p w14:paraId="309CFF2C">
      <w:pPr>
        <w:numPr>
          <w:ilvl w:val="0"/>
          <w:numId w:val="48"/>
        </w:numPr>
        <w:snapToGrid w:val="0"/>
        <w:spacing w:line="360" w:lineRule="auto"/>
        <w:rPr>
          <w:rFonts w:hint="eastAsia" w:ascii="仿宋_GB2312" w:hAnsi="仿宋" w:eastAsia="仿宋_GB2312" w:cs="宋体"/>
          <w:color w:val="000000"/>
          <w:kern w:val="0"/>
          <w:sz w:val="24"/>
        </w:rPr>
      </w:pPr>
      <w:r>
        <w:rPr>
          <w:rFonts w:hint="eastAsia" w:ascii="仿宋_GB2312" w:hAnsi="仿宋" w:eastAsia="仿宋_GB2312" w:cs="宋体"/>
          <w:color w:val="000000"/>
          <w:kern w:val="0"/>
          <w:sz w:val="24"/>
        </w:rPr>
        <w:t>律师事务所出具的法律意见书（盖章扫描件）；</w:t>
      </w:r>
    </w:p>
    <w:p w14:paraId="11F60FBB">
      <w:pPr>
        <w:numPr>
          <w:ilvl w:val="0"/>
          <w:numId w:val="48"/>
        </w:numPr>
        <w:snapToGrid w:val="0"/>
        <w:spacing w:line="360" w:lineRule="auto"/>
        <w:rPr>
          <w:rFonts w:hint="eastAsia" w:ascii="仿宋_GB2312" w:hAnsi="仿宋" w:eastAsia="仿宋_GB2312" w:cs="宋体"/>
          <w:color w:val="000000"/>
          <w:kern w:val="0"/>
          <w:sz w:val="24"/>
        </w:rPr>
      </w:pPr>
      <w:r>
        <w:rPr>
          <w:rFonts w:hint="eastAsia" w:ascii="仿宋_GB2312" w:hAnsi="仿宋" w:eastAsia="仿宋_GB2312" w:cs="宋体"/>
          <w:color w:val="000000"/>
          <w:kern w:val="0"/>
          <w:sz w:val="24"/>
        </w:rPr>
        <w:t>发售总结报告（盖章扫描件）；</w:t>
      </w:r>
    </w:p>
    <w:p w14:paraId="27C63D1F">
      <w:pPr>
        <w:numPr>
          <w:ilvl w:val="0"/>
          <w:numId w:val="48"/>
        </w:numPr>
        <w:snapToGrid w:val="0"/>
        <w:spacing w:line="360" w:lineRule="auto"/>
        <w:rPr>
          <w:rFonts w:hint="eastAsia" w:ascii="仿宋_GB2312" w:hAnsi="仿宋" w:eastAsia="仿宋_GB2312" w:cs="宋体"/>
          <w:color w:val="000000"/>
          <w:kern w:val="0"/>
          <w:sz w:val="24"/>
        </w:rPr>
      </w:pPr>
      <w:r>
        <w:rPr>
          <w:rFonts w:hint="eastAsia" w:ascii="仿宋_GB2312" w:hAnsi="仿宋" w:eastAsia="仿宋_GB2312" w:cs="宋体"/>
          <w:color w:val="000000"/>
          <w:kern w:val="0"/>
          <w:sz w:val="24"/>
        </w:rPr>
        <w:t>全部基金份额已经中国结算托管的证明文件（盖章扫描件）；</w:t>
      </w:r>
    </w:p>
    <w:p w14:paraId="7B238CF9">
      <w:pPr>
        <w:numPr>
          <w:ilvl w:val="0"/>
          <w:numId w:val="48"/>
        </w:numPr>
        <w:snapToGrid w:val="0"/>
        <w:spacing w:line="360" w:lineRule="auto"/>
        <w:rPr>
          <w:rFonts w:hint="eastAsia" w:ascii="仿宋_GB2312" w:hAnsi="仿宋" w:eastAsia="仿宋_GB2312" w:cs="宋体"/>
          <w:color w:val="000000"/>
          <w:kern w:val="0"/>
          <w:sz w:val="24"/>
        </w:rPr>
      </w:pPr>
      <w:r>
        <w:rPr>
          <w:rFonts w:hint="eastAsia" w:ascii="仿宋_GB2312" w:hAnsi="仿宋" w:eastAsia="仿宋_GB2312" w:cs="宋体"/>
          <w:color w:val="000000"/>
          <w:kern w:val="0"/>
          <w:sz w:val="24"/>
        </w:rPr>
        <w:t>发售结束后具有执行证券、期货相关业务资格的会计师事务所出具的验资报告（盖章扫描件）。</w:t>
      </w:r>
    </w:p>
    <w:p w14:paraId="1DE42DEF">
      <w:pPr>
        <w:snapToGrid w:val="0"/>
        <w:spacing w:line="360" w:lineRule="auto"/>
        <w:rPr>
          <w:rFonts w:hint="eastAsia" w:ascii="仿宋_GB2312" w:hAnsi="仿宋" w:eastAsia="仿宋_GB2312" w:cs="宋体"/>
          <w:color w:val="000000"/>
          <w:kern w:val="0"/>
          <w:sz w:val="24"/>
          <w:highlight w:val="yellow"/>
        </w:rPr>
      </w:pPr>
    </w:p>
    <w:p w14:paraId="55C2FEDE">
      <w:pPr>
        <w:pStyle w:val="30"/>
        <w:numPr>
          <w:ilvl w:val="0"/>
          <w:numId w:val="1"/>
        </w:numPr>
        <w:ind w:left="0" w:firstLine="6" w:firstLineChars="0"/>
        <w:outlineLvl w:val="1"/>
        <w:rPr>
          <w:rFonts w:hint="eastAsia" w:ascii="黑体" w:hAnsi="黑体" w:eastAsia="黑体"/>
          <w:b/>
          <w:sz w:val="30"/>
          <w:szCs w:val="30"/>
        </w:rPr>
      </w:pPr>
      <w:bookmarkStart w:id="500" w:name="_Toc10840"/>
      <w:bookmarkStart w:id="501" w:name="_Toc22446"/>
      <w:bookmarkStart w:id="502" w:name="_Toc1286428357"/>
      <w:bookmarkStart w:id="503" w:name="_Toc22627"/>
      <w:bookmarkStart w:id="504" w:name="_Toc24750"/>
      <w:bookmarkStart w:id="505" w:name="_Toc16275"/>
      <w:bookmarkStart w:id="506" w:name="_Toc290424319"/>
      <w:bookmarkStart w:id="507" w:name="_Toc12952"/>
      <w:bookmarkStart w:id="508" w:name="_Toc10199"/>
      <w:bookmarkStart w:id="509" w:name="_Toc456720178"/>
      <w:bookmarkStart w:id="510" w:name="_Toc10791"/>
      <w:bookmarkStart w:id="511" w:name="_Toc11231494"/>
      <w:bookmarkStart w:id="512" w:name="_Toc11254"/>
      <w:bookmarkStart w:id="513" w:name="_Toc9375"/>
      <w:bookmarkStart w:id="514" w:name="_Toc1492886774"/>
      <w:bookmarkStart w:id="515" w:name="_Toc70604224"/>
      <w:bookmarkStart w:id="516" w:name="_Toc1562"/>
      <w:bookmarkStart w:id="517" w:name="_Toc9219"/>
      <w:bookmarkStart w:id="518" w:name="_Toc1224351875"/>
      <w:bookmarkStart w:id="519" w:name="_Toc17736"/>
      <w:bookmarkStart w:id="520" w:name="_Toc31882"/>
      <w:bookmarkStart w:id="521" w:name="_Toc15714"/>
      <w:bookmarkStart w:id="522" w:name="_Toc12495"/>
      <w:bookmarkStart w:id="523" w:name="_Toc65181428"/>
      <w:bookmarkStart w:id="524" w:name="_Toc167240149"/>
      <w:r>
        <w:rPr>
          <w:rFonts w:hint="eastAsia" w:ascii="黑体" w:hAnsi="黑体" w:eastAsia="黑体"/>
          <w:b/>
          <w:sz w:val="30"/>
          <w:szCs w:val="30"/>
        </w:rPr>
        <w:t>上市前基金份额限售和锁定管理</w:t>
      </w:r>
      <w:bookmarkEnd w:id="500"/>
      <w:bookmarkEnd w:id="501"/>
      <w:bookmarkEnd w:id="502"/>
      <w:bookmarkEnd w:id="503"/>
      <w:bookmarkEnd w:id="504"/>
      <w:bookmarkEnd w:id="505"/>
      <w:bookmarkEnd w:id="506"/>
      <w:bookmarkEnd w:id="507"/>
      <w:bookmarkEnd w:id="508"/>
      <w:bookmarkEnd w:id="509"/>
      <w:bookmarkEnd w:id="510"/>
      <w:bookmarkEnd w:id="511"/>
      <w:bookmarkEnd w:id="512"/>
      <w:bookmarkEnd w:id="513"/>
      <w:bookmarkEnd w:id="514"/>
      <w:bookmarkEnd w:id="515"/>
      <w:bookmarkEnd w:id="516"/>
      <w:bookmarkEnd w:id="517"/>
      <w:bookmarkEnd w:id="518"/>
      <w:bookmarkEnd w:id="519"/>
      <w:bookmarkEnd w:id="520"/>
      <w:bookmarkEnd w:id="521"/>
      <w:bookmarkEnd w:id="522"/>
      <w:bookmarkEnd w:id="523"/>
      <w:bookmarkEnd w:id="524"/>
    </w:p>
    <w:p w14:paraId="34B86AB5">
      <w:pPr>
        <w:pStyle w:val="30"/>
        <w:numPr>
          <w:ilvl w:val="0"/>
          <w:numId w:val="49"/>
        </w:numPr>
        <w:ind w:firstLineChars="0"/>
        <w:outlineLvl w:val="2"/>
        <w:rPr>
          <w:rFonts w:hint="eastAsia" w:ascii="仿宋_GB2312" w:hAnsi="宋体" w:eastAsia="仿宋_GB2312"/>
          <w:b/>
          <w:sz w:val="28"/>
          <w:szCs w:val="28"/>
        </w:rPr>
      </w:pPr>
      <w:bookmarkStart w:id="525" w:name="_Toc1415540562"/>
      <w:bookmarkStart w:id="526" w:name="_Toc70604225"/>
      <w:bookmarkStart w:id="527" w:name="_Toc21460"/>
      <w:bookmarkStart w:id="528" w:name="_Toc4904"/>
      <w:bookmarkStart w:id="529" w:name="_Toc28559"/>
      <w:bookmarkStart w:id="530" w:name="_Toc19293"/>
      <w:bookmarkStart w:id="531" w:name="_Toc10528"/>
      <w:bookmarkStart w:id="532" w:name="_Toc65181429"/>
      <w:bookmarkStart w:id="533" w:name="_Toc1653611179"/>
      <w:bookmarkStart w:id="534" w:name="_Toc13452"/>
      <w:bookmarkStart w:id="535" w:name="_Toc1366"/>
      <w:bookmarkStart w:id="536" w:name="_Toc379948095"/>
      <w:bookmarkStart w:id="537" w:name="_Toc24999"/>
      <w:bookmarkStart w:id="538" w:name="_Toc1202059736"/>
      <w:bookmarkStart w:id="539" w:name="_Toc2204"/>
      <w:bookmarkStart w:id="540" w:name="_Toc20163"/>
      <w:bookmarkStart w:id="541" w:name="_Toc4032"/>
      <w:bookmarkStart w:id="542" w:name="_Toc32312"/>
      <w:bookmarkStart w:id="543" w:name="_Toc1000101484"/>
      <w:bookmarkStart w:id="544" w:name="_Toc578112465"/>
      <w:bookmarkStart w:id="545" w:name="_Toc6735"/>
      <w:bookmarkStart w:id="546" w:name="_Toc29951"/>
      <w:bookmarkStart w:id="547" w:name="_Toc23246"/>
      <w:bookmarkStart w:id="548" w:name="_Toc25542"/>
      <w:bookmarkStart w:id="549" w:name="_Toc1292840730"/>
      <w:r>
        <w:rPr>
          <w:rFonts w:hint="eastAsia" w:ascii="仿宋_GB2312" w:hAnsi="宋体" w:eastAsia="仿宋_GB2312"/>
          <w:b/>
          <w:sz w:val="28"/>
          <w:szCs w:val="28"/>
        </w:rPr>
        <w:t>限售管理</w:t>
      </w:r>
      <w:bookmarkEnd w:id="525"/>
      <w:bookmarkEnd w:id="526"/>
      <w:bookmarkEnd w:id="527"/>
      <w:bookmarkEnd w:id="528"/>
      <w:bookmarkEnd w:id="529"/>
      <w:bookmarkEnd w:id="530"/>
      <w:bookmarkEnd w:id="531"/>
      <w:bookmarkEnd w:id="532"/>
      <w:bookmarkEnd w:id="533"/>
      <w:bookmarkEnd w:id="534"/>
      <w:bookmarkEnd w:id="535"/>
      <w:bookmarkEnd w:id="536"/>
      <w:bookmarkEnd w:id="537"/>
      <w:bookmarkEnd w:id="538"/>
      <w:bookmarkEnd w:id="539"/>
      <w:bookmarkEnd w:id="540"/>
      <w:bookmarkEnd w:id="541"/>
      <w:bookmarkEnd w:id="542"/>
      <w:bookmarkEnd w:id="543"/>
      <w:bookmarkEnd w:id="544"/>
      <w:bookmarkEnd w:id="545"/>
      <w:bookmarkEnd w:id="546"/>
      <w:bookmarkEnd w:id="547"/>
      <w:bookmarkEnd w:id="548"/>
      <w:bookmarkEnd w:id="549"/>
    </w:p>
    <w:p w14:paraId="21E2765A">
      <w:pPr>
        <w:numPr>
          <w:ilvl w:val="0"/>
          <w:numId w:val="22"/>
        </w:numPr>
        <w:snapToGrid w:val="0"/>
        <w:spacing w:line="360" w:lineRule="auto"/>
        <w:ind w:firstLine="480" w:firstLineChars="200"/>
        <w:rPr>
          <w:rFonts w:hint="eastAsia" w:ascii="仿宋_GB2312" w:hAnsi="仿宋" w:eastAsia="仿宋_GB2312" w:cs="宋体"/>
          <w:color w:val="000000"/>
          <w:kern w:val="0"/>
          <w:sz w:val="24"/>
        </w:rPr>
      </w:pPr>
      <w:r>
        <w:rPr>
          <w:rFonts w:hint="eastAsia" w:ascii="仿宋_GB2312" w:hAnsi="仿宋" w:eastAsia="仿宋_GB2312" w:cs="宋体"/>
          <w:color w:val="000000"/>
          <w:kern w:val="0"/>
          <w:sz w:val="24"/>
        </w:rPr>
        <w:t>战略投资者、战略配售等相关事宜应符合《上海证券交易所公开募集不动产投资信托基金（</w:t>
      </w:r>
      <w:r>
        <w:rPr>
          <w:rFonts w:hint="eastAsia" w:ascii="Times New Roman" w:hAnsi="Times New Roman" w:eastAsia="仿宋_GB2312" w:cs="宋体"/>
          <w:color w:val="000000"/>
          <w:kern w:val="0"/>
          <w:sz w:val="24"/>
        </w:rPr>
        <w:t>REITs</w:t>
      </w:r>
      <w:r>
        <w:rPr>
          <w:rFonts w:hint="eastAsia" w:ascii="仿宋_GB2312" w:hAnsi="仿宋" w:eastAsia="仿宋_GB2312" w:cs="宋体"/>
          <w:color w:val="000000"/>
          <w:kern w:val="0"/>
          <w:sz w:val="24"/>
        </w:rPr>
        <w:t>）业务办法（试行）》《上海证券交易所公开募集不动产投资信托基金（</w:t>
      </w:r>
      <w:r>
        <w:rPr>
          <w:rFonts w:hint="eastAsia" w:ascii="Times New Roman" w:hAnsi="Times New Roman" w:eastAsia="仿宋_GB2312" w:cs="宋体"/>
          <w:color w:val="000000"/>
          <w:kern w:val="0"/>
          <w:sz w:val="24"/>
        </w:rPr>
        <w:t>REITs</w:t>
      </w:r>
      <w:r>
        <w:rPr>
          <w:rFonts w:hint="eastAsia" w:ascii="仿宋_GB2312" w:hAnsi="仿宋" w:eastAsia="仿宋_GB2312" w:cs="宋体"/>
          <w:color w:val="000000"/>
          <w:kern w:val="0"/>
          <w:sz w:val="24"/>
        </w:rPr>
        <w:t>）规则适用指引第</w:t>
      </w:r>
      <w:r>
        <w:rPr>
          <w:rFonts w:hint="eastAsia" w:ascii="Times New Roman" w:hAnsi="Times New Roman" w:eastAsia="仿宋_GB2312" w:cs="宋体"/>
          <w:color w:val="000000"/>
          <w:kern w:val="0"/>
          <w:sz w:val="24"/>
        </w:rPr>
        <w:t>2</w:t>
      </w:r>
      <w:r>
        <w:rPr>
          <w:rFonts w:hint="eastAsia" w:ascii="仿宋_GB2312" w:hAnsi="仿宋" w:eastAsia="仿宋_GB2312" w:cs="宋体"/>
          <w:color w:val="000000"/>
          <w:kern w:val="0"/>
          <w:sz w:val="24"/>
        </w:rPr>
        <w:t>号——发售业务（试行）》等相关规定。</w:t>
      </w:r>
    </w:p>
    <w:p w14:paraId="07E310F2">
      <w:pPr>
        <w:numPr>
          <w:ilvl w:val="0"/>
          <w:numId w:val="22"/>
        </w:numPr>
        <w:snapToGrid w:val="0"/>
        <w:spacing w:line="360" w:lineRule="auto"/>
        <w:ind w:firstLine="480" w:firstLineChars="200"/>
        <w:rPr>
          <w:rFonts w:hint="eastAsia" w:ascii="仿宋_GB2312" w:hAnsi="仿宋" w:eastAsia="仿宋_GB2312" w:cs="宋体"/>
          <w:color w:val="000000"/>
          <w:kern w:val="0"/>
          <w:sz w:val="24"/>
        </w:rPr>
      </w:pPr>
      <w:r>
        <w:rPr>
          <w:rFonts w:hint="eastAsia" w:ascii="仿宋_GB2312" w:hAnsi="仿宋" w:eastAsia="仿宋_GB2312" w:cs="宋体"/>
          <w:color w:val="000000"/>
          <w:kern w:val="0"/>
          <w:sz w:val="24"/>
        </w:rPr>
        <w:t>基金管理人负责提供</w:t>
      </w:r>
      <w:r>
        <w:rPr>
          <w:rFonts w:hint="eastAsia" w:ascii="Times New Roman" w:hAnsi="Times New Roman" w:eastAsia="仿宋_GB2312" w:cs="宋体"/>
          <w:color w:val="000000"/>
          <w:kern w:val="0"/>
          <w:sz w:val="24"/>
        </w:rPr>
        <w:t>REITs</w:t>
      </w:r>
      <w:r>
        <w:rPr>
          <w:rFonts w:hint="eastAsia" w:ascii="仿宋_GB2312" w:hAnsi="仿宋" w:eastAsia="仿宋_GB2312" w:cs="宋体"/>
          <w:color w:val="000000"/>
          <w:kern w:val="0"/>
          <w:sz w:val="24"/>
        </w:rPr>
        <w:t>限售和锁定相关数据，在发起上市申请前及时完成场内份额限售、场外份额锁定；若上市申请前无法完成限售或锁定完整流程，请推迟上市申请日期。</w:t>
      </w:r>
    </w:p>
    <w:p w14:paraId="2D0DDADF">
      <w:pPr>
        <w:numPr>
          <w:ilvl w:val="0"/>
          <w:numId w:val="22"/>
        </w:numPr>
        <w:snapToGrid w:val="0"/>
        <w:spacing w:line="360" w:lineRule="auto"/>
        <w:ind w:firstLine="480" w:firstLineChars="200"/>
        <w:rPr>
          <w:rFonts w:hint="eastAsia" w:ascii="仿宋_GB2312" w:hAnsi="仿宋" w:eastAsia="仿宋_GB2312" w:cs="宋体"/>
          <w:color w:val="000000"/>
          <w:kern w:val="0"/>
          <w:sz w:val="24"/>
        </w:rPr>
      </w:pPr>
      <w:r>
        <w:rPr>
          <w:rFonts w:hint="eastAsia" w:ascii="仿宋_GB2312" w:hAnsi="仿宋" w:eastAsia="仿宋_GB2312" w:cs="宋体"/>
          <w:color w:val="000000"/>
          <w:kern w:val="0"/>
          <w:sz w:val="24"/>
        </w:rPr>
        <w:t>场外已锁定生效的份额不能转托管至场内。</w:t>
      </w:r>
    </w:p>
    <w:p w14:paraId="07927761">
      <w:pPr>
        <w:numPr>
          <w:ilvl w:val="0"/>
          <w:numId w:val="22"/>
        </w:numPr>
        <w:snapToGrid w:val="0"/>
        <w:spacing w:line="360" w:lineRule="auto"/>
        <w:ind w:firstLine="480" w:firstLineChars="200"/>
        <w:rPr>
          <w:rFonts w:hint="eastAsia" w:ascii="仿宋_GB2312" w:hAnsi="仿宋" w:eastAsia="仿宋_GB2312" w:cs="宋体"/>
          <w:color w:val="000000"/>
          <w:kern w:val="0"/>
          <w:sz w:val="24"/>
        </w:rPr>
      </w:pPr>
      <w:r>
        <w:rPr>
          <w:rFonts w:hint="eastAsia" w:ascii="仿宋_GB2312" w:hAnsi="仿宋" w:eastAsia="仿宋_GB2312" w:cs="宋体"/>
          <w:color w:val="000000"/>
          <w:kern w:val="0"/>
          <w:sz w:val="24"/>
        </w:rPr>
        <w:t>战略投资者有限售期的场外份额如需转托管至场内，则应在基金管理人提交限售/锁定申请前完成转托管。</w:t>
      </w:r>
    </w:p>
    <w:p w14:paraId="18FA79F7">
      <w:pPr>
        <w:snapToGrid w:val="0"/>
        <w:spacing w:line="360" w:lineRule="auto"/>
        <w:ind w:left="900"/>
        <w:rPr>
          <w:rFonts w:hint="eastAsia" w:ascii="仿宋_GB2312" w:hAnsi="仿宋" w:eastAsia="仿宋_GB2312" w:cs="宋体"/>
          <w:color w:val="000000"/>
          <w:kern w:val="0"/>
          <w:sz w:val="24"/>
        </w:rPr>
      </w:pPr>
    </w:p>
    <w:p w14:paraId="5C25B545">
      <w:pPr>
        <w:pStyle w:val="30"/>
        <w:numPr>
          <w:ilvl w:val="0"/>
          <w:numId w:val="49"/>
        </w:numPr>
        <w:ind w:firstLineChars="0"/>
        <w:outlineLvl w:val="2"/>
        <w:rPr>
          <w:rFonts w:hint="eastAsia" w:ascii="仿宋_GB2312" w:hAnsi="宋体" w:eastAsia="仿宋_GB2312"/>
          <w:b/>
          <w:sz w:val="28"/>
          <w:szCs w:val="28"/>
        </w:rPr>
      </w:pPr>
      <w:bookmarkStart w:id="550" w:name="_Toc16901"/>
      <w:bookmarkStart w:id="551" w:name="_Toc2240"/>
      <w:bookmarkStart w:id="552" w:name="_Toc31811"/>
      <w:bookmarkStart w:id="553" w:name="_Toc29264"/>
      <w:bookmarkStart w:id="554" w:name="_Toc9478"/>
      <w:bookmarkStart w:id="555" w:name="_Toc31331"/>
      <w:bookmarkStart w:id="556" w:name="_Toc27066"/>
      <w:bookmarkStart w:id="557" w:name="_Toc17294"/>
      <w:bookmarkStart w:id="558" w:name="_Toc23496"/>
      <w:bookmarkStart w:id="559" w:name="_Toc9386"/>
      <w:bookmarkStart w:id="560" w:name="_Toc9018"/>
      <w:bookmarkStart w:id="561" w:name="_Toc31417"/>
      <w:bookmarkStart w:id="562" w:name="_Toc31962"/>
      <w:bookmarkStart w:id="563" w:name="_Toc31261"/>
      <w:bookmarkStart w:id="564" w:name="_Toc6581"/>
      <w:bookmarkStart w:id="565" w:name="_Toc765978293"/>
      <w:bookmarkStart w:id="566" w:name="_Toc1482182305"/>
      <w:bookmarkStart w:id="567" w:name="_Toc18599"/>
      <w:bookmarkStart w:id="568" w:name="_Toc1030061855"/>
      <w:bookmarkStart w:id="569" w:name="_Toc2077691248"/>
      <w:bookmarkStart w:id="570" w:name="_Toc1783107611"/>
      <w:bookmarkStart w:id="571" w:name="_Toc65181430"/>
      <w:bookmarkStart w:id="572" w:name="_Toc1694508824"/>
      <w:bookmarkStart w:id="573" w:name="_Toc70604226"/>
      <w:bookmarkStart w:id="574" w:name="_Toc511862660"/>
      <w:r>
        <w:rPr>
          <w:rFonts w:hint="eastAsia" w:ascii="仿宋_GB2312" w:hAnsi="宋体" w:eastAsia="仿宋_GB2312"/>
          <w:b/>
          <w:sz w:val="28"/>
          <w:szCs w:val="28"/>
        </w:rPr>
        <w:t>限售/</w:t>
      </w:r>
      <w:bookmarkEnd w:id="550"/>
      <w:bookmarkEnd w:id="551"/>
      <w:bookmarkEnd w:id="552"/>
      <w:bookmarkEnd w:id="553"/>
      <w:bookmarkEnd w:id="554"/>
      <w:bookmarkEnd w:id="555"/>
      <w:bookmarkEnd w:id="556"/>
      <w:bookmarkEnd w:id="557"/>
      <w:bookmarkEnd w:id="558"/>
      <w:bookmarkEnd w:id="559"/>
      <w:bookmarkEnd w:id="560"/>
      <w:bookmarkEnd w:id="561"/>
      <w:bookmarkEnd w:id="562"/>
      <w:bookmarkEnd w:id="563"/>
      <w:bookmarkEnd w:id="564"/>
      <w:r>
        <w:rPr>
          <w:rFonts w:hint="eastAsia" w:ascii="仿宋_GB2312" w:hAnsi="宋体" w:eastAsia="仿宋_GB2312"/>
          <w:b/>
          <w:sz w:val="28"/>
          <w:szCs w:val="28"/>
        </w:rPr>
        <w:t>锁定流程</w:t>
      </w:r>
      <w:bookmarkEnd w:id="565"/>
      <w:bookmarkEnd w:id="566"/>
      <w:bookmarkEnd w:id="567"/>
      <w:bookmarkEnd w:id="568"/>
      <w:bookmarkEnd w:id="569"/>
      <w:bookmarkEnd w:id="570"/>
      <w:bookmarkEnd w:id="571"/>
      <w:bookmarkEnd w:id="572"/>
      <w:bookmarkEnd w:id="573"/>
      <w:bookmarkEnd w:id="574"/>
    </w:p>
    <w:p w14:paraId="2DA80F47">
      <w:pPr>
        <w:pStyle w:val="13"/>
        <w:numPr>
          <w:ilvl w:val="0"/>
          <w:numId w:val="18"/>
        </w:numPr>
        <w:snapToGrid w:val="0"/>
        <w:spacing w:before="0" w:beforeAutospacing="0" w:after="0" w:afterAutospacing="0" w:line="360" w:lineRule="auto"/>
        <w:jc w:val="both"/>
        <w:rPr>
          <w:rFonts w:hint="eastAsia" w:ascii="仿宋_GB2312" w:hAnsi="仿宋" w:eastAsia="仿宋_GB2312"/>
        </w:rPr>
      </w:pPr>
      <w:r>
        <w:rPr>
          <w:rFonts w:hint="eastAsia" w:ascii="仿宋_GB2312" w:hAnsi="仿宋" w:eastAsia="仿宋_GB2312"/>
        </w:rPr>
        <w:t>名称释义：</w:t>
      </w:r>
      <w:r>
        <w:rPr>
          <w:rFonts w:hint="eastAsia" w:ascii="Times New Roman" w:hAnsi="Times New Roman" w:eastAsia="仿宋_GB2312"/>
        </w:rPr>
        <w:t>L</w:t>
      </w:r>
      <w:r>
        <w:rPr>
          <w:rFonts w:hint="eastAsia" w:ascii="仿宋_GB2312" w:hAnsi="仿宋" w:eastAsia="仿宋_GB2312"/>
        </w:rPr>
        <w:t>日为上市日</w:t>
      </w:r>
    </w:p>
    <w:p w14:paraId="235EF042">
      <w:pPr>
        <w:pStyle w:val="13"/>
        <w:snapToGrid w:val="0"/>
        <w:spacing w:before="0" w:beforeAutospacing="0" w:after="0" w:afterAutospacing="0" w:line="360" w:lineRule="auto"/>
        <w:ind w:left="840"/>
        <w:jc w:val="both"/>
        <w:rPr>
          <w:rFonts w:hint="eastAsia" w:ascii="仿宋_GB2312" w:hAnsi="仿宋" w:eastAsia="仿宋_GB2312"/>
        </w:rPr>
      </w:pPr>
    </w:p>
    <w:p w14:paraId="0C33E92C">
      <w:pPr>
        <w:pStyle w:val="13"/>
        <w:snapToGrid w:val="0"/>
        <w:spacing w:before="0" w:beforeAutospacing="0" w:after="0" w:afterAutospacing="0" w:line="360" w:lineRule="auto"/>
        <w:ind w:left="420"/>
        <w:jc w:val="both"/>
        <w:rPr>
          <w:rFonts w:hint="eastAsia" w:ascii="仿宋_GB2312" w:hAnsi="仿宋" w:eastAsia="仿宋_GB2312"/>
        </w:rPr>
      </w:pPr>
      <w:r>
        <w:rPr>
          <w:rFonts w:ascii="Times New Roman" w:hAnsi="Times New Roman" w:eastAsia="仿宋_GB2312"/>
        </w:rPr>
        <w:t>L</w:t>
      </w:r>
      <w:r>
        <w:rPr>
          <w:rFonts w:ascii="仿宋_GB2312" w:hAnsi="仿宋" w:eastAsia="仿宋_GB2312"/>
        </w:rPr>
        <w:t>-</w:t>
      </w:r>
      <w:r>
        <w:rPr>
          <w:rFonts w:ascii="Times New Roman" w:hAnsi="Times New Roman" w:eastAsia="仿宋_GB2312"/>
        </w:rPr>
        <w:t>7</w:t>
      </w:r>
      <w:r>
        <w:rPr>
          <w:rFonts w:hint="eastAsia" w:ascii="仿宋_GB2312" w:hAnsi="仿宋" w:eastAsia="仿宋_GB2312"/>
        </w:rPr>
        <w:t>日（含）</w:t>
      </w:r>
      <w:r>
        <w:rPr>
          <w:rFonts w:hint="eastAsia" w:ascii="Times New Roman" w:hAnsi="Times New Roman" w:eastAsia="仿宋_GB2312"/>
        </w:rPr>
        <w:t>17</w:t>
      </w:r>
      <w:r>
        <w:rPr>
          <w:rFonts w:hint="eastAsia" w:ascii="仿宋_GB2312" w:hAnsi="仿宋" w:eastAsia="仿宋_GB2312"/>
        </w:rPr>
        <w:t>:</w:t>
      </w:r>
      <w:r>
        <w:rPr>
          <w:rFonts w:hint="eastAsia" w:ascii="Times New Roman" w:hAnsi="Times New Roman" w:eastAsia="仿宋_GB2312"/>
        </w:rPr>
        <w:t>00</w:t>
      </w:r>
      <w:r>
        <w:rPr>
          <w:rFonts w:hint="eastAsia" w:ascii="仿宋_GB2312" w:hAnsi="仿宋" w:eastAsia="仿宋_GB2312"/>
        </w:rPr>
        <w:t>前</w:t>
      </w:r>
    </w:p>
    <w:p w14:paraId="3E85049E">
      <w:pPr>
        <w:numPr>
          <w:ilvl w:val="0"/>
          <w:numId w:val="50"/>
        </w:numPr>
        <w:snapToGrid w:val="0"/>
        <w:spacing w:line="360" w:lineRule="auto"/>
        <w:ind w:firstLine="480" w:firstLineChars="200"/>
        <w:rPr>
          <w:rFonts w:hint="eastAsia" w:ascii="仿宋_GB2312" w:hAnsi="仿宋" w:eastAsia="仿宋_GB2312" w:cs="宋体"/>
          <w:color w:val="000000"/>
          <w:kern w:val="0"/>
          <w:sz w:val="24"/>
        </w:rPr>
      </w:pPr>
      <w:r>
        <w:rPr>
          <w:rFonts w:hint="eastAsia" w:ascii="仿宋_GB2312" w:hAnsi="仿宋" w:eastAsia="仿宋_GB2312" w:cs="宋体"/>
          <w:color w:val="000000"/>
          <w:kern w:val="0"/>
          <w:sz w:val="24"/>
        </w:rPr>
        <w:t>基金管理人通过</w:t>
      </w:r>
      <w:r>
        <w:rPr>
          <w:rFonts w:hint="eastAsia" w:ascii="Times New Roman" w:hAnsi="Times New Roman" w:eastAsia="仿宋_GB2312" w:cs="宋体"/>
          <w:color w:val="000000"/>
          <w:kern w:val="0"/>
          <w:sz w:val="24"/>
        </w:rPr>
        <w:t>REITs</w:t>
      </w:r>
      <w:r>
        <w:rPr>
          <w:rFonts w:hint="eastAsia" w:ascii="仿宋_GB2312" w:hAnsi="仿宋" w:eastAsia="仿宋_GB2312" w:cs="宋体"/>
          <w:color w:val="000000"/>
          <w:kern w:val="0"/>
          <w:sz w:val="24"/>
        </w:rPr>
        <w:t>业务管理系统平台菜单“业务申请-</w:t>
      </w:r>
      <w:r>
        <w:rPr>
          <w:rFonts w:hint="eastAsia" w:ascii="Times New Roman" w:hAnsi="Times New Roman" w:eastAsia="仿宋_GB2312" w:cs="宋体"/>
          <w:color w:val="000000"/>
          <w:kern w:val="0"/>
          <w:sz w:val="24"/>
        </w:rPr>
        <w:t>REITs</w:t>
      </w:r>
      <w:r>
        <w:rPr>
          <w:rFonts w:hint="eastAsia" w:ascii="仿宋_GB2312" w:hAnsi="仿宋" w:eastAsia="仿宋_GB2312" w:cs="宋体"/>
          <w:color w:val="000000"/>
          <w:kern w:val="0"/>
          <w:sz w:val="24"/>
        </w:rPr>
        <w:t>-限售及解锁”提交限售申请（场内限售、场外锁定）；</w:t>
      </w:r>
    </w:p>
    <w:p w14:paraId="100EEDC1">
      <w:pPr>
        <w:numPr>
          <w:ilvl w:val="0"/>
          <w:numId w:val="50"/>
        </w:numPr>
        <w:snapToGrid w:val="0"/>
        <w:spacing w:line="360" w:lineRule="auto"/>
        <w:ind w:firstLine="480" w:firstLineChars="200"/>
        <w:rPr>
          <w:rFonts w:hint="eastAsia" w:ascii="仿宋_GB2312" w:hAnsi="仿宋" w:eastAsia="仿宋_GB2312" w:cs="宋体"/>
          <w:color w:val="000000"/>
          <w:kern w:val="0"/>
          <w:sz w:val="24"/>
        </w:rPr>
      </w:pPr>
      <w:r>
        <w:rPr>
          <w:rFonts w:hint="eastAsia" w:ascii="仿宋_GB2312" w:hAnsi="仿宋" w:eastAsia="仿宋_GB2312" w:cs="宋体"/>
          <w:color w:val="000000"/>
          <w:kern w:val="0"/>
          <w:sz w:val="24"/>
        </w:rPr>
        <w:t>申请限售时，基金管理人应当向本所提交下列文件：</w:t>
      </w:r>
    </w:p>
    <w:p w14:paraId="27C3BC1D">
      <w:pPr>
        <w:numPr>
          <w:ilvl w:val="0"/>
          <w:numId w:val="51"/>
        </w:numPr>
        <w:snapToGrid w:val="0"/>
        <w:spacing w:line="360" w:lineRule="auto"/>
        <w:rPr>
          <w:rFonts w:hint="eastAsia" w:ascii="仿宋_GB2312" w:hAnsi="仿宋" w:eastAsia="仿宋_GB2312" w:cs="宋体"/>
          <w:color w:val="000000"/>
          <w:kern w:val="0"/>
          <w:sz w:val="24"/>
        </w:rPr>
      </w:pPr>
      <w:r>
        <w:rPr>
          <w:rFonts w:hint="eastAsia" w:ascii="Times New Roman" w:hAnsi="Times New Roman" w:eastAsia="仿宋_GB2312" w:cs="宋体"/>
          <w:color w:val="000000"/>
          <w:kern w:val="0"/>
          <w:sz w:val="24"/>
        </w:rPr>
        <w:t>REITs</w:t>
      </w:r>
      <w:r>
        <w:rPr>
          <w:rFonts w:hint="eastAsia" w:ascii="仿宋_GB2312" w:hAnsi="仿宋" w:eastAsia="仿宋_GB2312" w:cs="宋体"/>
          <w:color w:val="000000"/>
          <w:kern w:val="0"/>
          <w:sz w:val="24"/>
        </w:rPr>
        <w:t>场内份额限售申请；</w:t>
      </w:r>
    </w:p>
    <w:p w14:paraId="1B146474">
      <w:pPr>
        <w:numPr>
          <w:ilvl w:val="0"/>
          <w:numId w:val="51"/>
        </w:numPr>
        <w:snapToGrid w:val="0"/>
        <w:spacing w:line="360" w:lineRule="auto"/>
        <w:rPr>
          <w:rFonts w:hint="eastAsia" w:ascii="仿宋_GB2312" w:hAnsi="仿宋" w:eastAsia="仿宋_GB2312" w:cs="宋体"/>
          <w:color w:val="000000"/>
          <w:kern w:val="0"/>
          <w:sz w:val="24"/>
        </w:rPr>
      </w:pPr>
      <w:r>
        <w:rPr>
          <w:rFonts w:hint="eastAsia" w:ascii="Times New Roman" w:hAnsi="Times New Roman" w:eastAsia="仿宋_GB2312" w:cs="宋体"/>
          <w:color w:val="000000"/>
          <w:kern w:val="0"/>
          <w:sz w:val="24"/>
        </w:rPr>
        <w:t>REITs</w:t>
      </w:r>
      <w:r>
        <w:rPr>
          <w:rFonts w:hint="eastAsia" w:ascii="仿宋_GB2312" w:hAnsi="仿宋" w:eastAsia="仿宋_GB2312" w:cs="宋体"/>
          <w:color w:val="000000"/>
          <w:kern w:val="0"/>
          <w:sz w:val="24"/>
        </w:rPr>
        <w:t>场外份额锁定申请；</w:t>
      </w:r>
    </w:p>
    <w:p w14:paraId="785E674A">
      <w:pPr>
        <w:numPr>
          <w:ilvl w:val="0"/>
          <w:numId w:val="51"/>
        </w:numPr>
        <w:snapToGrid w:val="0"/>
        <w:spacing w:line="360" w:lineRule="auto"/>
        <w:rPr>
          <w:rFonts w:hint="eastAsia" w:ascii="仿宋_GB2312" w:hAnsi="仿宋" w:eastAsia="仿宋_GB2312" w:cs="宋体"/>
          <w:color w:val="000000"/>
          <w:kern w:val="0"/>
          <w:sz w:val="24"/>
        </w:rPr>
      </w:pPr>
      <w:r>
        <w:rPr>
          <w:rFonts w:hint="eastAsia" w:ascii="仿宋_GB2312" w:hAnsi="仿宋" w:eastAsia="仿宋_GB2312" w:cs="宋体"/>
          <w:color w:val="000000"/>
          <w:kern w:val="0"/>
          <w:sz w:val="24"/>
        </w:rPr>
        <w:t>基金份额限售/锁定的公告（附件</w:t>
      </w:r>
      <w:r>
        <w:rPr>
          <w:rFonts w:hint="eastAsia" w:ascii="Times New Roman" w:hAnsi="Times New Roman" w:eastAsia="仿宋_GB2312" w:cs="宋体"/>
          <w:color w:val="000000"/>
          <w:kern w:val="0"/>
          <w:sz w:val="24"/>
        </w:rPr>
        <w:t>2</w:t>
      </w:r>
      <w:r>
        <w:rPr>
          <w:rFonts w:hint="eastAsia" w:ascii="仿宋_GB2312" w:hAnsi="仿宋" w:eastAsia="仿宋_GB2312" w:cs="宋体"/>
          <w:color w:val="000000"/>
          <w:kern w:val="0"/>
          <w:sz w:val="24"/>
        </w:rPr>
        <w:t>-</w:t>
      </w:r>
      <w:r>
        <w:rPr>
          <w:rFonts w:hint="eastAsia" w:ascii="Times New Roman" w:hAnsi="Times New Roman" w:eastAsia="仿宋_GB2312" w:cs="宋体"/>
          <w:color w:val="000000"/>
          <w:kern w:val="0"/>
          <w:sz w:val="24"/>
        </w:rPr>
        <w:t>4</w:t>
      </w:r>
      <w:r>
        <w:rPr>
          <w:rFonts w:hint="eastAsia" w:ascii="仿宋_GB2312" w:hAnsi="仿宋" w:eastAsia="仿宋_GB2312" w:cs="宋体"/>
          <w:color w:val="000000"/>
          <w:kern w:val="0"/>
          <w:sz w:val="24"/>
        </w:rPr>
        <w:t>）；</w:t>
      </w:r>
    </w:p>
    <w:p w14:paraId="58AD8814">
      <w:pPr>
        <w:numPr>
          <w:ilvl w:val="0"/>
          <w:numId w:val="51"/>
        </w:numPr>
        <w:snapToGrid w:val="0"/>
        <w:spacing w:line="360" w:lineRule="auto"/>
        <w:rPr>
          <w:rFonts w:hint="eastAsia" w:ascii="仿宋_GB2312" w:hAnsi="仿宋" w:eastAsia="仿宋_GB2312" w:cs="宋体"/>
          <w:color w:val="000000"/>
          <w:kern w:val="0"/>
          <w:sz w:val="24"/>
        </w:rPr>
      </w:pPr>
      <w:r>
        <w:rPr>
          <w:rFonts w:hint="eastAsia" w:ascii="仿宋_GB2312" w:hAnsi="仿宋" w:eastAsia="仿宋_GB2312" w:cs="宋体"/>
          <w:color w:val="000000"/>
          <w:kern w:val="0"/>
          <w:sz w:val="24"/>
        </w:rPr>
        <w:t>本所要求的其他文件。</w:t>
      </w:r>
    </w:p>
    <w:p w14:paraId="144A4D65">
      <w:pPr>
        <w:pStyle w:val="13"/>
        <w:snapToGrid w:val="0"/>
        <w:spacing w:before="0" w:beforeAutospacing="0" w:after="0" w:afterAutospacing="0" w:line="360" w:lineRule="auto"/>
        <w:ind w:left="420"/>
        <w:jc w:val="both"/>
        <w:rPr>
          <w:rFonts w:hint="eastAsia" w:ascii="仿宋_GB2312" w:hAnsi="仿宋" w:eastAsia="仿宋_GB2312"/>
        </w:rPr>
      </w:pPr>
    </w:p>
    <w:p w14:paraId="0187E546">
      <w:pPr>
        <w:pStyle w:val="13"/>
        <w:snapToGrid w:val="0"/>
        <w:spacing w:before="0" w:beforeAutospacing="0" w:after="0" w:afterAutospacing="0" w:line="360" w:lineRule="auto"/>
        <w:ind w:left="420"/>
        <w:jc w:val="both"/>
        <w:rPr>
          <w:rFonts w:hint="eastAsia" w:ascii="仿宋_GB2312" w:hAnsi="仿宋" w:eastAsia="仿宋_GB2312"/>
        </w:rPr>
      </w:pPr>
      <w:r>
        <w:rPr>
          <w:rFonts w:hint="eastAsia" w:ascii="Times New Roman" w:hAnsi="Times New Roman" w:eastAsia="仿宋_GB2312"/>
        </w:rPr>
        <w:t>L</w:t>
      </w:r>
      <w:r>
        <w:rPr>
          <w:rFonts w:ascii="仿宋_GB2312" w:hAnsi="仿宋" w:eastAsia="仿宋_GB2312"/>
        </w:rPr>
        <w:t>-</w:t>
      </w:r>
      <w:r>
        <w:rPr>
          <w:rFonts w:hint="eastAsia" w:ascii="Times New Roman" w:hAnsi="Times New Roman" w:eastAsia="仿宋_GB2312"/>
        </w:rPr>
        <w:t>5</w:t>
      </w:r>
      <w:r>
        <w:rPr>
          <w:rFonts w:hint="eastAsia" w:ascii="仿宋_GB2312" w:hAnsi="仿宋" w:eastAsia="仿宋_GB2312"/>
        </w:rPr>
        <w:t>日（含）前</w:t>
      </w:r>
    </w:p>
    <w:p w14:paraId="55737024">
      <w:pPr>
        <w:numPr>
          <w:ilvl w:val="0"/>
          <w:numId w:val="50"/>
        </w:numPr>
        <w:snapToGrid w:val="0"/>
        <w:spacing w:line="360" w:lineRule="auto"/>
        <w:ind w:firstLine="480" w:firstLineChars="200"/>
        <w:rPr>
          <w:rFonts w:hint="eastAsia" w:ascii="仿宋_GB2312" w:hAnsi="仿宋" w:eastAsia="仿宋_GB2312" w:cs="宋体"/>
          <w:color w:val="000000"/>
          <w:kern w:val="0"/>
          <w:sz w:val="24"/>
        </w:rPr>
      </w:pPr>
      <w:r>
        <w:rPr>
          <w:rFonts w:hint="eastAsia" w:ascii="仿宋_GB2312" w:hAnsi="仿宋" w:eastAsia="仿宋_GB2312" w:cs="宋体"/>
          <w:color w:val="000000"/>
          <w:kern w:val="0"/>
          <w:sz w:val="24"/>
        </w:rPr>
        <w:t>上海结算完成场内份额限售登记；</w:t>
      </w:r>
    </w:p>
    <w:p w14:paraId="48A1FA62">
      <w:pPr>
        <w:numPr>
          <w:ilvl w:val="0"/>
          <w:numId w:val="50"/>
        </w:numPr>
        <w:snapToGrid w:val="0"/>
        <w:spacing w:line="360" w:lineRule="auto"/>
        <w:ind w:firstLine="480" w:firstLineChars="200"/>
        <w:rPr>
          <w:rFonts w:hint="eastAsia" w:ascii="仿宋_GB2312" w:hAnsi="仿宋" w:eastAsia="仿宋_GB2312" w:cs="宋体"/>
          <w:color w:val="000000"/>
          <w:kern w:val="0"/>
          <w:sz w:val="24"/>
        </w:rPr>
      </w:pPr>
      <w:r>
        <w:rPr>
          <w:rFonts w:hint="eastAsia" w:ascii="仿宋_GB2312" w:hAnsi="仿宋" w:eastAsia="仿宋_GB2312" w:cs="宋体"/>
          <w:color w:val="000000"/>
          <w:kern w:val="0"/>
          <w:sz w:val="24"/>
        </w:rPr>
        <w:t>中国结算总部完成场外份额锁定；</w:t>
      </w:r>
    </w:p>
    <w:p w14:paraId="090F56B9">
      <w:pPr>
        <w:numPr>
          <w:ilvl w:val="0"/>
          <w:numId w:val="50"/>
        </w:numPr>
        <w:snapToGrid w:val="0"/>
        <w:spacing w:line="360" w:lineRule="auto"/>
        <w:ind w:firstLine="480" w:firstLineChars="200"/>
        <w:rPr>
          <w:rFonts w:hint="eastAsia" w:ascii="仿宋_GB2312" w:hAnsi="仿宋" w:eastAsia="仿宋_GB2312" w:cs="宋体"/>
          <w:color w:val="000000"/>
          <w:kern w:val="0"/>
          <w:sz w:val="24"/>
        </w:rPr>
      </w:pPr>
      <w:r>
        <w:rPr>
          <w:rFonts w:hint="eastAsia" w:ascii="仿宋_GB2312" w:hAnsi="仿宋" w:eastAsia="仿宋_GB2312" w:cs="宋体"/>
          <w:color w:val="000000"/>
          <w:kern w:val="0"/>
          <w:sz w:val="24"/>
        </w:rPr>
        <w:t>在办结限售和锁定流程前，原则上，</w:t>
      </w:r>
      <w:r>
        <w:rPr>
          <w:rFonts w:hint="eastAsia" w:ascii="仿宋_GB2312" w:hAnsi="仿宋" w:eastAsia="仿宋_GB2312" w:cs="宋体"/>
          <w:color w:val="000000"/>
          <w:kern w:val="0"/>
          <w:sz w:val="24"/>
          <w:szCs w:val="24"/>
        </w:rPr>
        <w:t>基金管理人应一次性完成所有限售份额的限售</w:t>
      </w:r>
      <w:r>
        <w:rPr>
          <w:rFonts w:hint="eastAsia" w:ascii="仿宋_GB2312" w:hAnsi="仿宋" w:eastAsia="仿宋_GB2312" w:cs="宋体"/>
          <w:color w:val="000000"/>
          <w:kern w:val="0"/>
          <w:sz w:val="24"/>
        </w:rPr>
        <w:t>/锁定。</w:t>
      </w:r>
    </w:p>
    <w:p w14:paraId="1460B67D">
      <w:pPr>
        <w:numPr>
          <w:ilvl w:val="0"/>
          <w:numId w:val="50"/>
        </w:numPr>
        <w:snapToGrid w:val="0"/>
        <w:spacing w:line="360" w:lineRule="auto"/>
        <w:ind w:firstLine="480" w:firstLineChars="200"/>
        <w:rPr>
          <w:rFonts w:hint="eastAsia" w:ascii="仿宋_GB2312" w:hAnsi="仿宋" w:eastAsia="仿宋_GB2312" w:cs="宋体"/>
          <w:color w:val="000000"/>
          <w:kern w:val="0"/>
          <w:sz w:val="24"/>
        </w:rPr>
      </w:pPr>
      <w:r>
        <w:rPr>
          <w:rFonts w:hint="eastAsia" w:ascii="仿宋_GB2312" w:hAnsi="仿宋" w:eastAsia="仿宋_GB2312" w:cs="宋体"/>
          <w:color w:val="000000"/>
          <w:kern w:val="0"/>
          <w:sz w:val="24"/>
        </w:rPr>
        <w:t>基金管理人</w:t>
      </w:r>
      <w:r>
        <w:rPr>
          <w:rFonts w:hint="eastAsia" w:ascii="仿宋_GB2312" w:hAnsi="仿宋" w:eastAsia="仿宋_GB2312" w:cs="宋体"/>
          <w:color w:val="000000"/>
          <w:kern w:val="0"/>
          <w:sz w:val="24"/>
          <w:lang w:eastAsia="zh-CN"/>
        </w:rPr>
        <w:t>应</w:t>
      </w:r>
      <w:r>
        <w:rPr>
          <w:rFonts w:hint="eastAsia" w:ascii="仿宋_GB2312" w:hAnsi="仿宋" w:eastAsia="仿宋_GB2312" w:cs="宋体"/>
          <w:color w:val="000000"/>
          <w:kern w:val="0"/>
          <w:sz w:val="24"/>
        </w:rPr>
        <w:t>确</w:t>
      </w:r>
      <w:r>
        <w:rPr>
          <w:rFonts w:hint="eastAsia" w:ascii="仿宋_GB2312" w:hAnsi="仿宋" w:eastAsia="仿宋_GB2312" w:cs="宋体"/>
          <w:color w:val="000000"/>
          <w:kern w:val="0"/>
          <w:sz w:val="24"/>
          <w:lang w:eastAsia="zh-CN"/>
        </w:rPr>
        <w:t>保在</w:t>
      </w:r>
      <w:r>
        <w:rPr>
          <w:rFonts w:hint="eastAsia" w:ascii="仿宋_GB2312" w:hAnsi="仿宋" w:eastAsia="仿宋_GB2312" w:cs="宋体"/>
          <w:color w:val="000000"/>
          <w:kern w:val="0"/>
          <w:sz w:val="24"/>
          <w:lang w:val="en-US" w:eastAsia="zh-CN"/>
        </w:rPr>
        <w:t>L-5日（含）前</w:t>
      </w:r>
      <w:r>
        <w:rPr>
          <w:rFonts w:hint="eastAsia" w:ascii="仿宋_GB2312" w:hAnsi="仿宋" w:eastAsia="仿宋_GB2312" w:cs="宋体"/>
          <w:color w:val="000000"/>
          <w:kern w:val="0"/>
          <w:sz w:val="24"/>
        </w:rPr>
        <w:t>战略投资者份额的限售和锁定已完成</w:t>
      </w:r>
      <w:r>
        <w:rPr>
          <w:rFonts w:hint="eastAsia" w:ascii="仿宋_GB2312" w:hAnsi="仿宋" w:eastAsia="仿宋_GB2312" w:cs="宋体"/>
          <w:color w:val="000000"/>
          <w:kern w:val="0"/>
          <w:sz w:val="24"/>
          <w:lang w:eastAsia="zh-CN"/>
        </w:rPr>
        <w:t>；若无法及时</w:t>
      </w:r>
      <w:r>
        <w:rPr>
          <w:rFonts w:hint="eastAsia" w:ascii="仿宋_GB2312" w:hAnsi="仿宋" w:eastAsia="仿宋_GB2312" w:cs="宋体"/>
          <w:color w:val="000000"/>
          <w:kern w:val="0"/>
          <w:sz w:val="24"/>
          <w:lang w:val="en-US" w:eastAsia="zh-CN"/>
        </w:rPr>
        <w:t>办结限售和锁定流程的，应推迟初始上市日期</w:t>
      </w:r>
      <w:r>
        <w:rPr>
          <w:rFonts w:hint="eastAsia" w:ascii="仿宋_GB2312" w:hAnsi="仿宋" w:eastAsia="仿宋_GB2312" w:cs="宋体"/>
          <w:color w:val="000000"/>
          <w:kern w:val="0"/>
          <w:sz w:val="24"/>
        </w:rPr>
        <w:t>。</w:t>
      </w:r>
    </w:p>
    <w:p w14:paraId="5D459008">
      <w:pPr>
        <w:numPr>
          <w:ilvl w:val="0"/>
          <w:numId w:val="50"/>
        </w:numPr>
        <w:snapToGrid w:val="0"/>
        <w:spacing w:line="360" w:lineRule="auto"/>
        <w:ind w:firstLine="480" w:firstLineChars="200"/>
        <w:rPr>
          <w:rFonts w:hint="eastAsia" w:ascii="仿宋_GB2312" w:hAnsi="仿宋" w:eastAsia="仿宋_GB2312" w:cs="宋体"/>
          <w:color w:val="000000"/>
          <w:kern w:val="0"/>
          <w:sz w:val="24"/>
        </w:rPr>
      </w:pPr>
      <w:r>
        <w:rPr>
          <w:rFonts w:hint="eastAsia" w:ascii="仿宋_GB2312" w:hAnsi="仿宋" w:eastAsia="仿宋_GB2312" w:cs="宋体"/>
          <w:color w:val="000000"/>
          <w:kern w:val="0"/>
          <w:sz w:val="24"/>
          <w:szCs w:val="24"/>
        </w:rPr>
        <w:t>基金份额限售</w:t>
      </w:r>
      <w:r>
        <w:rPr>
          <w:rFonts w:ascii="仿宋_GB2312" w:hAnsi="仿宋" w:eastAsia="仿宋_GB2312" w:cs="宋体"/>
          <w:color w:val="000000"/>
          <w:kern w:val="0"/>
          <w:sz w:val="24"/>
          <w:szCs w:val="24"/>
        </w:rPr>
        <w:t>/</w:t>
      </w:r>
      <w:r>
        <w:rPr>
          <w:rFonts w:hint="eastAsia" w:ascii="仿宋_GB2312" w:hAnsi="仿宋" w:eastAsia="仿宋_GB2312" w:cs="宋体"/>
          <w:color w:val="000000"/>
          <w:kern w:val="0"/>
          <w:sz w:val="24"/>
          <w:szCs w:val="24"/>
        </w:rPr>
        <w:t>锁定</w:t>
      </w:r>
      <w:r>
        <w:rPr>
          <w:rFonts w:ascii="仿宋_GB2312" w:hAnsi="仿宋" w:eastAsia="仿宋_GB2312" w:cs="宋体"/>
          <w:color w:val="000000"/>
          <w:kern w:val="0"/>
          <w:sz w:val="24"/>
          <w:szCs w:val="24"/>
        </w:rPr>
        <w:t>的公告</w:t>
      </w:r>
      <w:r>
        <w:rPr>
          <w:rFonts w:hint="eastAsia" w:ascii="仿宋_GB2312" w:hAnsi="仿宋" w:eastAsia="仿宋_GB2312" w:cs="宋体"/>
          <w:color w:val="000000"/>
          <w:kern w:val="0"/>
          <w:sz w:val="24"/>
          <w:szCs w:val="24"/>
        </w:rPr>
        <w:t>见网。</w:t>
      </w:r>
    </w:p>
    <w:p w14:paraId="50B36CB4">
      <w:pPr>
        <w:snapToGrid w:val="0"/>
        <w:spacing w:line="360" w:lineRule="auto"/>
        <w:ind w:left="420"/>
        <w:rPr>
          <w:rFonts w:hint="eastAsia" w:ascii="仿宋_GB2312" w:hAnsi="仿宋" w:eastAsia="仿宋_GB2312" w:cs="宋体"/>
          <w:color w:val="000000"/>
          <w:kern w:val="0"/>
          <w:sz w:val="24"/>
        </w:rPr>
      </w:pPr>
    </w:p>
    <w:p w14:paraId="0E5E2184">
      <w:pPr>
        <w:snapToGrid w:val="0"/>
        <w:spacing w:line="360" w:lineRule="auto"/>
        <w:ind w:left="420"/>
        <w:rPr>
          <w:rFonts w:hint="eastAsia" w:ascii="仿宋_GB2312" w:hAnsi="仿宋" w:eastAsia="仿宋_GB2312" w:cs="宋体"/>
          <w:color w:val="000000"/>
          <w:kern w:val="0"/>
          <w:sz w:val="24"/>
          <w:szCs w:val="24"/>
        </w:rPr>
      </w:pPr>
      <w:r>
        <w:rPr>
          <w:rFonts w:hint="eastAsia" w:ascii="Times New Roman" w:hAnsi="Times New Roman" w:eastAsia="仿宋_GB2312" w:cs="宋体"/>
          <w:color w:val="000000"/>
          <w:kern w:val="0"/>
          <w:sz w:val="24"/>
          <w:szCs w:val="24"/>
        </w:rPr>
        <w:t>L</w:t>
      </w:r>
      <w:r>
        <w:rPr>
          <w:rFonts w:hint="eastAsia" w:ascii="仿宋_GB2312" w:hAnsi="仿宋" w:eastAsia="仿宋_GB2312" w:cs="宋体"/>
          <w:color w:val="000000"/>
          <w:kern w:val="0"/>
          <w:sz w:val="24"/>
          <w:szCs w:val="24"/>
        </w:rPr>
        <w:t>日（含）</w:t>
      </w:r>
    </w:p>
    <w:p w14:paraId="4C387C8D">
      <w:pPr>
        <w:numPr>
          <w:ilvl w:val="0"/>
          <w:numId w:val="50"/>
        </w:numPr>
        <w:snapToGrid w:val="0"/>
        <w:spacing w:line="360" w:lineRule="auto"/>
        <w:ind w:firstLine="480" w:firstLineChars="200"/>
        <w:rPr>
          <w:rFonts w:hint="eastAsia" w:ascii="仿宋_GB2312" w:hAnsi="仿宋" w:eastAsia="仿宋_GB2312" w:cs="宋体"/>
          <w:color w:val="000000"/>
          <w:kern w:val="0"/>
          <w:sz w:val="24"/>
        </w:rPr>
      </w:pPr>
      <w:r>
        <w:rPr>
          <w:rFonts w:hint="eastAsia" w:ascii="仿宋_GB2312" w:hAnsi="仿宋" w:eastAsia="仿宋_GB2312" w:cs="宋体"/>
          <w:color w:val="000000"/>
          <w:kern w:val="0"/>
          <w:sz w:val="24"/>
        </w:rPr>
        <w:t>对于完成锁定的份额明细，</w:t>
      </w:r>
      <w:r>
        <w:rPr>
          <w:rFonts w:hint="eastAsia" w:ascii="Times New Roman" w:hAnsi="Times New Roman" w:eastAsia="仿宋_GB2312" w:cs="宋体"/>
          <w:color w:val="000000"/>
          <w:kern w:val="0"/>
          <w:sz w:val="24"/>
        </w:rPr>
        <w:t>L</w:t>
      </w:r>
      <w:r>
        <w:rPr>
          <w:rFonts w:hint="eastAsia" w:ascii="仿宋_GB2312" w:hAnsi="仿宋" w:eastAsia="仿宋_GB2312" w:cs="宋体"/>
          <w:color w:val="000000"/>
          <w:kern w:val="0"/>
          <w:sz w:val="24"/>
        </w:rPr>
        <w:t>日当日投资者申报的份额减少类业务（赎回、转托管等）将判失败。</w:t>
      </w:r>
    </w:p>
    <w:p w14:paraId="2E0EFE85">
      <w:pPr>
        <w:tabs>
          <w:tab w:val="left" w:pos="420"/>
        </w:tabs>
        <w:snapToGrid w:val="0"/>
        <w:spacing w:line="360" w:lineRule="auto"/>
        <w:ind w:left="900"/>
        <w:rPr>
          <w:rFonts w:hint="eastAsia" w:ascii="仿宋_GB2312" w:hAnsi="仿宋" w:eastAsia="仿宋_GB2312" w:cs="宋体"/>
          <w:color w:val="000000"/>
          <w:kern w:val="0"/>
          <w:sz w:val="24"/>
        </w:rPr>
      </w:pPr>
    </w:p>
    <w:p w14:paraId="1047113B">
      <w:pPr>
        <w:pStyle w:val="30"/>
        <w:numPr>
          <w:ilvl w:val="0"/>
          <w:numId w:val="1"/>
        </w:numPr>
        <w:ind w:left="0" w:firstLine="6" w:firstLineChars="0"/>
        <w:outlineLvl w:val="1"/>
        <w:rPr>
          <w:rFonts w:hint="eastAsia" w:ascii="黑体" w:hAnsi="黑体" w:eastAsia="黑体"/>
          <w:b/>
          <w:sz w:val="30"/>
          <w:szCs w:val="30"/>
        </w:rPr>
      </w:pPr>
      <w:bookmarkStart w:id="575" w:name="_Toc4794"/>
      <w:bookmarkStart w:id="576" w:name="_Toc1710382810"/>
      <w:bookmarkStart w:id="577" w:name="_Toc16154"/>
      <w:bookmarkStart w:id="578" w:name="_Toc7971"/>
      <w:bookmarkStart w:id="579" w:name="_Toc19166"/>
      <w:bookmarkStart w:id="580" w:name="_Toc14963"/>
      <w:bookmarkStart w:id="581" w:name="_Toc25939"/>
      <w:bookmarkStart w:id="582" w:name="_Toc1432316536"/>
      <w:bookmarkStart w:id="583" w:name="_Toc1591"/>
      <w:bookmarkStart w:id="584" w:name="_Toc1676"/>
      <w:bookmarkStart w:id="585" w:name="_Toc24155"/>
      <w:bookmarkStart w:id="586" w:name="_Toc1477016622"/>
      <w:bookmarkStart w:id="587" w:name="_Toc11466"/>
      <w:bookmarkStart w:id="588" w:name="_Toc14368"/>
      <w:bookmarkStart w:id="589" w:name="_Toc29793"/>
      <w:bookmarkStart w:id="590" w:name="_Toc21297"/>
      <w:bookmarkStart w:id="591" w:name="_Toc8087"/>
      <w:bookmarkStart w:id="592" w:name="_Toc1720886962"/>
      <w:bookmarkStart w:id="593" w:name="_Toc9738"/>
      <w:bookmarkStart w:id="594" w:name="_Toc70604227"/>
      <w:bookmarkStart w:id="595" w:name="_Toc6929"/>
      <w:bookmarkStart w:id="596" w:name="_Toc881274800"/>
      <w:bookmarkStart w:id="597" w:name="_Toc65181431"/>
      <w:bookmarkStart w:id="598" w:name="_Toc686211963"/>
      <w:bookmarkStart w:id="599" w:name="_Toc599955262"/>
      <w:r>
        <w:rPr>
          <w:rFonts w:hint="eastAsia" w:ascii="黑体" w:hAnsi="黑体" w:eastAsia="黑体"/>
          <w:b/>
          <w:sz w:val="30"/>
          <w:szCs w:val="30"/>
        </w:rPr>
        <w:t>特殊情况处理</w:t>
      </w:r>
      <w:bookmarkEnd w:id="575"/>
      <w:bookmarkEnd w:id="576"/>
      <w:bookmarkEnd w:id="577"/>
      <w:bookmarkEnd w:id="578"/>
      <w:bookmarkEnd w:id="579"/>
      <w:bookmarkEnd w:id="580"/>
      <w:bookmarkEnd w:id="581"/>
      <w:bookmarkEnd w:id="582"/>
      <w:bookmarkEnd w:id="583"/>
      <w:bookmarkEnd w:id="584"/>
      <w:bookmarkEnd w:id="585"/>
      <w:bookmarkEnd w:id="586"/>
      <w:bookmarkEnd w:id="587"/>
      <w:bookmarkEnd w:id="588"/>
      <w:bookmarkEnd w:id="589"/>
      <w:bookmarkEnd w:id="590"/>
      <w:bookmarkEnd w:id="591"/>
      <w:bookmarkEnd w:id="592"/>
      <w:bookmarkEnd w:id="593"/>
      <w:bookmarkEnd w:id="594"/>
      <w:bookmarkEnd w:id="595"/>
      <w:bookmarkEnd w:id="596"/>
      <w:bookmarkEnd w:id="597"/>
      <w:bookmarkEnd w:id="598"/>
      <w:bookmarkEnd w:id="599"/>
      <w:r>
        <w:rPr>
          <w:rFonts w:hint="eastAsia" w:ascii="黑体" w:hAnsi="黑体" w:eastAsia="黑体"/>
          <w:b/>
          <w:sz w:val="30"/>
          <w:szCs w:val="30"/>
        </w:rPr>
        <w:tab/>
      </w:r>
    </w:p>
    <w:p w14:paraId="116CC0E7">
      <w:pPr>
        <w:pStyle w:val="30"/>
        <w:numPr>
          <w:ilvl w:val="0"/>
          <w:numId w:val="52"/>
        </w:numPr>
        <w:ind w:firstLineChars="0"/>
        <w:outlineLvl w:val="2"/>
        <w:rPr>
          <w:rFonts w:hint="eastAsia" w:ascii="仿宋_GB2312" w:hAnsi="宋体" w:eastAsia="仿宋_GB2312"/>
          <w:b/>
          <w:sz w:val="28"/>
          <w:szCs w:val="28"/>
        </w:rPr>
      </w:pPr>
      <w:bookmarkStart w:id="600" w:name="_Toc68530077"/>
      <w:bookmarkEnd w:id="600"/>
      <w:bookmarkStart w:id="601" w:name="_Toc66382971"/>
      <w:bookmarkEnd w:id="601"/>
      <w:bookmarkStart w:id="602" w:name="_Toc66692908"/>
      <w:bookmarkEnd w:id="602"/>
      <w:bookmarkStart w:id="603" w:name="_Toc69804774"/>
      <w:bookmarkEnd w:id="603"/>
      <w:bookmarkStart w:id="604" w:name="_Toc69303752"/>
      <w:bookmarkEnd w:id="604"/>
      <w:bookmarkStart w:id="605" w:name="_Toc66381511"/>
      <w:bookmarkEnd w:id="605"/>
      <w:bookmarkStart w:id="606" w:name="_Toc66381516"/>
      <w:bookmarkEnd w:id="606"/>
      <w:bookmarkStart w:id="607" w:name="_Toc69804781"/>
      <w:bookmarkEnd w:id="607"/>
      <w:bookmarkStart w:id="608" w:name="_Toc66692916"/>
      <w:bookmarkEnd w:id="608"/>
      <w:bookmarkStart w:id="609" w:name="_Toc68530076"/>
      <w:bookmarkEnd w:id="609"/>
      <w:bookmarkStart w:id="610" w:name="_Toc66381428"/>
      <w:bookmarkEnd w:id="610"/>
      <w:bookmarkStart w:id="611" w:name="_Toc66381434"/>
      <w:bookmarkEnd w:id="611"/>
      <w:bookmarkStart w:id="612" w:name="_Toc66692907"/>
      <w:bookmarkEnd w:id="612"/>
      <w:bookmarkStart w:id="613" w:name="_Toc68530084"/>
      <w:bookmarkEnd w:id="613"/>
      <w:bookmarkStart w:id="614" w:name="_Toc69303757"/>
      <w:bookmarkEnd w:id="614"/>
      <w:bookmarkStart w:id="615" w:name="_Toc69303755"/>
      <w:bookmarkEnd w:id="615"/>
      <w:bookmarkStart w:id="616" w:name="_Toc66382977"/>
      <w:bookmarkEnd w:id="616"/>
      <w:bookmarkStart w:id="617" w:name="_Toc69804773"/>
      <w:bookmarkEnd w:id="617"/>
      <w:bookmarkStart w:id="618" w:name="_Toc66692914"/>
      <w:bookmarkEnd w:id="618"/>
      <w:bookmarkStart w:id="619" w:name="_Toc66692902"/>
      <w:bookmarkEnd w:id="619"/>
      <w:bookmarkStart w:id="620" w:name="_Toc69303764"/>
      <w:bookmarkEnd w:id="620"/>
      <w:bookmarkStart w:id="621" w:name="_Toc66381517"/>
      <w:bookmarkEnd w:id="621"/>
      <w:bookmarkStart w:id="622" w:name="_Toc66692905"/>
      <w:bookmarkEnd w:id="622"/>
      <w:bookmarkStart w:id="623" w:name="_Toc66381425"/>
      <w:bookmarkEnd w:id="623"/>
      <w:bookmarkStart w:id="624" w:name="_Toc69804791"/>
      <w:bookmarkEnd w:id="624"/>
      <w:bookmarkStart w:id="625" w:name="_Toc69804772"/>
      <w:bookmarkEnd w:id="625"/>
      <w:bookmarkStart w:id="626" w:name="_Toc69303762"/>
      <w:bookmarkEnd w:id="626"/>
      <w:bookmarkStart w:id="627" w:name="_Toc66381501"/>
      <w:bookmarkEnd w:id="627"/>
      <w:bookmarkStart w:id="628" w:name="_Toc69303751"/>
      <w:bookmarkEnd w:id="628"/>
      <w:bookmarkStart w:id="629" w:name="_Toc66692903"/>
      <w:bookmarkEnd w:id="629"/>
      <w:bookmarkStart w:id="630" w:name="_Toc66381432"/>
      <w:bookmarkEnd w:id="630"/>
      <w:bookmarkStart w:id="631" w:name="_Toc69804789"/>
      <w:bookmarkEnd w:id="631"/>
      <w:bookmarkStart w:id="632" w:name="_Toc66381417"/>
      <w:bookmarkEnd w:id="632"/>
      <w:bookmarkStart w:id="633" w:name="_Toc66692911"/>
      <w:bookmarkEnd w:id="633"/>
      <w:bookmarkStart w:id="634" w:name="_Toc68530080"/>
      <w:bookmarkEnd w:id="634"/>
      <w:bookmarkStart w:id="635" w:name="_Toc68530082"/>
      <w:bookmarkEnd w:id="635"/>
      <w:bookmarkStart w:id="636" w:name="_Toc66381515"/>
      <w:bookmarkEnd w:id="636"/>
      <w:bookmarkStart w:id="637" w:name="_Toc69804777"/>
      <w:bookmarkEnd w:id="637"/>
      <w:bookmarkStart w:id="638" w:name="_Toc69303768"/>
      <w:bookmarkEnd w:id="638"/>
      <w:bookmarkStart w:id="639" w:name="_Toc69804779"/>
      <w:bookmarkEnd w:id="639"/>
      <w:bookmarkStart w:id="640" w:name="_Toc69303749"/>
      <w:bookmarkEnd w:id="640"/>
      <w:bookmarkStart w:id="641" w:name="_Toc66381420"/>
      <w:bookmarkEnd w:id="641"/>
      <w:bookmarkStart w:id="642" w:name="_Toc66382983"/>
      <w:bookmarkEnd w:id="642"/>
      <w:bookmarkStart w:id="643" w:name="_Toc68530078"/>
      <w:bookmarkEnd w:id="643"/>
      <w:bookmarkStart w:id="644" w:name="_Toc68530085"/>
      <w:bookmarkEnd w:id="644"/>
      <w:bookmarkStart w:id="645" w:name="_Toc66381426"/>
      <w:bookmarkEnd w:id="645"/>
      <w:bookmarkStart w:id="646" w:name="_Toc69303759"/>
      <w:bookmarkEnd w:id="646"/>
      <w:bookmarkStart w:id="647" w:name="_Toc69303760"/>
      <w:bookmarkEnd w:id="647"/>
      <w:bookmarkStart w:id="648" w:name="_Toc69804785"/>
      <w:bookmarkEnd w:id="648"/>
      <w:bookmarkStart w:id="649" w:name="_Toc66381435"/>
      <w:bookmarkEnd w:id="649"/>
      <w:bookmarkStart w:id="650" w:name="_Toc66381506"/>
      <w:bookmarkEnd w:id="650"/>
      <w:bookmarkStart w:id="651" w:name="_Toc66381422"/>
      <w:bookmarkEnd w:id="651"/>
      <w:bookmarkStart w:id="652" w:name="_Toc66381520"/>
      <w:bookmarkEnd w:id="652"/>
      <w:bookmarkStart w:id="653" w:name="_Toc66692910"/>
      <w:bookmarkEnd w:id="653"/>
      <w:bookmarkStart w:id="654" w:name="_Toc66692904"/>
      <w:bookmarkEnd w:id="654"/>
      <w:bookmarkStart w:id="655" w:name="_Toc69804783"/>
      <w:bookmarkEnd w:id="655"/>
      <w:bookmarkStart w:id="656" w:name="_Toc66692900"/>
      <w:bookmarkEnd w:id="656"/>
      <w:bookmarkStart w:id="657" w:name="_Toc69804788"/>
      <w:bookmarkEnd w:id="657"/>
      <w:bookmarkStart w:id="658" w:name="_Toc66381503"/>
      <w:bookmarkEnd w:id="658"/>
      <w:bookmarkStart w:id="659" w:name="_Toc66381433"/>
      <w:bookmarkEnd w:id="659"/>
      <w:bookmarkStart w:id="660" w:name="_Toc66381507"/>
      <w:bookmarkEnd w:id="660"/>
      <w:bookmarkStart w:id="661" w:name="_Toc66382970"/>
      <w:bookmarkEnd w:id="661"/>
      <w:bookmarkStart w:id="662" w:name="_Toc66692901"/>
      <w:bookmarkEnd w:id="662"/>
      <w:bookmarkStart w:id="663" w:name="_Toc69804778"/>
      <w:bookmarkEnd w:id="663"/>
      <w:bookmarkStart w:id="664" w:name="_Toc66692909"/>
      <w:bookmarkEnd w:id="664"/>
      <w:bookmarkStart w:id="665" w:name="_Toc66382986"/>
      <w:bookmarkEnd w:id="665"/>
      <w:bookmarkStart w:id="666" w:name="_Toc68530083"/>
      <w:bookmarkEnd w:id="666"/>
      <w:bookmarkStart w:id="667" w:name="_Toc66381510"/>
      <w:bookmarkEnd w:id="667"/>
      <w:bookmarkStart w:id="668" w:name="_Toc66382981"/>
      <w:bookmarkEnd w:id="668"/>
      <w:bookmarkStart w:id="669" w:name="_Toc68530081"/>
      <w:bookmarkEnd w:id="669"/>
      <w:bookmarkStart w:id="670" w:name="_Toc66381505"/>
      <w:bookmarkEnd w:id="670"/>
      <w:bookmarkStart w:id="671" w:name="_Toc66692915"/>
      <w:bookmarkEnd w:id="671"/>
      <w:bookmarkStart w:id="672" w:name="_Toc68530071"/>
      <w:bookmarkEnd w:id="672"/>
      <w:bookmarkStart w:id="673" w:name="_Toc66381427"/>
      <w:bookmarkEnd w:id="673"/>
      <w:bookmarkStart w:id="674" w:name="_Toc66382968"/>
      <w:bookmarkEnd w:id="674"/>
      <w:bookmarkStart w:id="675" w:name="_Toc66381419"/>
      <w:bookmarkEnd w:id="675"/>
      <w:bookmarkStart w:id="676" w:name="_Toc68530074"/>
      <w:bookmarkEnd w:id="676"/>
      <w:bookmarkStart w:id="677" w:name="_Toc66382980"/>
      <w:bookmarkEnd w:id="677"/>
      <w:bookmarkStart w:id="678" w:name="_Toc66692918"/>
      <w:bookmarkEnd w:id="678"/>
      <w:bookmarkStart w:id="679" w:name="_Toc69804787"/>
      <w:bookmarkEnd w:id="679"/>
      <w:bookmarkStart w:id="680" w:name="_Toc69804782"/>
      <w:bookmarkEnd w:id="680"/>
      <w:bookmarkStart w:id="681" w:name="_Toc66381514"/>
      <w:bookmarkEnd w:id="681"/>
      <w:bookmarkStart w:id="682" w:name="_Toc66382982"/>
      <w:bookmarkEnd w:id="682"/>
      <w:bookmarkStart w:id="683" w:name="_Toc68530079"/>
      <w:bookmarkEnd w:id="683"/>
      <w:bookmarkStart w:id="684" w:name="_Toc66381502"/>
      <w:bookmarkEnd w:id="684"/>
      <w:bookmarkStart w:id="685" w:name="_Toc66381508"/>
      <w:bookmarkEnd w:id="685"/>
      <w:bookmarkStart w:id="686" w:name="_Toc69303758"/>
      <w:bookmarkEnd w:id="686"/>
      <w:bookmarkStart w:id="687" w:name="_Toc66692913"/>
      <w:bookmarkEnd w:id="687"/>
      <w:bookmarkStart w:id="688" w:name="_Toc66382972"/>
      <w:bookmarkEnd w:id="688"/>
      <w:bookmarkStart w:id="689" w:name="_Toc69804790"/>
      <w:bookmarkEnd w:id="689"/>
      <w:bookmarkStart w:id="690" w:name="_Toc66382976"/>
      <w:bookmarkEnd w:id="690"/>
      <w:bookmarkStart w:id="691" w:name="_Toc68530068"/>
      <w:bookmarkEnd w:id="691"/>
      <w:bookmarkStart w:id="692" w:name="_Toc66382985"/>
      <w:bookmarkEnd w:id="692"/>
      <w:bookmarkStart w:id="693" w:name="_Toc66381518"/>
      <w:bookmarkEnd w:id="693"/>
      <w:bookmarkStart w:id="694" w:name="_Toc66381423"/>
      <w:bookmarkEnd w:id="694"/>
      <w:bookmarkStart w:id="695" w:name="_Toc69303754"/>
      <w:bookmarkEnd w:id="695"/>
      <w:bookmarkStart w:id="696" w:name="_Toc69303766"/>
      <w:bookmarkEnd w:id="696"/>
      <w:bookmarkStart w:id="697" w:name="_Toc68530073"/>
      <w:bookmarkEnd w:id="697"/>
      <w:bookmarkStart w:id="698" w:name="_Toc69303756"/>
      <w:bookmarkEnd w:id="698"/>
      <w:bookmarkStart w:id="699" w:name="_Toc66381418"/>
      <w:bookmarkEnd w:id="699"/>
      <w:bookmarkStart w:id="700" w:name="_Toc68530069"/>
      <w:bookmarkEnd w:id="700"/>
      <w:bookmarkStart w:id="701" w:name="_Toc66381504"/>
      <w:bookmarkEnd w:id="701"/>
      <w:bookmarkStart w:id="702" w:name="_Toc66381436"/>
      <w:bookmarkEnd w:id="702"/>
      <w:bookmarkStart w:id="703" w:name="_Toc66381430"/>
      <w:bookmarkEnd w:id="703"/>
      <w:bookmarkStart w:id="704" w:name="_Toc68530067"/>
      <w:bookmarkEnd w:id="704"/>
      <w:bookmarkStart w:id="705" w:name="_Toc66382984"/>
      <w:bookmarkEnd w:id="705"/>
      <w:bookmarkStart w:id="706" w:name="_Toc68530086"/>
      <w:bookmarkEnd w:id="706"/>
      <w:bookmarkStart w:id="707" w:name="_Toc66692917"/>
      <w:bookmarkEnd w:id="707"/>
      <w:bookmarkStart w:id="708" w:name="_Toc69303763"/>
      <w:bookmarkEnd w:id="708"/>
      <w:bookmarkStart w:id="709" w:name="_Toc69804776"/>
      <w:bookmarkEnd w:id="709"/>
      <w:bookmarkStart w:id="710" w:name="_Toc66381519"/>
      <w:bookmarkEnd w:id="710"/>
      <w:bookmarkStart w:id="711" w:name="_Toc66382973"/>
      <w:bookmarkEnd w:id="711"/>
      <w:bookmarkStart w:id="712" w:name="_Toc66382975"/>
      <w:bookmarkEnd w:id="712"/>
      <w:bookmarkStart w:id="713" w:name="_Toc66381429"/>
      <w:bookmarkEnd w:id="713"/>
      <w:bookmarkStart w:id="714" w:name="_Toc66381424"/>
      <w:bookmarkEnd w:id="714"/>
      <w:bookmarkStart w:id="715" w:name="_Toc66382969"/>
      <w:bookmarkEnd w:id="715"/>
      <w:bookmarkStart w:id="716" w:name="_Toc66381513"/>
      <w:bookmarkEnd w:id="716"/>
      <w:bookmarkStart w:id="717" w:name="_Toc68530072"/>
      <w:bookmarkEnd w:id="717"/>
      <w:bookmarkStart w:id="718" w:name="_Toc69804792"/>
      <w:bookmarkEnd w:id="718"/>
      <w:bookmarkStart w:id="719" w:name="_Toc69804775"/>
      <w:bookmarkEnd w:id="719"/>
      <w:bookmarkStart w:id="720" w:name="_Toc66381431"/>
      <w:bookmarkEnd w:id="720"/>
      <w:bookmarkStart w:id="721" w:name="_Toc68530070"/>
      <w:bookmarkEnd w:id="721"/>
      <w:bookmarkStart w:id="722" w:name="_Toc69303765"/>
      <w:bookmarkEnd w:id="722"/>
      <w:bookmarkStart w:id="723" w:name="_Toc69804793"/>
      <w:bookmarkEnd w:id="723"/>
      <w:bookmarkStart w:id="724" w:name="_Toc69303750"/>
      <w:bookmarkEnd w:id="724"/>
      <w:bookmarkStart w:id="725" w:name="_Toc66381421"/>
      <w:bookmarkEnd w:id="725"/>
      <w:bookmarkStart w:id="726" w:name="_Toc66692912"/>
      <w:bookmarkEnd w:id="726"/>
      <w:bookmarkStart w:id="727" w:name="_Toc69303767"/>
      <w:bookmarkEnd w:id="727"/>
      <w:bookmarkStart w:id="728" w:name="_Toc66382967"/>
      <w:bookmarkEnd w:id="728"/>
      <w:bookmarkStart w:id="729" w:name="_Toc66382979"/>
      <w:bookmarkEnd w:id="729"/>
      <w:bookmarkStart w:id="730" w:name="_Toc69804780"/>
      <w:bookmarkEnd w:id="730"/>
      <w:bookmarkStart w:id="731" w:name="_Toc69804784"/>
      <w:bookmarkEnd w:id="731"/>
      <w:bookmarkStart w:id="732" w:name="_Toc69804786"/>
      <w:bookmarkEnd w:id="732"/>
      <w:bookmarkStart w:id="733" w:name="_Toc69303761"/>
      <w:bookmarkEnd w:id="733"/>
      <w:bookmarkStart w:id="734" w:name="_Toc66382978"/>
      <w:bookmarkEnd w:id="734"/>
      <w:bookmarkStart w:id="735" w:name="_Toc66692906"/>
      <w:bookmarkEnd w:id="735"/>
      <w:bookmarkStart w:id="736" w:name="_Toc66381509"/>
      <w:bookmarkEnd w:id="736"/>
      <w:bookmarkStart w:id="737" w:name="_Toc66381512"/>
      <w:bookmarkEnd w:id="737"/>
      <w:bookmarkStart w:id="738" w:name="_Toc66692919"/>
      <w:bookmarkEnd w:id="738"/>
      <w:bookmarkStart w:id="739" w:name="_Toc66382974"/>
      <w:bookmarkEnd w:id="739"/>
      <w:bookmarkStart w:id="740" w:name="_Toc68530075"/>
      <w:bookmarkEnd w:id="740"/>
      <w:bookmarkStart w:id="741" w:name="_Toc69303753"/>
      <w:bookmarkEnd w:id="741"/>
      <w:bookmarkStart w:id="742" w:name="_Toc30088"/>
      <w:bookmarkStart w:id="743" w:name="_Toc1394642468"/>
      <w:bookmarkStart w:id="744" w:name="_Toc28916"/>
      <w:bookmarkStart w:id="745" w:name="_Toc23602"/>
      <w:bookmarkStart w:id="746" w:name="_Toc253406853"/>
      <w:bookmarkStart w:id="747" w:name="_Toc880381273"/>
      <w:bookmarkStart w:id="748" w:name="_Toc24802"/>
      <w:bookmarkStart w:id="749" w:name="_Toc8496"/>
      <w:bookmarkStart w:id="750" w:name="_Toc284953362"/>
      <w:bookmarkStart w:id="751" w:name="_Toc21508"/>
      <w:bookmarkStart w:id="752" w:name="_Toc7328"/>
      <w:bookmarkStart w:id="753" w:name="_Toc2105268112"/>
      <w:bookmarkStart w:id="754" w:name="_Toc19232"/>
      <w:bookmarkStart w:id="755" w:name="_Toc70604228"/>
      <w:bookmarkStart w:id="756" w:name="_Toc1255438410"/>
      <w:bookmarkStart w:id="757" w:name="_Toc10414"/>
      <w:bookmarkStart w:id="758" w:name="_Toc20858"/>
      <w:bookmarkStart w:id="759" w:name="_Toc26101"/>
      <w:bookmarkStart w:id="760" w:name="_Toc1132"/>
      <w:bookmarkStart w:id="761" w:name="_Toc17886"/>
      <w:bookmarkStart w:id="762" w:name="_Toc65181433"/>
      <w:bookmarkStart w:id="763" w:name="_Toc2147008173"/>
      <w:bookmarkStart w:id="764" w:name="_Toc4598"/>
      <w:bookmarkStart w:id="765" w:name="_Toc30197"/>
      <w:bookmarkStart w:id="766" w:name="_Toc21137"/>
      <w:r>
        <w:rPr>
          <w:rFonts w:hint="eastAsia" w:ascii="仿宋_GB2312" w:hAnsi="宋体" w:eastAsia="仿宋_GB2312"/>
          <w:b/>
          <w:sz w:val="28"/>
          <w:szCs w:val="28"/>
        </w:rPr>
        <w:t>中止发售</w:t>
      </w:r>
      <w:bookmarkEnd w:id="742"/>
      <w:bookmarkEnd w:id="743"/>
      <w:bookmarkEnd w:id="744"/>
      <w:bookmarkEnd w:id="745"/>
      <w:bookmarkEnd w:id="746"/>
      <w:bookmarkEnd w:id="747"/>
      <w:bookmarkEnd w:id="748"/>
      <w:bookmarkEnd w:id="749"/>
      <w:bookmarkEnd w:id="750"/>
      <w:bookmarkEnd w:id="751"/>
      <w:bookmarkEnd w:id="752"/>
      <w:bookmarkEnd w:id="753"/>
      <w:bookmarkEnd w:id="754"/>
      <w:bookmarkEnd w:id="755"/>
      <w:bookmarkEnd w:id="756"/>
      <w:bookmarkEnd w:id="757"/>
      <w:bookmarkEnd w:id="758"/>
      <w:bookmarkEnd w:id="759"/>
      <w:bookmarkEnd w:id="760"/>
      <w:bookmarkEnd w:id="761"/>
      <w:bookmarkEnd w:id="762"/>
      <w:bookmarkEnd w:id="763"/>
      <w:bookmarkEnd w:id="764"/>
      <w:bookmarkEnd w:id="765"/>
      <w:bookmarkEnd w:id="766"/>
      <w:r>
        <w:rPr>
          <w:rFonts w:hint="eastAsia" w:ascii="仿宋_GB2312" w:hAnsi="宋体" w:eastAsia="仿宋_GB2312"/>
          <w:b/>
          <w:sz w:val="28"/>
          <w:szCs w:val="28"/>
        </w:rPr>
        <w:tab/>
      </w:r>
    </w:p>
    <w:p w14:paraId="143127CD">
      <w:pPr>
        <w:pStyle w:val="13"/>
        <w:numPr>
          <w:ilvl w:val="1"/>
          <w:numId w:val="53"/>
        </w:numPr>
        <w:snapToGrid w:val="0"/>
        <w:spacing w:before="0" w:beforeAutospacing="0" w:after="0" w:afterAutospacing="0" w:line="360" w:lineRule="auto"/>
        <w:jc w:val="both"/>
        <w:rPr>
          <w:rFonts w:hint="eastAsia" w:ascii="仿宋_GB2312" w:hAnsi="仿宋" w:eastAsia="仿宋_GB2312"/>
        </w:rPr>
      </w:pPr>
      <w:r>
        <w:rPr>
          <w:rFonts w:hint="eastAsia" w:ascii="仿宋_GB2312" w:hAnsi="仿宋" w:eastAsia="仿宋_GB2312"/>
        </w:rPr>
        <w:t>注意事项：</w:t>
      </w:r>
    </w:p>
    <w:p w14:paraId="3CD09AB2">
      <w:pPr>
        <w:pStyle w:val="13"/>
        <w:numPr>
          <w:ilvl w:val="0"/>
          <w:numId w:val="54"/>
        </w:numPr>
        <w:snapToGrid w:val="0"/>
        <w:spacing w:before="0" w:beforeAutospacing="0" w:after="0" w:afterAutospacing="0" w:line="360" w:lineRule="auto"/>
        <w:ind w:left="851"/>
        <w:jc w:val="both"/>
        <w:rPr>
          <w:rFonts w:hint="eastAsia" w:ascii="仿宋_GB2312" w:hAnsi="仿宋" w:eastAsia="仿宋_GB2312"/>
        </w:rPr>
      </w:pPr>
      <w:r>
        <w:rPr>
          <w:rFonts w:ascii="仿宋_GB2312" w:hAnsi="仿宋" w:eastAsia="仿宋_GB2312"/>
        </w:rPr>
        <w:t>网下投资者</w:t>
      </w:r>
      <w:r>
        <w:rPr>
          <w:rFonts w:hint="eastAsia" w:ascii="仿宋_GB2312" w:hAnsi="仿宋" w:eastAsia="仿宋_GB2312"/>
        </w:rPr>
        <w:t>提交的拟认购</w:t>
      </w:r>
      <w:r>
        <w:rPr>
          <w:rFonts w:ascii="仿宋_GB2312" w:hAnsi="仿宋" w:eastAsia="仿宋_GB2312"/>
        </w:rPr>
        <w:t>数量</w:t>
      </w:r>
      <w:r>
        <w:rPr>
          <w:rFonts w:hint="eastAsia" w:ascii="仿宋_GB2312" w:hAnsi="仿宋" w:eastAsia="仿宋_GB2312"/>
        </w:rPr>
        <w:t>合计</w:t>
      </w:r>
      <w:r>
        <w:rPr>
          <w:rFonts w:ascii="仿宋_GB2312" w:hAnsi="仿宋" w:eastAsia="仿宋_GB2312"/>
        </w:rPr>
        <w:t>低于网下初始发售</w:t>
      </w:r>
      <w:r>
        <w:rPr>
          <w:rFonts w:hint="eastAsia" w:ascii="仿宋_GB2312" w:hAnsi="仿宋" w:eastAsia="仿宋_GB2312"/>
        </w:rPr>
        <w:t>总</w:t>
      </w:r>
      <w:r>
        <w:rPr>
          <w:rFonts w:ascii="仿宋_GB2312" w:hAnsi="仿宋" w:eastAsia="仿宋_GB2312"/>
        </w:rPr>
        <w:t>量的，基金管理人</w:t>
      </w:r>
      <w:r>
        <w:rPr>
          <w:rFonts w:hint="eastAsia" w:ascii="仿宋_GB2312" w:hAnsi="仿宋" w:eastAsia="仿宋_GB2312"/>
        </w:rPr>
        <w:t>、</w:t>
      </w:r>
      <w:r>
        <w:rPr>
          <w:rFonts w:ascii="仿宋_GB2312" w:hAnsi="仿宋" w:eastAsia="仿宋_GB2312"/>
        </w:rPr>
        <w:t>财务顾问应当中止发售</w:t>
      </w:r>
      <w:r>
        <w:rPr>
          <w:rFonts w:hint="eastAsia" w:ascii="仿宋_GB2312" w:hAnsi="仿宋" w:eastAsia="仿宋_GB2312"/>
        </w:rPr>
        <w:t>，并发布中止发售公告。</w:t>
      </w:r>
    </w:p>
    <w:p w14:paraId="29CB737C">
      <w:pPr>
        <w:pStyle w:val="13"/>
        <w:numPr>
          <w:ilvl w:val="0"/>
          <w:numId w:val="54"/>
        </w:numPr>
        <w:snapToGrid w:val="0"/>
        <w:spacing w:before="0" w:beforeAutospacing="0" w:after="0" w:afterAutospacing="0" w:line="360" w:lineRule="auto"/>
        <w:ind w:left="851"/>
        <w:jc w:val="both"/>
        <w:rPr>
          <w:rFonts w:hint="eastAsia" w:ascii="仿宋_GB2312" w:hAnsi="仿宋" w:eastAsia="仿宋_GB2312"/>
        </w:rPr>
      </w:pPr>
      <w:r>
        <w:rPr>
          <w:rFonts w:hint="eastAsia" w:ascii="仿宋_GB2312" w:hAnsi="仿宋" w:eastAsia="仿宋_GB2312"/>
        </w:rPr>
        <w:t>除规定的中止发售情形外，基金管理人、财务顾问还可以约定中止发售的其他具体情形并事先披露。</w:t>
      </w:r>
    </w:p>
    <w:p w14:paraId="7D1A2732">
      <w:pPr>
        <w:pStyle w:val="13"/>
        <w:numPr>
          <w:ilvl w:val="1"/>
          <w:numId w:val="53"/>
        </w:numPr>
        <w:snapToGrid w:val="0"/>
        <w:spacing w:before="0" w:beforeAutospacing="0" w:after="0" w:afterAutospacing="0" w:line="360" w:lineRule="auto"/>
        <w:jc w:val="both"/>
        <w:rPr>
          <w:rFonts w:hint="eastAsia" w:ascii="仿宋_GB2312" w:hAnsi="仿宋" w:eastAsia="仿宋_GB2312"/>
        </w:rPr>
      </w:pPr>
      <w:r>
        <w:rPr>
          <w:rFonts w:hint="eastAsia" w:ascii="仿宋_GB2312" w:hAnsi="仿宋" w:eastAsia="仿宋_GB2312"/>
        </w:rPr>
        <w:t>业务办理流程：</w:t>
      </w:r>
    </w:p>
    <w:p w14:paraId="6F5EB07B">
      <w:pPr>
        <w:snapToGrid w:val="0"/>
        <w:spacing w:line="360" w:lineRule="auto"/>
        <w:rPr>
          <w:rFonts w:hint="eastAsia" w:ascii="仿宋_GB2312" w:hAnsi="仿宋" w:eastAsia="仿宋_GB2312" w:cs="宋体"/>
          <w:color w:val="FF0000"/>
          <w:kern w:val="0"/>
          <w:sz w:val="24"/>
        </w:rPr>
      </w:pPr>
    </w:p>
    <w:p w14:paraId="1EA560B0">
      <w:pPr>
        <w:pStyle w:val="13"/>
        <w:snapToGrid w:val="0"/>
        <w:spacing w:before="0" w:beforeAutospacing="0" w:after="0" w:afterAutospacing="0" w:line="360" w:lineRule="auto"/>
        <w:ind w:left="420"/>
        <w:jc w:val="both"/>
        <w:rPr>
          <w:rFonts w:hint="eastAsia" w:ascii="仿宋_GB2312" w:hAnsi="仿宋" w:eastAsia="仿宋_GB2312"/>
        </w:rPr>
      </w:pPr>
      <w:r>
        <w:rPr>
          <w:rFonts w:hint="eastAsia" w:ascii="仿宋_GB2312" w:hAnsi="仿宋" w:eastAsia="仿宋_GB2312"/>
        </w:rPr>
        <w:t>询价后至基金成立前</w:t>
      </w:r>
    </w:p>
    <w:p w14:paraId="497AF91C">
      <w:pPr>
        <w:numPr>
          <w:ilvl w:val="0"/>
          <w:numId w:val="22"/>
        </w:numPr>
        <w:snapToGrid w:val="0"/>
        <w:spacing w:line="360" w:lineRule="auto"/>
        <w:ind w:firstLine="480" w:firstLineChars="200"/>
        <w:rPr>
          <w:rFonts w:hint="eastAsia" w:ascii="仿宋_GB2312" w:hAnsi="仿宋" w:eastAsia="仿宋_GB2312" w:cs="宋体"/>
          <w:color w:val="000000"/>
          <w:kern w:val="0"/>
          <w:sz w:val="24"/>
        </w:rPr>
      </w:pPr>
      <w:r>
        <w:rPr>
          <w:rFonts w:hint="eastAsia" w:ascii="仿宋_GB2312" w:hAnsi="仿宋" w:eastAsia="仿宋_GB2312" w:cs="宋体"/>
          <w:color w:val="000000"/>
          <w:kern w:val="0"/>
          <w:sz w:val="24"/>
        </w:rPr>
        <w:t>基金管理人提交业务申请材料，并通过</w:t>
      </w:r>
      <w:r>
        <w:rPr>
          <w:rFonts w:hint="eastAsia" w:ascii="Times New Roman" w:hAnsi="Times New Roman" w:eastAsia="仿宋_GB2312" w:cs="宋体"/>
          <w:color w:val="000000"/>
          <w:kern w:val="0"/>
          <w:sz w:val="24"/>
        </w:rPr>
        <w:t>REITs</w:t>
      </w:r>
      <w:r>
        <w:rPr>
          <w:rFonts w:hint="eastAsia" w:ascii="仿宋_GB2312" w:hAnsi="仿宋" w:eastAsia="仿宋_GB2312" w:cs="宋体"/>
          <w:color w:val="000000"/>
          <w:kern w:val="0"/>
          <w:sz w:val="24"/>
        </w:rPr>
        <w:t>业务管理系统平台提交信息披露：</w:t>
      </w:r>
    </w:p>
    <w:p w14:paraId="0DB3715B">
      <w:pPr>
        <w:pStyle w:val="30"/>
        <w:numPr>
          <w:ilvl w:val="0"/>
          <w:numId w:val="25"/>
        </w:numPr>
        <w:snapToGrid w:val="0"/>
        <w:spacing w:line="360" w:lineRule="auto"/>
        <w:ind w:left="1276" w:firstLineChars="0"/>
        <w:rPr>
          <w:rFonts w:hint="eastAsia" w:ascii="仿宋_GB2312" w:hAnsi="仿宋" w:eastAsia="仿宋_GB2312" w:cs="宋体"/>
          <w:color w:val="000000"/>
          <w:kern w:val="0"/>
          <w:sz w:val="24"/>
        </w:rPr>
      </w:pPr>
      <w:r>
        <w:rPr>
          <w:rFonts w:hint="eastAsia" w:ascii="仿宋_GB2312" w:hAnsi="仿宋" w:eastAsia="仿宋_GB2312" w:cs="宋体"/>
          <w:color w:val="000000"/>
          <w:kern w:val="0"/>
          <w:sz w:val="24"/>
        </w:rPr>
        <w:t>业务申请材料：</w:t>
      </w:r>
    </w:p>
    <w:p w14:paraId="38105CCB">
      <w:pPr>
        <w:numPr>
          <w:ilvl w:val="0"/>
          <w:numId w:val="55"/>
        </w:numPr>
        <w:snapToGrid w:val="0"/>
        <w:spacing w:line="360" w:lineRule="auto"/>
        <w:rPr>
          <w:rFonts w:hint="eastAsia" w:ascii="仿宋_GB2312" w:hAnsi="仿宋" w:eastAsia="仿宋_GB2312" w:cs="宋体"/>
          <w:color w:val="000000"/>
          <w:kern w:val="0"/>
          <w:sz w:val="24"/>
        </w:rPr>
      </w:pPr>
      <w:r>
        <w:rPr>
          <w:rFonts w:hint="eastAsia" w:ascii="仿宋_GB2312" w:hAnsi="仿宋" w:eastAsia="仿宋_GB2312" w:cs="宋体"/>
          <w:color w:val="000000"/>
          <w:kern w:val="0"/>
          <w:sz w:val="24"/>
        </w:rPr>
        <w:t>中止发售申请函（格式参考附件</w:t>
      </w:r>
      <w:r>
        <w:rPr>
          <w:rFonts w:hint="eastAsia" w:ascii="Times New Roman" w:hAnsi="Times New Roman" w:eastAsia="仿宋_GB2312" w:cs="宋体"/>
          <w:color w:val="000000"/>
          <w:kern w:val="0"/>
          <w:sz w:val="24"/>
        </w:rPr>
        <w:t>1</w:t>
      </w:r>
      <w:r>
        <w:rPr>
          <w:rFonts w:hint="eastAsia" w:ascii="仿宋_GB2312" w:hAnsi="仿宋" w:eastAsia="仿宋_GB2312" w:cs="宋体"/>
          <w:color w:val="000000"/>
          <w:kern w:val="0"/>
          <w:sz w:val="24"/>
        </w:rPr>
        <w:t>-</w:t>
      </w:r>
      <w:r>
        <w:rPr>
          <w:rFonts w:hint="eastAsia" w:ascii="Times New Roman" w:hAnsi="Times New Roman" w:eastAsia="仿宋_GB2312" w:cs="宋体"/>
          <w:color w:val="000000"/>
          <w:kern w:val="0"/>
          <w:sz w:val="24"/>
        </w:rPr>
        <w:t>13</w:t>
      </w:r>
      <w:r>
        <w:rPr>
          <w:rFonts w:hint="eastAsia" w:ascii="仿宋_GB2312" w:hAnsi="仿宋" w:eastAsia="仿宋_GB2312" w:cs="宋体"/>
          <w:color w:val="000000"/>
          <w:kern w:val="0"/>
          <w:sz w:val="24"/>
        </w:rPr>
        <w:t>，盖章扫描件）；</w:t>
      </w:r>
    </w:p>
    <w:p w14:paraId="66C49C14">
      <w:pPr>
        <w:numPr>
          <w:ilvl w:val="0"/>
          <w:numId w:val="55"/>
        </w:numPr>
        <w:snapToGrid w:val="0"/>
        <w:spacing w:line="360" w:lineRule="auto"/>
        <w:rPr>
          <w:rFonts w:hint="eastAsia" w:ascii="仿宋_GB2312" w:hAnsi="仿宋" w:eastAsia="仿宋_GB2312" w:cs="宋体"/>
          <w:color w:val="000000"/>
          <w:kern w:val="0"/>
          <w:sz w:val="24"/>
        </w:rPr>
      </w:pPr>
      <w:r>
        <w:rPr>
          <w:rFonts w:hint="eastAsia" w:ascii="仿宋_GB2312" w:hAnsi="仿宋" w:eastAsia="仿宋_GB2312" w:cs="宋体"/>
          <w:color w:val="000000"/>
          <w:kern w:val="0"/>
          <w:sz w:val="24"/>
        </w:rPr>
        <w:t>本所要求的其他材料。</w:t>
      </w:r>
    </w:p>
    <w:p w14:paraId="1FA49E48">
      <w:pPr>
        <w:snapToGrid w:val="0"/>
        <w:spacing w:line="360" w:lineRule="auto"/>
        <w:rPr>
          <w:rFonts w:hint="eastAsia" w:ascii="仿宋_GB2312" w:hAnsi="仿宋" w:eastAsia="仿宋_GB2312" w:cs="宋体"/>
          <w:color w:val="000000"/>
          <w:kern w:val="0"/>
          <w:sz w:val="24"/>
        </w:rPr>
      </w:pPr>
    </w:p>
    <w:p w14:paraId="09590308">
      <w:pPr>
        <w:pStyle w:val="30"/>
        <w:numPr>
          <w:ilvl w:val="0"/>
          <w:numId w:val="25"/>
        </w:numPr>
        <w:snapToGrid w:val="0"/>
        <w:spacing w:line="360" w:lineRule="auto"/>
        <w:ind w:left="1276" w:firstLineChars="0"/>
        <w:rPr>
          <w:rFonts w:hint="eastAsia" w:ascii="仿宋_GB2312" w:hAnsi="仿宋" w:eastAsia="仿宋_GB2312" w:cs="宋体"/>
          <w:color w:val="000000"/>
          <w:kern w:val="0"/>
          <w:sz w:val="24"/>
        </w:rPr>
      </w:pPr>
      <w:r>
        <w:rPr>
          <w:rFonts w:hint="eastAsia" w:ascii="仿宋_GB2312" w:hAnsi="仿宋" w:eastAsia="仿宋_GB2312" w:cs="宋体"/>
          <w:color w:val="000000"/>
          <w:kern w:val="0"/>
          <w:sz w:val="24"/>
        </w:rPr>
        <w:t>信息披露文件：</w:t>
      </w:r>
    </w:p>
    <w:p w14:paraId="36D5F956">
      <w:pPr>
        <w:numPr>
          <w:ilvl w:val="0"/>
          <w:numId w:val="56"/>
        </w:numPr>
        <w:snapToGrid w:val="0"/>
        <w:spacing w:line="360" w:lineRule="auto"/>
        <w:rPr>
          <w:rFonts w:hint="eastAsia" w:ascii="仿宋_GB2312" w:hAnsi="仿宋" w:eastAsia="仿宋_GB2312" w:cs="宋体"/>
          <w:color w:val="000000"/>
          <w:kern w:val="0"/>
          <w:sz w:val="24"/>
        </w:rPr>
      </w:pPr>
      <w:r>
        <w:rPr>
          <w:rFonts w:hint="eastAsia" w:ascii="仿宋_GB2312" w:hAnsi="仿宋" w:eastAsia="仿宋_GB2312" w:cs="宋体"/>
          <w:color w:val="000000"/>
          <w:kern w:val="0"/>
          <w:sz w:val="24"/>
        </w:rPr>
        <w:t>中止发售公告；</w:t>
      </w:r>
    </w:p>
    <w:p w14:paraId="49CB3142">
      <w:pPr>
        <w:numPr>
          <w:ilvl w:val="0"/>
          <w:numId w:val="56"/>
        </w:numPr>
        <w:snapToGrid w:val="0"/>
        <w:spacing w:line="360" w:lineRule="auto"/>
        <w:rPr>
          <w:rFonts w:hint="eastAsia" w:ascii="仿宋_GB2312" w:hAnsi="仿宋" w:eastAsia="仿宋_GB2312" w:cs="宋体"/>
          <w:color w:val="000000"/>
          <w:kern w:val="0"/>
          <w:sz w:val="24"/>
        </w:rPr>
      </w:pPr>
      <w:r>
        <w:rPr>
          <w:rFonts w:hint="eastAsia" w:ascii="仿宋_GB2312" w:hAnsi="仿宋" w:eastAsia="仿宋_GB2312" w:cs="宋体"/>
          <w:color w:val="000000"/>
          <w:kern w:val="0"/>
          <w:sz w:val="24"/>
        </w:rPr>
        <w:t>本所要求披露的其他文件。</w:t>
      </w:r>
    </w:p>
    <w:p w14:paraId="132D82BA">
      <w:pPr>
        <w:snapToGrid w:val="0"/>
        <w:spacing w:line="360" w:lineRule="auto"/>
        <w:ind w:left="851"/>
        <w:rPr>
          <w:rFonts w:hint="eastAsia" w:ascii="仿宋_GB2312" w:hAnsi="仿宋" w:eastAsia="仿宋_GB2312" w:cs="宋体"/>
          <w:color w:val="000000"/>
          <w:kern w:val="0"/>
          <w:sz w:val="24"/>
        </w:rPr>
      </w:pPr>
      <w:r>
        <w:rPr>
          <w:rFonts w:hint="eastAsia" w:ascii="仿宋_GB2312" w:hAnsi="仿宋" w:eastAsia="仿宋_GB2312" w:cs="宋体"/>
          <w:color w:val="000000"/>
          <w:kern w:val="0"/>
          <w:sz w:val="24"/>
        </w:rPr>
        <w:t>上述披露文件需以</w:t>
      </w:r>
      <w:r>
        <w:rPr>
          <w:rFonts w:hint="eastAsia" w:ascii="Times New Roman" w:hAnsi="Times New Roman" w:eastAsia="仿宋_GB2312" w:cs="宋体"/>
          <w:color w:val="000000"/>
          <w:kern w:val="0"/>
          <w:sz w:val="24"/>
        </w:rPr>
        <w:t>PDF</w:t>
      </w:r>
      <w:r>
        <w:rPr>
          <w:rFonts w:hint="eastAsia" w:ascii="仿宋_GB2312" w:hAnsi="仿宋" w:eastAsia="仿宋_GB2312" w:cs="宋体"/>
          <w:color w:val="000000"/>
          <w:kern w:val="0"/>
          <w:sz w:val="24"/>
        </w:rPr>
        <w:t>格式的电子文件提交。</w:t>
      </w:r>
    </w:p>
    <w:p w14:paraId="53FCD390">
      <w:pPr>
        <w:numPr>
          <w:ilvl w:val="0"/>
          <w:numId w:val="22"/>
        </w:numPr>
        <w:snapToGrid w:val="0"/>
        <w:spacing w:line="360" w:lineRule="auto"/>
        <w:ind w:firstLine="480" w:firstLineChars="200"/>
        <w:rPr>
          <w:rFonts w:hint="eastAsia" w:ascii="仿宋_GB2312" w:hAnsi="仿宋" w:eastAsia="仿宋_GB2312"/>
        </w:rPr>
      </w:pPr>
      <w:r>
        <w:rPr>
          <w:rFonts w:hint="eastAsia" w:ascii="仿宋_GB2312" w:hAnsi="仿宋" w:eastAsia="仿宋_GB2312" w:cs="宋体"/>
          <w:color w:val="000000"/>
          <w:kern w:val="0"/>
          <w:sz w:val="24"/>
        </w:rPr>
        <w:t>如触发中止发售的情形发生在认购开始前，发行人应同时通过发行人系统提交基金中止发售申请。</w:t>
      </w:r>
    </w:p>
    <w:p w14:paraId="254D2BC8">
      <w:pPr>
        <w:pStyle w:val="13"/>
        <w:snapToGrid w:val="0"/>
        <w:spacing w:before="0" w:beforeAutospacing="0" w:after="0" w:afterAutospacing="0" w:line="360" w:lineRule="auto"/>
        <w:ind w:left="420"/>
        <w:jc w:val="both"/>
        <w:rPr>
          <w:rFonts w:hint="eastAsia" w:ascii="仿宋_GB2312" w:hAnsi="仿宋" w:eastAsia="仿宋_GB2312"/>
        </w:rPr>
      </w:pPr>
    </w:p>
    <w:p w14:paraId="1C9563C9">
      <w:pPr>
        <w:pStyle w:val="13"/>
        <w:snapToGrid w:val="0"/>
        <w:spacing w:before="0" w:beforeAutospacing="0" w:after="0" w:afterAutospacing="0" w:line="360" w:lineRule="auto"/>
        <w:ind w:left="420"/>
        <w:jc w:val="both"/>
        <w:rPr>
          <w:rFonts w:hint="eastAsia" w:ascii="仿宋_GB2312" w:hAnsi="仿宋" w:eastAsia="仿宋_GB2312"/>
        </w:rPr>
      </w:pPr>
      <w:r>
        <w:rPr>
          <w:rFonts w:hint="eastAsia" w:ascii="仿宋_GB2312" w:hAnsi="仿宋" w:eastAsia="仿宋_GB2312"/>
        </w:rPr>
        <w:t>审核通过后</w:t>
      </w:r>
    </w:p>
    <w:p w14:paraId="2A21DE7A">
      <w:pPr>
        <w:numPr>
          <w:ilvl w:val="0"/>
          <w:numId w:val="12"/>
        </w:numPr>
        <w:snapToGrid w:val="0"/>
        <w:spacing w:line="360" w:lineRule="auto"/>
        <w:ind w:firstLine="480" w:firstLineChars="200"/>
        <w:rPr>
          <w:rFonts w:hint="eastAsia" w:ascii="仿宋_GB2312" w:hAnsi="仿宋" w:eastAsia="仿宋_GB2312" w:cs="宋体"/>
          <w:color w:val="000000"/>
          <w:kern w:val="0"/>
          <w:sz w:val="24"/>
        </w:rPr>
      </w:pPr>
      <w:r>
        <w:rPr>
          <w:rFonts w:hint="eastAsia" w:ascii="仿宋_GB2312" w:hAnsi="仿宋" w:eastAsia="仿宋_GB2312" w:cs="宋体"/>
          <w:color w:val="000000"/>
          <w:kern w:val="0"/>
          <w:sz w:val="24"/>
        </w:rPr>
        <w:t>中止发售公告在本所</w:t>
      </w:r>
      <w:r>
        <w:rPr>
          <w:rFonts w:ascii="仿宋_GB2312" w:hAnsi="仿宋" w:eastAsia="仿宋_GB2312" w:cs="宋体"/>
          <w:color w:val="000000"/>
          <w:kern w:val="0"/>
          <w:sz w:val="24"/>
        </w:rPr>
        <w:t>官网</w:t>
      </w:r>
      <w:r>
        <w:rPr>
          <w:rFonts w:hint="eastAsia" w:ascii="仿宋_GB2312" w:hAnsi="仿宋" w:eastAsia="仿宋_GB2312" w:cs="宋体"/>
          <w:color w:val="000000"/>
          <w:kern w:val="0"/>
          <w:sz w:val="24"/>
        </w:rPr>
        <w:t>发布，基金管理人核对网站披露内容是否符合预期。</w:t>
      </w:r>
    </w:p>
    <w:p w14:paraId="7060BA98">
      <w:pPr>
        <w:numPr>
          <w:ilvl w:val="0"/>
          <w:numId w:val="12"/>
        </w:numPr>
        <w:snapToGrid w:val="0"/>
        <w:spacing w:line="360" w:lineRule="auto"/>
        <w:ind w:firstLine="480" w:firstLineChars="200"/>
        <w:rPr>
          <w:rFonts w:hint="eastAsia" w:ascii="仿宋_GB2312" w:hAnsi="仿宋" w:eastAsia="仿宋_GB2312" w:cs="宋体"/>
          <w:color w:val="000000"/>
          <w:kern w:val="0"/>
          <w:sz w:val="24"/>
        </w:rPr>
      </w:pPr>
      <w:r>
        <w:rPr>
          <w:rFonts w:hint="eastAsia" w:ascii="仿宋_GB2312" w:hAnsi="仿宋" w:eastAsia="仿宋_GB2312" w:cs="宋体"/>
          <w:color w:val="000000"/>
          <w:kern w:val="0"/>
          <w:sz w:val="24"/>
        </w:rPr>
        <w:t>基金管理人</w:t>
      </w:r>
      <w:r>
        <w:rPr>
          <w:rFonts w:hint="eastAsia" w:ascii="仿宋_GB2312" w:hAnsi="仿宋" w:eastAsia="仿宋_GB2312" w:cs="宋体"/>
          <w:color w:val="000000"/>
          <w:kern w:val="0"/>
          <w:sz w:val="24"/>
          <w:szCs w:val="21"/>
        </w:rPr>
        <w:t>根据中国证监会规定在</w:t>
      </w:r>
      <w:r>
        <w:rPr>
          <w:rFonts w:hint="eastAsia" w:ascii="仿宋_GB2312" w:hAnsi="仿宋" w:eastAsia="仿宋_GB2312" w:cs="宋体"/>
          <w:color w:val="000000"/>
          <w:kern w:val="0"/>
          <w:sz w:val="24"/>
        </w:rPr>
        <w:t>其他媒介上刊登前述公告。</w:t>
      </w:r>
    </w:p>
    <w:p w14:paraId="49E355F9">
      <w:pPr>
        <w:pStyle w:val="13"/>
        <w:snapToGrid w:val="0"/>
        <w:spacing w:before="0" w:beforeAutospacing="0" w:after="0" w:afterAutospacing="0" w:line="360" w:lineRule="auto"/>
        <w:ind w:left="420"/>
        <w:jc w:val="both"/>
        <w:rPr>
          <w:rFonts w:hint="eastAsia" w:ascii="仿宋_GB2312" w:hAnsi="仿宋" w:eastAsia="仿宋_GB2312"/>
        </w:rPr>
      </w:pPr>
    </w:p>
    <w:p w14:paraId="31661BEE">
      <w:pPr>
        <w:pStyle w:val="13"/>
        <w:snapToGrid w:val="0"/>
        <w:spacing w:before="0" w:beforeAutospacing="0" w:after="0" w:afterAutospacing="0" w:line="360" w:lineRule="auto"/>
        <w:ind w:left="420"/>
        <w:jc w:val="both"/>
        <w:rPr>
          <w:rFonts w:hint="eastAsia" w:ascii="仿宋_GB2312" w:hAnsi="仿宋" w:eastAsia="仿宋_GB2312"/>
        </w:rPr>
      </w:pPr>
      <w:r>
        <w:rPr>
          <w:rFonts w:hint="eastAsia" w:ascii="仿宋_GB2312" w:hAnsi="仿宋" w:eastAsia="仿宋_GB2312"/>
        </w:rPr>
        <w:t>中止发售后</w:t>
      </w:r>
    </w:p>
    <w:p w14:paraId="354A5792">
      <w:pPr>
        <w:numPr>
          <w:ilvl w:val="0"/>
          <w:numId w:val="22"/>
        </w:numPr>
        <w:snapToGrid w:val="0"/>
        <w:spacing w:line="360" w:lineRule="auto"/>
        <w:ind w:firstLine="480" w:firstLineChars="200"/>
        <w:rPr>
          <w:rFonts w:hint="eastAsia" w:ascii="仿宋_GB2312" w:hAnsi="仿宋" w:eastAsia="仿宋_GB2312" w:cs="宋体"/>
          <w:color w:val="000000"/>
          <w:kern w:val="0"/>
          <w:sz w:val="24"/>
        </w:rPr>
      </w:pPr>
      <w:r>
        <w:rPr>
          <w:rFonts w:hint="eastAsia" w:ascii="仿宋_GB2312" w:hAnsi="仿宋" w:eastAsia="仿宋_GB2312" w:cs="宋体"/>
          <w:color w:val="000000"/>
          <w:kern w:val="0"/>
          <w:sz w:val="24"/>
        </w:rPr>
        <w:t>在中国证监会同意注册决定的有效期内，基金管理人可重新启动发售，并按本章询价、认购流程重新办理。</w:t>
      </w:r>
    </w:p>
    <w:p w14:paraId="000E5B47">
      <w:pPr>
        <w:snapToGrid w:val="0"/>
        <w:spacing w:line="360" w:lineRule="auto"/>
        <w:rPr>
          <w:rFonts w:hint="eastAsia" w:ascii="仿宋_GB2312" w:hAnsi="仿宋" w:eastAsia="仿宋_GB2312" w:cs="宋体"/>
          <w:color w:val="000000"/>
          <w:kern w:val="0"/>
          <w:sz w:val="24"/>
        </w:rPr>
      </w:pPr>
    </w:p>
    <w:p w14:paraId="41D06119">
      <w:pPr>
        <w:pStyle w:val="30"/>
        <w:numPr>
          <w:ilvl w:val="0"/>
          <w:numId w:val="52"/>
        </w:numPr>
        <w:ind w:firstLineChars="0"/>
        <w:outlineLvl w:val="2"/>
        <w:rPr>
          <w:rFonts w:hint="eastAsia" w:ascii="仿宋_GB2312" w:hAnsi="宋体" w:eastAsia="仿宋_GB2312"/>
          <w:b/>
          <w:sz w:val="28"/>
          <w:szCs w:val="28"/>
        </w:rPr>
      </w:pPr>
      <w:bookmarkStart w:id="767" w:name="_Toc1584582955"/>
      <w:bookmarkStart w:id="768" w:name="_Toc3335"/>
      <w:bookmarkStart w:id="769" w:name="_Toc1392"/>
      <w:bookmarkStart w:id="770" w:name="_Toc17066"/>
      <w:bookmarkStart w:id="771" w:name="_Toc27826"/>
      <w:bookmarkStart w:id="772" w:name="_Toc46917353"/>
      <w:bookmarkStart w:id="773" w:name="_Toc70604229"/>
      <w:bookmarkStart w:id="774" w:name="_Toc2048426605"/>
      <w:bookmarkStart w:id="775" w:name="_Toc65181434"/>
      <w:bookmarkStart w:id="776" w:name="_Toc21008"/>
      <w:bookmarkStart w:id="777" w:name="_Toc30368"/>
      <w:bookmarkStart w:id="778" w:name="_Toc14248"/>
      <w:bookmarkStart w:id="779" w:name="_Toc2109560690"/>
      <w:bookmarkStart w:id="780" w:name="_Toc19180"/>
      <w:bookmarkStart w:id="781" w:name="_Toc436264044"/>
      <w:bookmarkStart w:id="782" w:name="_Toc1252"/>
      <w:bookmarkStart w:id="783" w:name="_Toc1336640154"/>
      <w:bookmarkStart w:id="784" w:name="_Toc1845538694"/>
      <w:bookmarkStart w:id="785" w:name="_Toc11683"/>
      <w:bookmarkStart w:id="786" w:name="_Toc3953"/>
      <w:bookmarkStart w:id="787" w:name="_Toc21009"/>
      <w:bookmarkStart w:id="788" w:name="_Toc220"/>
      <w:bookmarkStart w:id="789" w:name="_Toc25773"/>
      <w:bookmarkStart w:id="790" w:name="_Toc29208"/>
      <w:bookmarkStart w:id="791" w:name="_Toc25620"/>
      <w:r>
        <w:rPr>
          <w:rFonts w:hint="eastAsia" w:ascii="仿宋_GB2312" w:hAnsi="宋体" w:eastAsia="仿宋_GB2312"/>
          <w:b/>
          <w:sz w:val="28"/>
          <w:szCs w:val="28"/>
        </w:rPr>
        <w:t>募集失败</w:t>
      </w:r>
      <w:bookmarkEnd w:id="767"/>
      <w:bookmarkEnd w:id="768"/>
      <w:bookmarkEnd w:id="769"/>
      <w:bookmarkEnd w:id="770"/>
      <w:bookmarkEnd w:id="771"/>
      <w:bookmarkEnd w:id="772"/>
      <w:bookmarkEnd w:id="773"/>
      <w:bookmarkEnd w:id="774"/>
      <w:bookmarkEnd w:id="775"/>
      <w:bookmarkEnd w:id="776"/>
      <w:bookmarkEnd w:id="777"/>
      <w:bookmarkEnd w:id="778"/>
      <w:bookmarkEnd w:id="779"/>
      <w:bookmarkEnd w:id="780"/>
      <w:bookmarkEnd w:id="781"/>
      <w:bookmarkEnd w:id="782"/>
      <w:bookmarkEnd w:id="783"/>
      <w:bookmarkEnd w:id="784"/>
      <w:bookmarkEnd w:id="785"/>
      <w:bookmarkEnd w:id="786"/>
      <w:bookmarkEnd w:id="787"/>
      <w:bookmarkEnd w:id="788"/>
      <w:bookmarkEnd w:id="789"/>
      <w:bookmarkEnd w:id="790"/>
      <w:bookmarkEnd w:id="791"/>
      <w:r>
        <w:rPr>
          <w:rFonts w:hint="eastAsia" w:ascii="仿宋_GB2312" w:hAnsi="宋体" w:eastAsia="仿宋_GB2312"/>
          <w:b/>
          <w:sz w:val="28"/>
          <w:szCs w:val="28"/>
        </w:rPr>
        <w:tab/>
      </w:r>
    </w:p>
    <w:p w14:paraId="7229DFA9">
      <w:pPr>
        <w:pStyle w:val="13"/>
        <w:numPr>
          <w:ilvl w:val="1"/>
          <w:numId w:val="57"/>
        </w:numPr>
        <w:snapToGrid w:val="0"/>
        <w:spacing w:before="0" w:beforeAutospacing="0" w:after="0" w:afterAutospacing="0" w:line="360" w:lineRule="auto"/>
        <w:jc w:val="both"/>
        <w:rPr>
          <w:rFonts w:hint="eastAsia" w:ascii="仿宋_GB2312" w:hAnsi="仿宋" w:eastAsia="仿宋_GB2312"/>
        </w:rPr>
      </w:pPr>
      <w:r>
        <w:rPr>
          <w:rFonts w:hint="eastAsia" w:ascii="仿宋_GB2312" w:hAnsi="仿宋" w:eastAsia="仿宋_GB2312"/>
        </w:rPr>
        <w:t>注意事项：</w:t>
      </w:r>
      <w:r>
        <w:rPr>
          <w:rFonts w:hint="eastAsia" w:ascii="仿宋_GB2312" w:hAnsi="仿宋" w:eastAsia="仿宋_GB2312"/>
          <w:color w:val="auto"/>
        </w:rPr>
        <w:t>基金募集</w:t>
      </w:r>
      <w:r>
        <w:rPr>
          <w:rFonts w:hint="eastAsia" w:ascii="仿宋_GB2312" w:hAnsi="仿宋" w:eastAsia="仿宋_GB2312"/>
        </w:rPr>
        <w:t>期限届满，出现下列情形的，</w:t>
      </w:r>
      <w:r>
        <w:rPr>
          <w:rFonts w:hint="eastAsia" w:ascii="Times New Roman" w:hAnsi="Times New Roman" w:eastAsia="仿宋_GB2312"/>
        </w:rPr>
        <w:t>REITs</w:t>
      </w:r>
      <w:r>
        <w:rPr>
          <w:rFonts w:hint="eastAsia" w:ascii="仿宋_GB2312" w:hAnsi="仿宋" w:eastAsia="仿宋_GB2312"/>
        </w:rPr>
        <w:t>募集失败：</w:t>
      </w:r>
    </w:p>
    <w:p w14:paraId="4B764D3B">
      <w:pPr>
        <w:pStyle w:val="13"/>
        <w:numPr>
          <w:ilvl w:val="0"/>
          <w:numId w:val="58"/>
        </w:numPr>
        <w:snapToGrid w:val="0"/>
        <w:spacing w:before="0" w:beforeAutospacing="0" w:after="0" w:afterAutospacing="0" w:line="360" w:lineRule="auto"/>
        <w:jc w:val="both"/>
        <w:rPr>
          <w:rFonts w:hint="eastAsia" w:ascii="仿宋_GB2312" w:hAnsi="仿宋" w:eastAsia="仿宋_GB2312"/>
        </w:rPr>
      </w:pPr>
      <w:r>
        <w:rPr>
          <w:rFonts w:hint="eastAsia" w:ascii="仿宋_GB2312" w:hAnsi="仿宋" w:eastAsia="仿宋_GB2312"/>
        </w:rPr>
        <w:t>基金份额总额未达到准予注册规模的</w:t>
      </w:r>
      <w:r>
        <w:rPr>
          <w:rFonts w:hint="eastAsia" w:ascii="Times New Roman" w:hAnsi="Times New Roman" w:eastAsia="仿宋_GB2312"/>
        </w:rPr>
        <w:t>80%</w:t>
      </w:r>
      <w:r>
        <w:rPr>
          <w:rFonts w:hint="eastAsia" w:ascii="仿宋_GB2312" w:hAnsi="仿宋" w:eastAsia="仿宋_GB2312"/>
        </w:rPr>
        <w:t>；</w:t>
      </w:r>
    </w:p>
    <w:p w14:paraId="147DAD93">
      <w:pPr>
        <w:pStyle w:val="13"/>
        <w:numPr>
          <w:ilvl w:val="0"/>
          <w:numId w:val="58"/>
        </w:numPr>
        <w:snapToGrid w:val="0"/>
        <w:spacing w:before="0" w:beforeAutospacing="0" w:after="0" w:afterAutospacing="0" w:line="360" w:lineRule="auto"/>
        <w:jc w:val="both"/>
        <w:rPr>
          <w:rFonts w:hint="eastAsia" w:ascii="仿宋_GB2312" w:hAnsi="仿宋" w:eastAsia="仿宋_GB2312"/>
        </w:rPr>
      </w:pPr>
      <w:r>
        <w:rPr>
          <w:rFonts w:hint="eastAsia" w:ascii="仿宋_GB2312" w:hAnsi="仿宋" w:eastAsia="仿宋_GB2312"/>
        </w:rPr>
        <w:t>募集资金规模不足</w:t>
      </w:r>
      <w:r>
        <w:rPr>
          <w:rFonts w:hint="eastAsia" w:ascii="Times New Roman" w:hAnsi="Times New Roman" w:eastAsia="仿宋_GB2312"/>
        </w:rPr>
        <w:t>2</w:t>
      </w:r>
      <w:r>
        <w:rPr>
          <w:rFonts w:hint="eastAsia" w:ascii="仿宋_GB2312" w:hAnsi="仿宋" w:eastAsia="仿宋_GB2312"/>
        </w:rPr>
        <w:t>亿元，或投资人少于</w:t>
      </w:r>
      <w:r>
        <w:rPr>
          <w:rFonts w:hint="eastAsia" w:ascii="Times New Roman" w:hAnsi="Times New Roman" w:eastAsia="仿宋_GB2312"/>
        </w:rPr>
        <w:t>1000</w:t>
      </w:r>
      <w:r>
        <w:rPr>
          <w:rFonts w:hint="eastAsia" w:ascii="仿宋_GB2312" w:hAnsi="仿宋" w:eastAsia="仿宋_GB2312"/>
        </w:rPr>
        <w:t>人；</w:t>
      </w:r>
    </w:p>
    <w:p w14:paraId="34788B6A">
      <w:pPr>
        <w:pStyle w:val="13"/>
        <w:numPr>
          <w:ilvl w:val="0"/>
          <w:numId w:val="58"/>
        </w:numPr>
        <w:snapToGrid w:val="0"/>
        <w:spacing w:before="0" w:beforeAutospacing="0" w:after="0" w:afterAutospacing="0" w:line="360" w:lineRule="auto"/>
        <w:jc w:val="both"/>
        <w:rPr>
          <w:rFonts w:hint="eastAsia" w:ascii="仿宋_GB2312" w:hAnsi="仿宋" w:eastAsia="仿宋_GB2312"/>
        </w:rPr>
      </w:pPr>
      <w:r>
        <w:rPr>
          <w:rFonts w:hint="eastAsia" w:ascii="仿宋_GB2312" w:hAnsi="仿宋" w:eastAsia="仿宋_GB2312"/>
        </w:rPr>
        <w:t>原始权益人或其同一控制下的关联方未按规定参与战略配售；</w:t>
      </w:r>
    </w:p>
    <w:p w14:paraId="0F891F07">
      <w:pPr>
        <w:pStyle w:val="13"/>
        <w:numPr>
          <w:ilvl w:val="0"/>
          <w:numId w:val="58"/>
        </w:numPr>
        <w:snapToGrid w:val="0"/>
        <w:spacing w:before="0" w:beforeAutospacing="0" w:after="0" w:afterAutospacing="0" w:line="360" w:lineRule="auto"/>
        <w:jc w:val="both"/>
        <w:rPr>
          <w:rFonts w:hint="eastAsia" w:ascii="仿宋_GB2312" w:hAnsi="仿宋" w:eastAsia="仿宋_GB2312"/>
        </w:rPr>
      </w:pPr>
      <w:r>
        <w:rPr>
          <w:rFonts w:hint="eastAsia" w:ascii="仿宋_GB2312" w:hAnsi="仿宋" w:eastAsia="仿宋_GB2312"/>
        </w:rPr>
        <w:t>扣除战略配售部分后，网下发售比例低于本次公开发售数量的</w:t>
      </w:r>
      <w:r>
        <w:rPr>
          <w:rFonts w:hint="eastAsia" w:ascii="Times New Roman" w:hAnsi="Times New Roman" w:eastAsia="仿宋_GB2312"/>
        </w:rPr>
        <w:t>70%</w:t>
      </w:r>
      <w:r>
        <w:rPr>
          <w:rFonts w:hint="eastAsia" w:ascii="仿宋_GB2312" w:hAnsi="仿宋" w:eastAsia="仿宋_GB2312"/>
        </w:rPr>
        <w:t>；</w:t>
      </w:r>
    </w:p>
    <w:p w14:paraId="1A7807E4">
      <w:pPr>
        <w:pStyle w:val="13"/>
        <w:numPr>
          <w:ilvl w:val="0"/>
          <w:numId w:val="58"/>
        </w:numPr>
        <w:snapToGrid w:val="0"/>
        <w:spacing w:before="0" w:beforeAutospacing="0" w:after="0" w:afterAutospacing="0" w:line="360" w:lineRule="auto"/>
        <w:jc w:val="both"/>
        <w:rPr>
          <w:rFonts w:hint="eastAsia" w:ascii="仿宋_GB2312" w:hAnsi="仿宋" w:eastAsia="仿宋_GB2312"/>
        </w:rPr>
      </w:pPr>
      <w:r>
        <w:rPr>
          <w:rFonts w:hint="eastAsia" w:ascii="仿宋_GB2312" w:hAnsi="仿宋" w:eastAsia="仿宋_GB2312"/>
        </w:rPr>
        <w:t>导致基金募集失败的其他情形。</w:t>
      </w:r>
    </w:p>
    <w:p w14:paraId="09D38016">
      <w:pPr>
        <w:pStyle w:val="13"/>
        <w:numPr>
          <w:ilvl w:val="1"/>
          <w:numId w:val="57"/>
        </w:numPr>
        <w:snapToGrid w:val="0"/>
        <w:spacing w:before="0" w:beforeAutospacing="0" w:after="0" w:afterAutospacing="0" w:line="360" w:lineRule="auto"/>
        <w:jc w:val="both"/>
        <w:rPr>
          <w:rFonts w:hint="eastAsia" w:ascii="仿宋_GB2312" w:hAnsi="仿宋" w:eastAsia="仿宋_GB2312"/>
        </w:rPr>
      </w:pPr>
      <w:r>
        <w:rPr>
          <w:rFonts w:hint="eastAsia" w:ascii="仿宋_GB2312" w:hAnsi="仿宋" w:eastAsia="仿宋_GB2312"/>
        </w:rPr>
        <w:t>业务办理流程：</w:t>
      </w:r>
    </w:p>
    <w:p w14:paraId="11E57FB2">
      <w:pPr>
        <w:pStyle w:val="13"/>
        <w:snapToGrid w:val="0"/>
        <w:spacing w:before="0" w:beforeAutospacing="0" w:after="0" w:afterAutospacing="0" w:line="360" w:lineRule="auto"/>
        <w:ind w:left="420"/>
        <w:jc w:val="both"/>
        <w:rPr>
          <w:rFonts w:hint="eastAsia" w:ascii="仿宋_GB2312" w:hAnsi="仿宋" w:eastAsia="仿宋_GB2312"/>
        </w:rPr>
      </w:pPr>
    </w:p>
    <w:p w14:paraId="2C608FE1">
      <w:pPr>
        <w:numPr>
          <w:ilvl w:val="0"/>
          <w:numId w:val="22"/>
        </w:numPr>
        <w:snapToGrid w:val="0"/>
        <w:spacing w:line="360" w:lineRule="auto"/>
        <w:ind w:firstLine="480" w:firstLineChars="200"/>
        <w:rPr>
          <w:rFonts w:hint="eastAsia" w:ascii="仿宋_GB2312" w:hAnsi="仿宋" w:eastAsia="仿宋_GB2312" w:cs="宋体"/>
          <w:color w:val="000000"/>
          <w:kern w:val="0"/>
          <w:sz w:val="24"/>
        </w:rPr>
      </w:pPr>
      <w:r>
        <w:rPr>
          <w:rFonts w:hint="eastAsia" w:ascii="仿宋_GB2312" w:hAnsi="仿宋" w:eastAsia="仿宋_GB2312" w:cs="宋体"/>
          <w:color w:val="000000"/>
          <w:kern w:val="0"/>
          <w:sz w:val="24"/>
        </w:rPr>
        <w:t>基金管理人通过</w:t>
      </w:r>
      <w:r>
        <w:rPr>
          <w:rFonts w:hint="eastAsia" w:ascii="Times New Roman" w:hAnsi="Times New Roman" w:eastAsia="仿宋_GB2312" w:cs="宋体"/>
          <w:color w:val="000000"/>
          <w:kern w:val="0"/>
          <w:sz w:val="24"/>
        </w:rPr>
        <w:t>REITs</w:t>
      </w:r>
      <w:r>
        <w:rPr>
          <w:rFonts w:hint="eastAsia" w:ascii="仿宋_GB2312" w:hAnsi="仿宋" w:eastAsia="仿宋_GB2312" w:cs="宋体"/>
          <w:color w:val="000000"/>
          <w:kern w:val="0"/>
          <w:sz w:val="24"/>
        </w:rPr>
        <w:t>业务管理系统平台菜单“信息披露-</w:t>
      </w:r>
      <w:r>
        <w:rPr>
          <w:rFonts w:hint="eastAsia" w:ascii="Times New Roman" w:hAnsi="Times New Roman" w:eastAsia="仿宋_GB2312" w:cs="宋体"/>
          <w:color w:val="000000"/>
          <w:kern w:val="0"/>
          <w:sz w:val="24"/>
        </w:rPr>
        <w:t>REITs</w:t>
      </w:r>
      <w:r>
        <w:rPr>
          <w:rFonts w:hint="eastAsia" w:ascii="仿宋_GB2312" w:hAnsi="仿宋" w:eastAsia="仿宋_GB2312" w:cs="宋体"/>
          <w:color w:val="000000"/>
          <w:kern w:val="0"/>
          <w:sz w:val="24"/>
        </w:rPr>
        <w:t>公告”，选取对应产品代码及公告类型，提交募集失败公告，经核对通过后披露。</w:t>
      </w:r>
    </w:p>
    <w:p w14:paraId="0F7C77C5">
      <w:pPr>
        <w:numPr>
          <w:ilvl w:val="0"/>
          <w:numId w:val="22"/>
        </w:numPr>
        <w:snapToGrid w:val="0"/>
        <w:spacing w:line="360" w:lineRule="auto"/>
        <w:ind w:firstLine="480" w:firstLineChars="200"/>
        <w:rPr>
          <w:rFonts w:hint="eastAsia" w:ascii="仿宋_GB2312" w:hAnsi="仿宋" w:eastAsia="仿宋_GB2312" w:cs="宋体"/>
          <w:color w:val="000000"/>
          <w:kern w:val="0"/>
          <w:sz w:val="24"/>
        </w:rPr>
      </w:pPr>
      <w:r>
        <w:rPr>
          <w:rFonts w:hint="eastAsia" w:ascii="仿宋_GB2312" w:hAnsi="仿宋" w:eastAsia="仿宋_GB2312" w:cs="宋体"/>
          <w:color w:val="000000"/>
          <w:kern w:val="0"/>
          <w:sz w:val="24"/>
        </w:rPr>
        <w:t>基金管理人视退款资金发放情况，向本所提交摘牌申请。</w:t>
      </w:r>
    </w:p>
    <w:p w14:paraId="350B698E">
      <w:pPr>
        <w:widowControl/>
        <w:jc w:val="left"/>
        <w:rPr>
          <w:rFonts w:hint="eastAsia" w:ascii="仿宋_GB2312" w:hAnsi="仿宋" w:eastAsia="仿宋_GB2312" w:cs="宋体"/>
          <w:color w:val="000000"/>
          <w:kern w:val="0"/>
          <w:sz w:val="24"/>
        </w:rPr>
      </w:pPr>
      <w:r>
        <w:rPr>
          <w:rFonts w:ascii="仿宋_GB2312" w:hAnsi="仿宋" w:eastAsia="仿宋_GB2312" w:cs="宋体"/>
          <w:color w:val="000000"/>
          <w:kern w:val="0"/>
          <w:sz w:val="24"/>
        </w:rPr>
        <w:br w:type="page"/>
      </w:r>
    </w:p>
    <w:p w14:paraId="11DD2DC7">
      <w:pPr>
        <w:pStyle w:val="13"/>
        <w:snapToGrid w:val="0"/>
        <w:spacing w:before="0" w:beforeAutospacing="0" w:after="0" w:afterAutospacing="0" w:line="360" w:lineRule="auto"/>
        <w:jc w:val="center"/>
        <w:outlineLvl w:val="0"/>
        <w:rPr>
          <w:rFonts w:hint="eastAsia" w:ascii="黑体" w:hAnsi="黑体" w:eastAsia="黑体"/>
          <w:b/>
          <w:sz w:val="32"/>
          <w:szCs w:val="32"/>
        </w:rPr>
      </w:pPr>
      <w:bookmarkStart w:id="792" w:name="_Toc65181435"/>
      <w:bookmarkStart w:id="793" w:name="_Toc12840"/>
      <w:bookmarkStart w:id="794" w:name="_Toc1782963347"/>
      <w:bookmarkStart w:id="795" w:name="_Toc1393622252"/>
      <w:bookmarkStart w:id="796" w:name="_Toc1997950642"/>
      <w:bookmarkStart w:id="797" w:name="_Toc70604230"/>
      <w:bookmarkStart w:id="798" w:name="_Toc855"/>
      <w:bookmarkStart w:id="799" w:name="_Toc32682"/>
      <w:bookmarkStart w:id="800" w:name="_Toc32184"/>
      <w:bookmarkStart w:id="801" w:name="_Toc488642465"/>
      <w:bookmarkStart w:id="802" w:name="_Toc22353"/>
      <w:bookmarkStart w:id="803" w:name="_Toc1848700557"/>
      <w:bookmarkStart w:id="804" w:name="_Toc894"/>
      <w:bookmarkStart w:id="805" w:name="_Toc13314"/>
      <w:bookmarkStart w:id="806" w:name="_Toc29447"/>
      <w:bookmarkStart w:id="807" w:name="_Toc14492"/>
      <w:bookmarkStart w:id="808" w:name="_Toc1856017978"/>
      <w:bookmarkStart w:id="809" w:name="_Toc579531257"/>
      <w:bookmarkStart w:id="810" w:name="_Toc23489"/>
      <w:bookmarkStart w:id="811" w:name="_Toc11419"/>
      <w:bookmarkStart w:id="812" w:name="_Toc16187"/>
      <w:r>
        <w:rPr>
          <w:rFonts w:hint="eastAsia" w:ascii="黑体" w:hAnsi="黑体" w:eastAsia="黑体"/>
          <w:b/>
          <w:sz w:val="32"/>
          <w:szCs w:val="32"/>
        </w:rPr>
        <w:t>第三章  上市</w:t>
      </w:r>
      <w:bookmarkEnd w:id="792"/>
      <w:bookmarkEnd w:id="793"/>
      <w:bookmarkEnd w:id="794"/>
      <w:bookmarkEnd w:id="795"/>
      <w:bookmarkEnd w:id="796"/>
      <w:bookmarkEnd w:id="797"/>
      <w:bookmarkEnd w:id="798"/>
      <w:bookmarkEnd w:id="799"/>
      <w:bookmarkEnd w:id="800"/>
      <w:bookmarkEnd w:id="801"/>
      <w:bookmarkEnd w:id="802"/>
      <w:bookmarkEnd w:id="803"/>
      <w:bookmarkEnd w:id="804"/>
      <w:bookmarkEnd w:id="805"/>
      <w:bookmarkEnd w:id="806"/>
      <w:bookmarkEnd w:id="807"/>
      <w:bookmarkEnd w:id="808"/>
      <w:bookmarkEnd w:id="809"/>
      <w:bookmarkEnd w:id="810"/>
      <w:bookmarkEnd w:id="811"/>
      <w:bookmarkEnd w:id="812"/>
    </w:p>
    <w:p w14:paraId="6D31DFD1">
      <w:pPr>
        <w:pStyle w:val="30"/>
        <w:numPr>
          <w:ilvl w:val="0"/>
          <w:numId w:val="59"/>
        </w:numPr>
        <w:ind w:firstLineChars="0"/>
        <w:outlineLvl w:val="1"/>
        <w:rPr>
          <w:rFonts w:hint="eastAsia" w:ascii="黑体" w:hAnsi="黑体" w:eastAsia="黑体"/>
          <w:b/>
          <w:sz w:val="30"/>
          <w:szCs w:val="30"/>
        </w:rPr>
      </w:pPr>
      <w:bookmarkStart w:id="813" w:name="_Toc63093403"/>
      <w:bookmarkEnd w:id="813"/>
      <w:bookmarkStart w:id="814" w:name="_Toc63093213"/>
      <w:bookmarkEnd w:id="814"/>
      <w:bookmarkStart w:id="815" w:name="_Toc63093278"/>
      <w:bookmarkEnd w:id="815"/>
      <w:bookmarkStart w:id="816" w:name="_Toc63093341"/>
      <w:bookmarkEnd w:id="816"/>
      <w:bookmarkStart w:id="817" w:name="_Toc63093277"/>
      <w:bookmarkEnd w:id="817"/>
      <w:bookmarkStart w:id="818" w:name="_Toc63093340"/>
      <w:bookmarkEnd w:id="818"/>
      <w:bookmarkStart w:id="819" w:name="_Toc63093214"/>
      <w:bookmarkEnd w:id="819"/>
      <w:bookmarkStart w:id="820" w:name="_Toc63093404"/>
      <w:bookmarkEnd w:id="820"/>
      <w:bookmarkStart w:id="821" w:name="_Toc2099847934"/>
      <w:bookmarkStart w:id="822" w:name="_Toc70604231"/>
      <w:bookmarkStart w:id="823" w:name="_Toc1548497888"/>
      <w:bookmarkStart w:id="824" w:name="_Toc560843729"/>
      <w:bookmarkStart w:id="825" w:name="_Toc1758515052"/>
      <w:bookmarkStart w:id="826" w:name="_Toc176775187"/>
      <w:bookmarkStart w:id="827" w:name="_Toc323913130"/>
      <w:bookmarkStart w:id="828" w:name="_Toc24849"/>
      <w:bookmarkStart w:id="829" w:name="_Toc65181436"/>
      <w:bookmarkStart w:id="830" w:name="_Toc475971247"/>
      <w:r>
        <w:rPr>
          <w:rFonts w:hint="eastAsia" w:ascii="黑体" w:hAnsi="黑体" w:eastAsia="黑体"/>
          <w:b/>
          <w:sz w:val="32"/>
          <w:szCs w:val="32"/>
        </w:rPr>
        <w:t>上市业务申请与受理</w:t>
      </w:r>
      <w:bookmarkEnd w:id="821"/>
      <w:bookmarkEnd w:id="822"/>
      <w:bookmarkEnd w:id="823"/>
      <w:bookmarkEnd w:id="824"/>
      <w:bookmarkEnd w:id="825"/>
      <w:bookmarkEnd w:id="826"/>
      <w:bookmarkEnd w:id="827"/>
      <w:bookmarkEnd w:id="828"/>
      <w:bookmarkEnd w:id="829"/>
      <w:bookmarkEnd w:id="830"/>
    </w:p>
    <w:p w14:paraId="2D643B6E">
      <w:pPr>
        <w:pStyle w:val="13"/>
        <w:numPr>
          <w:ilvl w:val="1"/>
          <w:numId w:val="22"/>
        </w:numPr>
        <w:snapToGrid w:val="0"/>
        <w:spacing w:before="0" w:beforeAutospacing="0" w:after="0" w:afterAutospacing="0" w:line="360" w:lineRule="auto"/>
        <w:jc w:val="both"/>
        <w:rPr>
          <w:rFonts w:hint="eastAsia" w:ascii="仿宋_GB2312" w:hAnsi="仿宋" w:eastAsia="仿宋_GB2312"/>
        </w:rPr>
      </w:pPr>
      <w:r>
        <w:rPr>
          <w:rFonts w:hint="eastAsia" w:ascii="仿宋_GB2312" w:hAnsi="仿宋" w:eastAsia="仿宋_GB2312"/>
        </w:rPr>
        <w:t>注意事项：在发起上市业务申请前，基金管理人应确认：</w:t>
      </w:r>
    </w:p>
    <w:p w14:paraId="7948B104">
      <w:pPr>
        <w:pStyle w:val="13"/>
        <w:numPr>
          <w:ilvl w:val="0"/>
          <w:numId w:val="60"/>
        </w:numPr>
        <w:snapToGrid w:val="0"/>
        <w:spacing w:before="0" w:beforeAutospacing="0" w:after="0" w:afterAutospacing="0" w:line="360" w:lineRule="auto"/>
        <w:ind w:left="851"/>
        <w:jc w:val="both"/>
        <w:rPr>
          <w:rFonts w:hint="eastAsia" w:ascii="仿宋_GB2312" w:hAnsi="仿宋" w:eastAsia="仿宋_GB2312"/>
        </w:rPr>
      </w:pPr>
      <w:r>
        <w:rPr>
          <w:rFonts w:hint="eastAsia" w:ascii="仿宋_GB2312" w:hAnsi="仿宋" w:eastAsia="仿宋_GB2312"/>
        </w:rPr>
        <w:t>已完成基金成立材料报备，具体流程参见“第二章 发售-四、基金成立-(二)材料备案”；</w:t>
      </w:r>
    </w:p>
    <w:p w14:paraId="74BBE049">
      <w:pPr>
        <w:pStyle w:val="13"/>
        <w:numPr>
          <w:ilvl w:val="0"/>
          <w:numId w:val="60"/>
        </w:numPr>
        <w:snapToGrid w:val="0"/>
        <w:spacing w:before="0" w:beforeAutospacing="0" w:after="0" w:afterAutospacing="0" w:line="360" w:lineRule="auto"/>
        <w:ind w:left="851"/>
        <w:jc w:val="both"/>
        <w:rPr>
          <w:rFonts w:hint="eastAsia" w:ascii="仿宋_GB2312" w:hAnsi="仿宋" w:eastAsia="仿宋_GB2312"/>
        </w:rPr>
      </w:pPr>
      <w:r>
        <w:rPr>
          <w:rFonts w:hint="eastAsia" w:ascii="仿宋_GB2312" w:hAnsi="仿宋" w:eastAsia="仿宋_GB2312"/>
        </w:rPr>
        <w:t>已完成全部战略投资者的份额限售和锁定，份额限售/锁定流程参见“第二章</w:t>
      </w:r>
      <w:r>
        <w:rPr>
          <w:rFonts w:ascii="仿宋_GB2312" w:hAnsi="仿宋" w:eastAsia="仿宋_GB2312"/>
        </w:rPr>
        <w:t xml:space="preserve"> </w:t>
      </w:r>
      <w:r>
        <w:rPr>
          <w:rFonts w:hint="eastAsia" w:ascii="仿宋_GB2312" w:hAnsi="仿宋" w:eastAsia="仿宋_GB2312"/>
        </w:rPr>
        <w:t>发售</w:t>
      </w:r>
      <w:r>
        <w:rPr>
          <w:rFonts w:ascii="仿宋_GB2312" w:hAnsi="仿宋" w:eastAsia="仿宋_GB2312"/>
        </w:rPr>
        <w:t>-</w:t>
      </w:r>
      <w:r>
        <w:rPr>
          <w:rFonts w:hint="eastAsia" w:ascii="仿宋_GB2312" w:hAnsi="仿宋" w:eastAsia="仿宋_GB2312"/>
        </w:rPr>
        <w:t>五、上市前基金份额限售和锁定管理”内容；</w:t>
      </w:r>
    </w:p>
    <w:p w14:paraId="669837D8">
      <w:pPr>
        <w:pStyle w:val="13"/>
        <w:numPr>
          <w:ilvl w:val="0"/>
          <w:numId w:val="60"/>
        </w:numPr>
        <w:snapToGrid w:val="0"/>
        <w:spacing w:before="0" w:beforeAutospacing="0" w:after="0" w:afterAutospacing="0" w:line="360" w:lineRule="auto"/>
        <w:ind w:left="851"/>
        <w:jc w:val="both"/>
        <w:rPr>
          <w:rFonts w:hint="eastAsia" w:ascii="仿宋_GB2312" w:hAnsi="仿宋" w:eastAsia="仿宋_GB2312"/>
        </w:rPr>
      </w:pPr>
      <w:r>
        <w:rPr>
          <w:rFonts w:hint="eastAsia" w:ascii="仿宋_GB2312" w:hAnsi="仿宋" w:eastAsia="仿宋_GB2312"/>
        </w:rPr>
        <w:t>已指定至少</w:t>
      </w:r>
      <w:r>
        <w:rPr>
          <w:rFonts w:hint="eastAsia" w:ascii="Times New Roman" w:hAnsi="Times New Roman" w:eastAsia="仿宋_GB2312"/>
        </w:rPr>
        <w:t>1</w:t>
      </w:r>
      <w:r>
        <w:rPr>
          <w:rFonts w:hint="eastAsia" w:ascii="仿宋_GB2312" w:hAnsi="仿宋" w:eastAsia="仿宋_GB2312"/>
        </w:rPr>
        <w:t>家做市商提供做市服务，并在上市申请函中明确。督促相关做市商及时向本所提交做市申请，保证上市首日能正常开展做市业务。</w:t>
      </w:r>
    </w:p>
    <w:p w14:paraId="78A345E3">
      <w:pPr>
        <w:pStyle w:val="13"/>
        <w:numPr>
          <w:ilvl w:val="1"/>
          <w:numId w:val="22"/>
        </w:numPr>
        <w:snapToGrid w:val="0"/>
        <w:spacing w:before="0" w:beforeAutospacing="0" w:after="0" w:afterAutospacing="0" w:line="360" w:lineRule="auto"/>
        <w:jc w:val="both"/>
        <w:rPr>
          <w:rFonts w:hint="eastAsia" w:ascii="仿宋_GB2312" w:hAnsi="仿宋" w:eastAsia="仿宋_GB2312"/>
        </w:rPr>
      </w:pPr>
      <w:r>
        <w:rPr>
          <w:rFonts w:hint="eastAsia" w:ascii="仿宋_GB2312" w:hAnsi="仿宋" w:eastAsia="仿宋_GB2312"/>
        </w:rPr>
        <w:t>申请及审批流程：</w:t>
      </w:r>
    </w:p>
    <w:p w14:paraId="2ABD0F4D">
      <w:pPr>
        <w:pStyle w:val="13"/>
        <w:snapToGrid w:val="0"/>
        <w:spacing w:before="0" w:beforeAutospacing="0" w:after="0" w:afterAutospacing="0" w:line="360" w:lineRule="auto"/>
        <w:ind w:left="420"/>
        <w:jc w:val="both"/>
        <w:rPr>
          <w:rFonts w:hint="eastAsia" w:ascii="仿宋_GB2312" w:hAnsi="仿宋" w:eastAsia="仿宋_GB2312"/>
        </w:rPr>
      </w:pPr>
    </w:p>
    <w:p w14:paraId="3200BDF0">
      <w:pPr>
        <w:pStyle w:val="13"/>
        <w:numPr>
          <w:ilvl w:val="0"/>
          <w:numId w:val="18"/>
        </w:numPr>
        <w:snapToGrid w:val="0"/>
        <w:spacing w:before="0" w:beforeAutospacing="0" w:after="0" w:afterAutospacing="0" w:line="360" w:lineRule="auto"/>
        <w:jc w:val="both"/>
        <w:rPr>
          <w:rFonts w:hint="eastAsia" w:ascii="仿宋_GB2312" w:hAnsi="仿宋" w:eastAsia="仿宋_GB2312"/>
        </w:rPr>
      </w:pPr>
      <w:r>
        <w:rPr>
          <w:rFonts w:hint="eastAsia" w:ascii="仿宋_GB2312" w:hAnsi="仿宋" w:eastAsia="仿宋_GB2312"/>
        </w:rPr>
        <w:t>名称释义：</w:t>
      </w:r>
      <w:r>
        <w:rPr>
          <w:rFonts w:hint="eastAsia" w:ascii="Times New Roman" w:hAnsi="Times New Roman" w:eastAsia="仿宋_GB2312"/>
        </w:rPr>
        <w:t>T</w:t>
      </w:r>
      <w:r>
        <w:rPr>
          <w:rFonts w:hint="eastAsia" w:ascii="仿宋_GB2312" w:hAnsi="仿宋" w:eastAsia="仿宋_GB2312"/>
        </w:rPr>
        <w:t>日为上市日</w:t>
      </w:r>
    </w:p>
    <w:p w14:paraId="6183662B">
      <w:pPr>
        <w:pStyle w:val="13"/>
        <w:snapToGrid w:val="0"/>
        <w:spacing w:before="0" w:beforeAutospacing="0" w:after="0" w:afterAutospacing="0" w:line="360" w:lineRule="auto"/>
        <w:jc w:val="both"/>
        <w:rPr>
          <w:rFonts w:hint="eastAsia" w:ascii="仿宋_GB2312" w:hAnsi="仿宋" w:eastAsia="仿宋_GB2312"/>
        </w:rPr>
      </w:pPr>
    </w:p>
    <w:p w14:paraId="08F3727D">
      <w:pPr>
        <w:snapToGrid w:val="0"/>
        <w:spacing w:line="360" w:lineRule="auto"/>
        <w:ind w:left="420"/>
        <w:rPr>
          <w:rFonts w:hint="eastAsia" w:ascii="仿宋_GB2312" w:hAnsi="仿宋" w:eastAsia="仿宋_GB2312" w:cs="宋体"/>
          <w:color w:val="000000"/>
          <w:kern w:val="0"/>
          <w:sz w:val="24"/>
        </w:rPr>
      </w:pPr>
      <w:r>
        <w:rPr>
          <w:rFonts w:hint="eastAsia" w:ascii="Times New Roman" w:hAnsi="Times New Roman" w:eastAsia="仿宋_GB2312" w:cs="宋体"/>
          <w:color w:val="000000"/>
          <w:kern w:val="0"/>
          <w:sz w:val="24"/>
        </w:rPr>
        <w:t>T</w:t>
      </w:r>
      <w:r>
        <w:rPr>
          <w:rFonts w:hint="eastAsia" w:ascii="仿宋_GB2312" w:hAnsi="仿宋" w:eastAsia="仿宋_GB2312" w:cs="宋体"/>
          <w:color w:val="000000"/>
          <w:kern w:val="0"/>
          <w:sz w:val="24"/>
        </w:rPr>
        <w:t>-</w:t>
      </w:r>
      <w:r>
        <w:rPr>
          <w:rFonts w:hint="eastAsia" w:ascii="Times New Roman" w:hAnsi="Times New Roman" w:eastAsia="仿宋_GB2312" w:cs="宋体"/>
          <w:color w:val="000000"/>
          <w:kern w:val="0"/>
          <w:sz w:val="24"/>
        </w:rPr>
        <w:t>5</w:t>
      </w:r>
      <w:r>
        <w:rPr>
          <w:rFonts w:hint="eastAsia" w:ascii="仿宋_GB2312" w:hAnsi="仿宋" w:eastAsia="仿宋_GB2312" w:cs="宋体"/>
          <w:color w:val="000000"/>
          <w:kern w:val="0"/>
          <w:sz w:val="24"/>
        </w:rPr>
        <w:t>日</w:t>
      </w:r>
      <w:r>
        <w:rPr>
          <w:rFonts w:ascii="仿宋_GB2312" w:hAnsi="仿宋" w:eastAsia="仿宋_GB2312" w:cs="宋体"/>
          <w:color w:val="000000"/>
          <w:kern w:val="0"/>
          <w:sz w:val="24"/>
        </w:rPr>
        <w:t>（含）</w:t>
      </w:r>
      <w:r>
        <w:rPr>
          <w:rFonts w:hint="eastAsia" w:ascii="Times New Roman" w:hAnsi="Times New Roman" w:eastAsia="仿宋_GB2312" w:cs="宋体"/>
          <w:color w:val="000000"/>
          <w:kern w:val="0"/>
          <w:sz w:val="24"/>
        </w:rPr>
        <w:t>10</w:t>
      </w:r>
      <w:r>
        <w:rPr>
          <w:rFonts w:hint="eastAsia" w:ascii="仿宋_GB2312" w:hAnsi="仿宋" w:eastAsia="仿宋_GB2312" w:cs="宋体"/>
          <w:color w:val="000000"/>
          <w:kern w:val="0"/>
          <w:sz w:val="24"/>
        </w:rPr>
        <w:t>:</w:t>
      </w:r>
      <w:r>
        <w:rPr>
          <w:rFonts w:hint="eastAsia" w:ascii="Times New Roman" w:hAnsi="Times New Roman" w:eastAsia="仿宋_GB2312" w:cs="宋体"/>
          <w:color w:val="000000"/>
          <w:kern w:val="0"/>
          <w:sz w:val="24"/>
        </w:rPr>
        <w:t>00</w:t>
      </w:r>
      <w:r>
        <w:rPr>
          <w:rFonts w:hint="eastAsia" w:ascii="仿宋_GB2312" w:hAnsi="仿宋" w:eastAsia="仿宋_GB2312" w:cs="宋体"/>
          <w:color w:val="000000"/>
          <w:kern w:val="0"/>
          <w:sz w:val="24"/>
        </w:rPr>
        <w:t>前</w:t>
      </w:r>
    </w:p>
    <w:p w14:paraId="7E7BEA57">
      <w:pPr>
        <w:numPr>
          <w:ilvl w:val="0"/>
          <w:numId w:val="22"/>
        </w:numPr>
        <w:snapToGrid w:val="0"/>
        <w:spacing w:line="360" w:lineRule="auto"/>
        <w:ind w:firstLine="480" w:firstLineChars="200"/>
        <w:rPr>
          <w:rFonts w:hint="eastAsia" w:ascii="仿宋_GB2312" w:hAnsi="仿宋" w:eastAsia="仿宋_GB2312" w:cs="宋体"/>
          <w:color w:val="000000"/>
          <w:kern w:val="0"/>
          <w:sz w:val="24"/>
        </w:rPr>
      </w:pPr>
      <w:r>
        <w:rPr>
          <w:rFonts w:hint="eastAsia" w:ascii="仿宋_GB2312" w:hAnsi="仿宋" w:eastAsia="仿宋_GB2312" w:cs="宋体"/>
          <w:color w:val="000000"/>
          <w:kern w:val="0"/>
          <w:sz w:val="24"/>
        </w:rPr>
        <w:t>基金管理人通过</w:t>
      </w:r>
      <w:r>
        <w:rPr>
          <w:rFonts w:hint="eastAsia" w:ascii="Times New Roman" w:hAnsi="Times New Roman" w:eastAsia="仿宋_GB2312" w:cs="宋体"/>
          <w:color w:val="000000"/>
          <w:kern w:val="0"/>
          <w:sz w:val="24"/>
        </w:rPr>
        <w:t>REITs</w:t>
      </w:r>
      <w:r>
        <w:rPr>
          <w:rFonts w:hint="eastAsia" w:ascii="仿宋_GB2312" w:hAnsi="仿宋" w:eastAsia="仿宋_GB2312" w:cs="宋体"/>
          <w:color w:val="000000"/>
          <w:kern w:val="0"/>
          <w:sz w:val="24"/>
        </w:rPr>
        <w:t>业务管理系统平台菜单“业务申请-</w:t>
      </w:r>
      <w:r>
        <w:rPr>
          <w:rFonts w:hint="eastAsia" w:ascii="Times New Roman" w:hAnsi="Times New Roman" w:eastAsia="仿宋_GB2312" w:cs="宋体"/>
          <w:color w:val="000000"/>
          <w:kern w:val="0"/>
          <w:sz w:val="24"/>
        </w:rPr>
        <w:t>REITs</w:t>
      </w:r>
      <w:r>
        <w:rPr>
          <w:rFonts w:hint="eastAsia" w:ascii="仿宋_GB2312" w:hAnsi="仿宋" w:eastAsia="仿宋_GB2312" w:cs="宋体"/>
          <w:color w:val="000000"/>
          <w:kern w:val="0"/>
          <w:sz w:val="24"/>
        </w:rPr>
        <w:t>-初始上市业务及公告”提交申请，包括业务申请、信息披露文件两部分：</w:t>
      </w:r>
    </w:p>
    <w:p w14:paraId="72DA1000">
      <w:pPr>
        <w:pStyle w:val="30"/>
        <w:numPr>
          <w:ilvl w:val="0"/>
          <w:numId w:val="25"/>
        </w:numPr>
        <w:snapToGrid w:val="0"/>
        <w:spacing w:line="360" w:lineRule="auto"/>
        <w:ind w:left="1276" w:firstLineChars="0"/>
        <w:rPr>
          <w:rFonts w:hint="eastAsia" w:ascii="仿宋_GB2312" w:hAnsi="仿宋" w:eastAsia="仿宋_GB2312" w:cs="宋体"/>
          <w:color w:val="000000"/>
          <w:kern w:val="0"/>
          <w:sz w:val="24"/>
        </w:rPr>
      </w:pPr>
      <w:r>
        <w:rPr>
          <w:rFonts w:hint="eastAsia" w:ascii="仿宋_GB2312" w:hAnsi="仿宋" w:eastAsia="仿宋_GB2312" w:cs="宋体"/>
          <w:color w:val="000000"/>
          <w:kern w:val="0"/>
          <w:sz w:val="24"/>
        </w:rPr>
        <w:t>业务申请材料：</w:t>
      </w:r>
    </w:p>
    <w:p w14:paraId="32A4CEB4">
      <w:pPr>
        <w:numPr>
          <w:ilvl w:val="0"/>
          <w:numId w:val="61"/>
        </w:numPr>
        <w:tabs>
          <w:tab w:val="clear" w:pos="420"/>
        </w:tabs>
        <w:snapToGrid w:val="0"/>
        <w:spacing w:line="360" w:lineRule="auto"/>
        <w:ind w:left="1276" w:hanging="425"/>
        <w:rPr>
          <w:rFonts w:hint="eastAsia" w:ascii="仿宋_GB2312" w:hAnsi="仿宋" w:eastAsia="仿宋_GB2312" w:cs="宋体"/>
          <w:color w:val="000000"/>
          <w:kern w:val="0"/>
          <w:sz w:val="24"/>
        </w:rPr>
      </w:pPr>
      <w:r>
        <w:rPr>
          <w:rFonts w:hint="eastAsia" w:ascii="仿宋_GB2312" w:hAnsi="仿宋" w:eastAsia="仿宋_GB2312" w:cs="宋体"/>
          <w:color w:val="000000"/>
          <w:kern w:val="0"/>
          <w:sz w:val="24"/>
        </w:rPr>
        <w:t>上市申请函（格式参考附件</w:t>
      </w:r>
      <w:r>
        <w:rPr>
          <w:rFonts w:hint="eastAsia" w:ascii="Times New Roman" w:hAnsi="Times New Roman" w:eastAsia="仿宋_GB2312" w:cs="宋体"/>
          <w:color w:val="000000"/>
          <w:kern w:val="0"/>
          <w:sz w:val="24"/>
        </w:rPr>
        <w:t>1</w:t>
      </w:r>
      <w:r>
        <w:rPr>
          <w:rFonts w:hint="eastAsia" w:ascii="仿宋_GB2312" w:hAnsi="仿宋" w:eastAsia="仿宋_GB2312" w:cs="宋体"/>
          <w:color w:val="000000"/>
          <w:kern w:val="0"/>
          <w:sz w:val="24"/>
        </w:rPr>
        <w:t>-</w:t>
      </w:r>
      <w:r>
        <w:rPr>
          <w:rFonts w:hint="eastAsia" w:ascii="Times New Roman" w:hAnsi="Times New Roman" w:eastAsia="仿宋_GB2312" w:cs="宋体"/>
          <w:color w:val="000000"/>
          <w:kern w:val="0"/>
          <w:sz w:val="24"/>
        </w:rPr>
        <w:t>14</w:t>
      </w:r>
      <w:r>
        <w:rPr>
          <w:rFonts w:hint="eastAsia" w:ascii="仿宋_GB2312" w:hAnsi="仿宋" w:eastAsia="仿宋_GB2312" w:cs="宋体"/>
          <w:color w:val="000000"/>
          <w:kern w:val="0"/>
          <w:sz w:val="24"/>
        </w:rPr>
        <w:t>，盖章扫描件）；</w:t>
      </w:r>
    </w:p>
    <w:p w14:paraId="779AAF39">
      <w:pPr>
        <w:numPr>
          <w:ilvl w:val="0"/>
          <w:numId w:val="61"/>
        </w:numPr>
        <w:tabs>
          <w:tab w:val="clear" w:pos="420"/>
        </w:tabs>
        <w:snapToGrid w:val="0"/>
        <w:spacing w:line="360" w:lineRule="auto"/>
        <w:ind w:left="1276" w:hanging="425"/>
        <w:rPr>
          <w:rFonts w:hint="eastAsia" w:ascii="仿宋_GB2312" w:hAnsi="仿宋" w:eastAsia="仿宋_GB2312" w:cs="宋体"/>
          <w:color w:val="000000"/>
          <w:kern w:val="0"/>
          <w:sz w:val="24"/>
        </w:rPr>
      </w:pPr>
      <w:r>
        <w:rPr>
          <w:rFonts w:hint="eastAsia" w:ascii="Times New Roman" w:hAnsi="Times New Roman" w:eastAsia="仿宋_GB2312" w:cs="宋体"/>
          <w:color w:val="000000"/>
          <w:kern w:val="0"/>
          <w:sz w:val="24"/>
        </w:rPr>
        <w:t>REITs</w:t>
      </w:r>
      <w:r>
        <w:rPr>
          <w:rFonts w:hint="eastAsia" w:ascii="仿宋_GB2312" w:hAnsi="仿宋" w:eastAsia="仿宋_GB2312" w:cs="宋体"/>
          <w:color w:val="000000"/>
          <w:kern w:val="0"/>
          <w:sz w:val="24"/>
        </w:rPr>
        <w:t>账户信息（格式参考附件</w:t>
      </w:r>
      <w:r>
        <w:rPr>
          <w:rFonts w:hint="eastAsia" w:ascii="Times New Roman" w:hAnsi="Times New Roman" w:eastAsia="仿宋_GB2312" w:cs="宋体"/>
          <w:color w:val="000000"/>
          <w:kern w:val="0"/>
          <w:sz w:val="24"/>
        </w:rPr>
        <w:t>1</w:t>
      </w:r>
      <w:r>
        <w:rPr>
          <w:rFonts w:hint="eastAsia" w:ascii="仿宋_GB2312" w:hAnsi="仿宋" w:eastAsia="仿宋_GB2312" w:cs="宋体"/>
          <w:color w:val="000000"/>
          <w:kern w:val="0"/>
          <w:sz w:val="24"/>
        </w:rPr>
        <w:t>-</w:t>
      </w:r>
      <w:r>
        <w:rPr>
          <w:rFonts w:hint="eastAsia" w:ascii="Times New Roman" w:hAnsi="Times New Roman" w:eastAsia="仿宋_GB2312" w:cs="宋体"/>
          <w:color w:val="000000"/>
          <w:kern w:val="0"/>
          <w:sz w:val="24"/>
        </w:rPr>
        <w:t>15</w:t>
      </w:r>
      <w:r>
        <w:rPr>
          <w:rFonts w:hint="eastAsia" w:ascii="仿宋_GB2312" w:hAnsi="仿宋" w:eastAsia="仿宋_GB2312" w:cs="宋体"/>
          <w:color w:val="000000"/>
          <w:kern w:val="0"/>
          <w:sz w:val="24"/>
        </w:rPr>
        <w:t>，盖章扫描件）；</w:t>
      </w:r>
    </w:p>
    <w:p w14:paraId="044103C3">
      <w:pPr>
        <w:numPr>
          <w:ilvl w:val="0"/>
          <w:numId w:val="61"/>
        </w:numPr>
        <w:tabs>
          <w:tab w:val="clear" w:pos="420"/>
        </w:tabs>
        <w:snapToGrid w:val="0"/>
        <w:spacing w:line="360" w:lineRule="auto"/>
        <w:ind w:left="1276" w:hanging="425"/>
        <w:rPr>
          <w:rFonts w:hint="eastAsia" w:ascii="仿宋_GB2312" w:hAnsi="仿宋" w:eastAsia="仿宋_GB2312" w:cs="宋体"/>
          <w:color w:val="000000"/>
          <w:kern w:val="0"/>
          <w:sz w:val="24"/>
        </w:rPr>
      </w:pPr>
      <w:r>
        <w:rPr>
          <w:rFonts w:hint="eastAsia" w:ascii="仿宋_GB2312" w:hAnsi="仿宋" w:eastAsia="仿宋_GB2312" w:cs="宋体"/>
          <w:color w:val="000000"/>
          <w:kern w:val="0"/>
          <w:sz w:val="24"/>
        </w:rPr>
        <w:t>基金合同生效公告；</w:t>
      </w:r>
    </w:p>
    <w:p w14:paraId="4D3A129A">
      <w:pPr>
        <w:numPr>
          <w:ilvl w:val="0"/>
          <w:numId w:val="61"/>
        </w:numPr>
        <w:tabs>
          <w:tab w:val="clear" w:pos="420"/>
        </w:tabs>
        <w:snapToGrid w:val="0"/>
        <w:spacing w:line="360" w:lineRule="auto"/>
        <w:ind w:left="1276" w:hanging="425"/>
        <w:rPr>
          <w:rFonts w:hint="eastAsia" w:ascii="仿宋_GB2312" w:hAnsi="仿宋" w:eastAsia="仿宋_GB2312" w:cs="宋体"/>
          <w:color w:val="000000"/>
          <w:kern w:val="0"/>
          <w:sz w:val="24"/>
        </w:rPr>
      </w:pPr>
      <w:r>
        <w:rPr>
          <w:rFonts w:hint="eastAsia" w:ascii="仿宋_GB2312" w:hAnsi="仿宋" w:eastAsia="仿宋_GB2312" w:cs="宋体"/>
          <w:color w:val="000000"/>
          <w:kern w:val="0"/>
          <w:sz w:val="24"/>
        </w:rPr>
        <w:t>上市交易公告书中财务部分（含投资组合）（经托管人确认的盖章件）；</w:t>
      </w:r>
    </w:p>
    <w:p w14:paraId="47E871B7">
      <w:pPr>
        <w:numPr>
          <w:ilvl w:val="0"/>
          <w:numId w:val="61"/>
        </w:numPr>
        <w:tabs>
          <w:tab w:val="clear" w:pos="420"/>
        </w:tabs>
        <w:snapToGrid w:val="0"/>
        <w:spacing w:line="360" w:lineRule="auto"/>
        <w:ind w:left="1276" w:hanging="425"/>
        <w:rPr>
          <w:rFonts w:hint="eastAsia" w:ascii="仿宋_GB2312" w:hAnsi="仿宋" w:eastAsia="仿宋_GB2312" w:cs="宋体"/>
          <w:color w:val="000000"/>
          <w:kern w:val="0"/>
          <w:sz w:val="24"/>
        </w:rPr>
      </w:pPr>
      <w:r>
        <w:rPr>
          <w:rFonts w:hint="eastAsia" w:ascii="仿宋_GB2312" w:hAnsi="仿宋" w:eastAsia="仿宋_GB2312" w:cs="宋体"/>
          <w:color w:val="000000"/>
          <w:kern w:val="0"/>
          <w:sz w:val="24"/>
        </w:rPr>
        <w:t>已生效的</w:t>
      </w:r>
      <w:r>
        <w:rPr>
          <w:rFonts w:hint="eastAsia" w:ascii="Times New Roman" w:hAnsi="Times New Roman" w:eastAsia="仿宋_GB2312" w:cs="宋体"/>
          <w:color w:val="000000"/>
          <w:kern w:val="0"/>
          <w:sz w:val="24"/>
        </w:rPr>
        <w:t>REITs</w:t>
      </w:r>
      <w:r>
        <w:rPr>
          <w:rFonts w:hint="eastAsia" w:ascii="仿宋_GB2312" w:hAnsi="仿宋" w:eastAsia="仿宋_GB2312" w:cs="宋体"/>
          <w:color w:val="000000"/>
          <w:kern w:val="0"/>
          <w:sz w:val="24"/>
        </w:rPr>
        <w:t>认购资产支持证券的认购协议（扫描件）；</w:t>
      </w:r>
    </w:p>
    <w:p w14:paraId="3B5F562B">
      <w:pPr>
        <w:numPr>
          <w:ilvl w:val="0"/>
          <w:numId w:val="61"/>
        </w:numPr>
        <w:tabs>
          <w:tab w:val="clear" w:pos="420"/>
        </w:tabs>
        <w:snapToGrid w:val="0"/>
        <w:spacing w:line="360" w:lineRule="auto"/>
        <w:ind w:left="1276" w:hanging="425"/>
        <w:rPr>
          <w:rFonts w:hint="eastAsia" w:ascii="仿宋_GB2312" w:hAnsi="仿宋" w:eastAsia="仿宋_GB2312" w:cs="宋体"/>
          <w:color w:val="000000"/>
          <w:kern w:val="0"/>
          <w:sz w:val="24"/>
        </w:rPr>
      </w:pPr>
      <w:r>
        <w:rPr>
          <w:rFonts w:hint="eastAsia" w:ascii="Times New Roman" w:hAnsi="Times New Roman" w:eastAsia="仿宋_GB2312" w:cs="宋体"/>
          <w:color w:val="000000"/>
          <w:kern w:val="0"/>
          <w:sz w:val="24"/>
        </w:rPr>
        <w:t>REITs</w:t>
      </w:r>
      <w:r>
        <w:rPr>
          <w:rFonts w:hint="eastAsia" w:ascii="仿宋_GB2312" w:hAnsi="仿宋" w:eastAsia="仿宋_GB2312" w:cs="宋体"/>
          <w:color w:val="000000"/>
          <w:kern w:val="0"/>
          <w:sz w:val="24"/>
        </w:rPr>
        <w:t>所投资专项计划的成立公告（盖章扫描件）；</w:t>
      </w:r>
    </w:p>
    <w:p w14:paraId="53797D8C">
      <w:pPr>
        <w:numPr>
          <w:ilvl w:val="0"/>
          <w:numId w:val="61"/>
        </w:numPr>
        <w:tabs>
          <w:tab w:val="clear" w:pos="420"/>
        </w:tabs>
        <w:snapToGrid w:val="0"/>
        <w:spacing w:line="360" w:lineRule="auto"/>
        <w:ind w:left="1276" w:hanging="425"/>
        <w:rPr>
          <w:rFonts w:hint="eastAsia" w:ascii="仿宋_GB2312" w:hAnsi="仿宋" w:eastAsia="仿宋_GB2312" w:cs="宋体"/>
          <w:color w:val="000000"/>
          <w:kern w:val="0"/>
          <w:sz w:val="24"/>
        </w:rPr>
      </w:pPr>
      <w:r>
        <w:rPr>
          <w:rFonts w:hint="eastAsia" w:ascii="Times New Roman" w:hAnsi="Times New Roman" w:eastAsia="仿宋_GB2312" w:cs="宋体"/>
          <w:color w:val="000000"/>
          <w:kern w:val="0"/>
          <w:sz w:val="24"/>
        </w:rPr>
        <w:t>REITs</w:t>
      </w:r>
      <w:r>
        <w:rPr>
          <w:rFonts w:hint="eastAsia" w:ascii="仿宋_GB2312" w:hAnsi="仿宋" w:eastAsia="仿宋_GB2312" w:cs="宋体"/>
          <w:color w:val="000000"/>
          <w:kern w:val="0"/>
          <w:sz w:val="24"/>
        </w:rPr>
        <w:t>所投资专项计划的已生效的基础资产买卖协议（扫描件）；</w:t>
      </w:r>
    </w:p>
    <w:p w14:paraId="76D23A19">
      <w:pPr>
        <w:numPr>
          <w:ilvl w:val="0"/>
          <w:numId w:val="61"/>
        </w:numPr>
        <w:tabs>
          <w:tab w:val="clear" w:pos="420"/>
        </w:tabs>
        <w:snapToGrid w:val="0"/>
        <w:spacing w:line="360" w:lineRule="auto"/>
        <w:ind w:left="1276" w:hanging="425"/>
        <w:rPr>
          <w:rFonts w:hint="eastAsia" w:ascii="仿宋_GB2312" w:hAnsi="仿宋" w:eastAsia="仿宋_GB2312" w:cs="宋体"/>
          <w:color w:val="000000"/>
          <w:kern w:val="0"/>
          <w:sz w:val="24"/>
        </w:rPr>
      </w:pPr>
      <w:r>
        <w:rPr>
          <w:rFonts w:hint="eastAsia" w:ascii="仿宋_GB2312" w:hAnsi="仿宋" w:eastAsia="仿宋_GB2312" w:cs="宋体"/>
          <w:color w:val="000000"/>
          <w:kern w:val="0"/>
          <w:sz w:val="24"/>
        </w:rPr>
        <w:t>持有份额</w:t>
      </w:r>
      <w:r>
        <w:rPr>
          <w:rFonts w:hint="eastAsia" w:ascii="Times New Roman" w:hAnsi="Times New Roman" w:eastAsia="仿宋_GB2312" w:cs="宋体"/>
          <w:color w:val="000000"/>
          <w:kern w:val="0"/>
          <w:sz w:val="24"/>
        </w:rPr>
        <w:t>10%</w:t>
      </w:r>
      <w:r>
        <w:rPr>
          <w:rFonts w:hint="eastAsia" w:ascii="仿宋_GB2312" w:hAnsi="仿宋" w:eastAsia="仿宋_GB2312" w:cs="宋体"/>
          <w:color w:val="000000"/>
          <w:kern w:val="0"/>
          <w:sz w:val="24"/>
        </w:rPr>
        <w:t>及以上基金持有人情况表（格式参考附件</w:t>
      </w:r>
      <w:r>
        <w:rPr>
          <w:rFonts w:hint="eastAsia" w:ascii="Times New Roman" w:hAnsi="Times New Roman" w:eastAsia="仿宋_GB2312" w:cs="宋体"/>
          <w:color w:val="000000"/>
          <w:kern w:val="0"/>
          <w:sz w:val="24"/>
        </w:rPr>
        <w:t>1</w:t>
      </w:r>
      <w:r>
        <w:rPr>
          <w:rFonts w:hint="eastAsia" w:ascii="仿宋_GB2312" w:hAnsi="仿宋" w:eastAsia="仿宋_GB2312" w:cs="宋体"/>
          <w:color w:val="000000"/>
          <w:kern w:val="0"/>
          <w:sz w:val="24"/>
        </w:rPr>
        <w:t>-</w:t>
      </w:r>
      <w:r>
        <w:rPr>
          <w:rFonts w:hint="eastAsia" w:ascii="Times New Roman" w:hAnsi="Times New Roman" w:eastAsia="仿宋_GB2312" w:cs="宋体"/>
          <w:color w:val="000000"/>
          <w:kern w:val="0"/>
          <w:sz w:val="24"/>
        </w:rPr>
        <w:t>16</w:t>
      </w:r>
      <w:r>
        <w:rPr>
          <w:rFonts w:hint="eastAsia" w:ascii="仿宋_GB2312" w:hAnsi="仿宋" w:eastAsia="仿宋_GB2312" w:cs="宋体"/>
          <w:color w:val="000000"/>
          <w:kern w:val="0"/>
          <w:sz w:val="24"/>
        </w:rPr>
        <w:t>，盖章扫描件）；</w:t>
      </w:r>
    </w:p>
    <w:p w14:paraId="7A0BD3E7">
      <w:pPr>
        <w:numPr>
          <w:ilvl w:val="0"/>
          <w:numId w:val="61"/>
        </w:numPr>
        <w:tabs>
          <w:tab w:val="clear" w:pos="420"/>
        </w:tabs>
        <w:snapToGrid w:val="0"/>
        <w:spacing w:line="360" w:lineRule="auto"/>
        <w:ind w:left="1276" w:hanging="425"/>
        <w:rPr>
          <w:rFonts w:hint="eastAsia" w:ascii="仿宋_GB2312" w:hAnsi="仿宋" w:eastAsia="仿宋_GB2312" w:cs="宋体"/>
          <w:color w:val="000000"/>
          <w:kern w:val="0"/>
          <w:sz w:val="24"/>
        </w:rPr>
      </w:pPr>
      <w:r>
        <w:rPr>
          <w:rFonts w:hint="eastAsia" w:ascii="仿宋_GB2312" w:hAnsi="仿宋" w:eastAsia="仿宋_GB2312" w:cs="宋体"/>
          <w:color w:val="000000"/>
          <w:kern w:val="0"/>
          <w:sz w:val="24"/>
        </w:rPr>
        <w:t>发售后至上市前新增的财务资料和有关重大事项的说明（如有，盖章扫描件）；</w:t>
      </w:r>
    </w:p>
    <w:p w14:paraId="32CD4AD1">
      <w:pPr>
        <w:numPr>
          <w:ilvl w:val="0"/>
          <w:numId w:val="61"/>
        </w:numPr>
        <w:tabs>
          <w:tab w:val="clear" w:pos="420"/>
        </w:tabs>
        <w:snapToGrid w:val="0"/>
        <w:spacing w:line="360" w:lineRule="auto"/>
        <w:ind w:left="1276" w:hanging="425"/>
        <w:rPr>
          <w:rFonts w:hint="eastAsia" w:ascii="仿宋_GB2312" w:hAnsi="仿宋" w:eastAsia="仿宋_GB2312" w:cs="宋体"/>
          <w:color w:val="000000"/>
          <w:kern w:val="0"/>
          <w:sz w:val="24"/>
        </w:rPr>
      </w:pPr>
      <w:r>
        <w:rPr>
          <w:rFonts w:hint="eastAsia" w:ascii="仿宋_GB2312" w:hAnsi="仿宋" w:eastAsia="仿宋_GB2312" w:cs="宋体"/>
          <w:color w:val="000000"/>
          <w:kern w:val="0"/>
          <w:sz w:val="24"/>
        </w:rPr>
        <w:t>本所一至两名会员出具的上市推荐书（盖章扫描件）；</w:t>
      </w:r>
    </w:p>
    <w:p w14:paraId="08BBFE2F">
      <w:pPr>
        <w:numPr>
          <w:ilvl w:val="0"/>
          <w:numId w:val="61"/>
        </w:numPr>
        <w:tabs>
          <w:tab w:val="clear" w:pos="420"/>
        </w:tabs>
        <w:snapToGrid w:val="0"/>
        <w:spacing w:line="360" w:lineRule="auto"/>
        <w:ind w:left="1276" w:hanging="425"/>
        <w:rPr>
          <w:rFonts w:hint="eastAsia" w:ascii="仿宋_GB2312" w:hAnsi="仿宋" w:eastAsia="仿宋_GB2312" w:cs="宋体"/>
          <w:color w:val="000000"/>
          <w:kern w:val="0"/>
          <w:sz w:val="24"/>
        </w:rPr>
      </w:pPr>
      <w:r>
        <w:rPr>
          <w:rFonts w:hint="eastAsia" w:ascii="仿宋_GB2312" w:hAnsi="仿宋" w:eastAsia="仿宋_GB2312" w:cs="宋体"/>
          <w:color w:val="000000"/>
          <w:kern w:val="0"/>
          <w:sz w:val="24"/>
        </w:rPr>
        <w:t>基金管理人、基金托管人就基金上市之后履行管理人、托管人职责的承诺（盖章扫描件）；</w:t>
      </w:r>
    </w:p>
    <w:p w14:paraId="2F1304C7">
      <w:pPr>
        <w:numPr>
          <w:ilvl w:val="0"/>
          <w:numId w:val="61"/>
        </w:numPr>
        <w:tabs>
          <w:tab w:val="clear" w:pos="420"/>
        </w:tabs>
        <w:snapToGrid w:val="0"/>
        <w:spacing w:line="360" w:lineRule="auto"/>
        <w:ind w:left="1276" w:hanging="425"/>
        <w:rPr>
          <w:rFonts w:hint="eastAsia" w:ascii="仿宋_GB2312" w:hAnsi="仿宋" w:eastAsia="仿宋_GB2312" w:cs="宋体"/>
          <w:color w:val="000000"/>
          <w:kern w:val="0"/>
          <w:sz w:val="24"/>
        </w:rPr>
      </w:pPr>
      <w:r>
        <w:rPr>
          <w:rFonts w:hint="eastAsia" w:ascii="仿宋_GB2312" w:hAnsi="仿宋" w:eastAsia="仿宋_GB2312" w:cs="宋体"/>
          <w:color w:val="000000"/>
          <w:kern w:val="0"/>
          <w:sz w:val="24"/>
        </w:rPr>
        <w:t>基金管理人保证所提交文件和材料真实、准确和完整的承诺（盖章扫描件）；</w:t>
      </w:r>
    </w:p>
    <w:p w14:paraId="07AB0683">
      <w:pPr>
        <w:numPr>
          <w:ilvl w:val="0"/>
          <w:numId w:val="61"/>
        </w:numPr>
        <w:tabs>
          <w:tab w:val="clear" w:pos="420"/>
        </w:tabs>
        <w:snapToGrid w:val="0"/>
        <w:spacing w:line="360" w:lineRule="auto"/>
        <w:ind w:left="1276" w:hanging="425"/>
        <w:rPr>
          <w:rFonts w:hint="eastAsia" w:ascii="仿宋_GB2312" w:hAnsi="仿宋" w:eastAsia="仿宋_GB2312" w:cs="宋体"/>
          <w:color w:val="000000"/>
          <w:kern w:val="0"/>
          <w:sz w:val="24"/>
        </w:rPr>
      </w:pPr>
      <w:r>
        <w:rPr>
          <w:rFonts w:hint="eastAsia" w:ascii="仿宋_GB2312" w:hAnsi="仿宋" w:eastAsia="仿宋_GB2312" w:cs="宋体"/>
          <w:color w:val="000000"/>
          <w:kern w:val="0"/>
          <w:sz w:val="24"/>
        </w:rPr>
        <w:t>本所要求的其他材料。</w:t>
      </w:r>
    </w:p>
    <w:p w14:paraId="47257641">
      <w:pPr>
        <w:snapToGrid w:val="0"/>
        <w:spacing w:line="360" w:lineRule="auto"/>
        <w:rPr>
          <w:rFonts w:hint="eastAsia" w:ascii="仿宋_GB2312" w:hAnsi="仿宋" w:eastAsia="仿宋_GB2312" w:cs="宋体"/>
          <w:color w:val="000000"/>
          <w:kern w:val="0"/>
          <w:sz w:val="24"/>
        </w:rPr>
      </w:pPr>
    </w:p>
    <w:p w14:paraId="03366AF7">
      <w:pPr>
        <w:pStyle w:val="30"/>
        <w:numPr>
          <w:ilvl w:val="0"/>
          <w:numId w:val="25"/>
        </w:numPr>
        <w:snapToGrid w:val="0"/>
        <w:spacing w:line="360" w:lineRule="auto"/>
        <w:ind w:left="1276" w:firstLineChars="0"/>
        <w:rPr>
          <w:rFonts w:hint="eastAsia" w:ascii="仿宋_GB2312" w:hAnsi="仿宋" w:eastAsia="仿宋_GB2312" w:cs="宋体"/>
          <w:color w:val="000000"/>
          <w:kern w:val="0"/>
          <w:sz w:val="24"/>
        </w:rPr>
      </w:pPr>
      <w:r>
        <w:rPr>
          <w:rFonts w:hint="eastAsia" w:ascii="仿宋_GB2312" w:hAnsi="仿宋" w:eastAsia="仿宋_GB2312" w:cs="宋体"/>
          <w:color w:val="000000"/>
          <w:kern w:val="0"/>
          <w:sz w:val="24"/>
        </w:rPr>
        <w:t>信息披露文件：</w:t>
      </w:r>
    </w:p>
    <w:p w14:paraId="59B246EB">
      <w:pPr>
        <w:numPr>
          <w:ilvl w:val="0"/>
          <w:numId w:val="62"/>
        </w:numPr>
        <w:snapToGrid w:val="0"/>
        <w:spacing w:line="360" w:lineRule="auto"/>
        <w:ind w:left="1276" w:hanging="425"/>
        <w:rPr>
          <w:rFonts w:hint="eastAsia" w:ascii="仿宋_GB2312" w:hAnsi="仿宋" w:eastAsia="仿宋_GB2312" w:cs="宋体"/>
          <w:color w:val="000000"/>
          <w:kern w:val="0"/>
          <w:sz w:val="24"/>
        </w:rPr>
      </w:pPr>
      <w:r>
        <w:rPr>
          <w:rFonts w:hint="eastAsia" w:ascii="仿宋_GB2312" w:hAnsi="仿宋" w:eastAsia="仿宋_GB2312" w:cs="宋体"/>
          <w:color w:val="000000"/>
          <w:kern w:val="0"/>
          <w:sz w:val="24"/>
        </w:rPr>
        <w:t>上市交易公告书（除基金上市交易的核准机构核准文号、上市份额数量（如未确认）为空外，其余数据及内容应已确定，格式参考附件</w:t>
      </w:r>
      <w:r>
        <w:rPr>
          <w:rFonts w:hint="eastAsia" w:ascii="Times New Roman" w:hAnsi="Times New Roman" w:eastAsia="仿宋_GB2312" w:cs="宋体"/>
          <w:color w:val="000000"/>
          <w:kern w:val="0"/>
          <w:sz w:val="24"/>
        </w:rPr>
        <w:t>2</w:t>
      </w:r>
      <w:r>
        <w:rPr>
          <w:rFonts w:hint="eastAsia" w:ascii="仿宋_GB2312" w:hAnsi="仿宋" w:eastAsia="仿宋_GB2312" w:cs="宋体"/>
          <w:color w:val="000000"/>
          <w:kern w:val="0"/>
          <w:sz w:val="24"/>
        </w:rPr>
        <w:t>-</w:t>
      </w:r>
      <w:r>
        <w:rPr>
          <w:rFonts w:hint="eastAsia" w:ascii="Times New Roman" w:hAnsi="Times New Roman" w:eastAsia="仿宋_GB2312" w:cs="宋体"/>
          <w:color w:val="000000"/>
          <w:kern w:val="0"/>
          <w:sz w:val="24"/>
        </w:rPr>
        <w:t>5</w:t>
      </w:r>
      <w:r>
        <w:rPr>
          <w:rFonts w:hint="eastAsia" w:ascii="仿宋_GB2312" w:hAnsi="仿宋" w:eastAsia="仿宋_GB2312" w:cs="宋体"/>
          <w:color w:val="000000"/>
          <w:kern w:val="0"/>
          <w:sz w:val="24"/>
        </w:rPr>
        <w:t>）；</w:t>
      </w:r>
    </w:p>
    <w:p w14:paraId="27578043">
      <w:pPr>
        <w:numPr>
          <w:ilvl w:val="0"/>
          <w:numId w:val="62"/>
        </w:numPr>
        <w:snapToGrid w:val="0"/>
        <w:spacing w:line="360" w:lineRule="auto"/>
        <w:ind w:left="1276" w:hanging="425"/>
        <w:rPr>
          <w:rFonts w:hint="eastAsia" w:ascii="仿宋_GB2312" w:hAnsi="仿宋" w:eastAsia="仿宋_GB2312" w:cs="宋体"/>
          <w:color w:val="000000"/>
          <w:kern w:val="0"/>
          <w:sz w:val="24"/>
        </w:rPr>
      </w:pPr>
      <w:r>
        <w:rPr>
          <w:rFonts w:hint="eastAsia" w:ascii="仿宋_GB2312" w:hAnsi="仿宋" w:eastAsia="仿宋_GB2312" w:cs="宋体"/>
          <w:color w:val="000000"/>
          <w:kern w:val="0"/>
          <w:sz w:val="24"/>
        </w:rPr>
        <w:t>本所要求披露的其他文件。</w:t>
      </w:r>
    </w:p>
    <w:p w14:paraId="62E0617B">
      <w:pPr>
        <w:snapToGrid w:val="0"/>
        <w:spacing w:line="360" w:lineRule="auto"/>
        <w:ind w:left="851"/>
        <w:rPr>
          <w:rFonts w:hint="eastAsia" w:ascii="仿宋_GB2312" w:hAnsi="仿宋" w:eastAsia="仿宋_GB2312" w:cs="宋体"/>
          <w:color w:val="000000"/>
          <w:kern w:val="0"/>
          <w:sz w:val="24"/>
        </w:rPr>
      </w:pPr>
      <w:r>
        <w:rPr>
          <w:rFonts w:hint="eastAsia" w:ascii="仿宋_GB2312" w:hAnsi="仿宋" w:eastAsia="仿宋_GB2312" w:cs="宋体"/>
          <w:color w:val="000000"/>
          <w:kern w:val="0"/>
          <w:sz w:val="24"/>
        </w:rPr>
        <w:t>上述披露文件需以</w:t>
      </w:r>
      <w:r>
        <w:rPr>
          <w:rFonts w:hint="eastAsia" w:ascii="Times New Roman" w:hAnsi="Times New Roman" w:eastAsia="仿宋_GB2312" w:cs="宋体"/>
          <w:color w:val="000000"/>
          <w:kern w:val="0"/>
          <w:sz w:val="24"/>
        </w:rPr>
        <w:t>PDF</w:t>
      </w:r>
      <w:r>
        <w:rPr>
          <w:rFonts w:hint="eastAsia" w:ascii="仿宋_GB2312" w:hAnsi="仿宋" w:eastAsia="仿宋_GB2312" w:cs="宋体"/>
          <w:color w:val="000000"/>
          <w:kern w:val="0"/>
          <w:sz w:val="24"/>
        </w:rPr>
        <w:t>格式的电子文件提交。</w:t>
      </w:r>
    </w:p>
    <w:p w14:paraId="55088F0A">
      <w:pPr>
        <w:numPr>
          <w:ilvl w:val="0"/>
          <w:numId w:val="12"/>
        </w:numPr>
        <w:snapToGrid w:val="0"/>
        <w:spacing w:line="360" w:lineRule="auto"/>
        <w:ind w:firstLine="480" w:firstLineChars="200"/>
        <w:rPr>
          <w:rFonts w:hint="eastAsia" w:ascii="仿宋_GB2312" w:hAnsi="仿宋" w:eastAsia="仿宋_GB2312" w:cs="宋体"/>
          <w:color w:val="000000"/>
          <w:kern w:val="0"/>
          <w:sz w:val="24"/>
        </w:rPr>
      </w:pPr>
      <w:r>
        <w:rPr>
          <w:rFonts w:hint="eastAsia" w:ascii="仿宋_GB2312" w:hAnsi="仿宋" w:eastAsia="仿宋_GB2312" w:cs="宋体"/>
          <w:color w:val="000000"/>
          <w:kern w:val="0"/>
          <w:sz w:val="24"/>
        </w:rPr>
        <w:t>上市交易公告书披露的“本次上市交易份额”为截至</w:t>
      </w:r>
      <w:r>
        <w:rPr>
          <w:rFonts w:hint="eastAsia" w:ascii="Times New Roman" w:hAnsi="Times New Roman" w:eastAsia="仿宋_GB2312" w:cs="宋体"/>
          <w:color w:val="000000"/>
          <w:kern w:val="0"/>
          <w:sz w:val="24"/>
        </w:rPr>
        <w:t>T</w:t>
      </w:r>
      <w:r>
        <w:rPr>
          <w:rFonts w:hint="eastAsia" w:ascii="仿宋_GB2312" w:hAnsi="仿宋" w:eastAsia="仿宋_GB2312" w:cs="宋体"/>
          <w:color w:val="000000"/>
          <w:kern w:val="0"/>
          <w:sz w:val="24"/>
        </w:rPr>
        <w:t>-</w:t>
      </w:r>
      <w:r>
        <w:rPr>
          <w:rFonts w:hint="eastAsia" w:ascii="Times New Roman" w:hAnsi="Times New Roman" w:eastAsia="仿宋_GB2312" w:cs="宋体"/>
          <w:color w:val="000000"/>
          <w:kern w:val="0"/>
          <w:sz w:val="24"/>
        </w:rPr>
        <w:t>5</w:t>
      </w:r>
      <w:r>
        <w:rPr>
          <w:rFonts w:hint="eastAsia" w:ascii="仿宋_GB2312" w:hAnsi="仿宋" w:eastAsia="仿宋_GB2312" w:cs="宋体"/>
          <w:color w:val="000000"/>
          <w:kern w:val="0"/>
          <w:sz w:val="24"/>
        </w:rPr>
        <w:t>日的数据，准确的上市份额数量以</w:t>
      </w:r>
      <w:r>
        <w:rPr>
          <w:rFonts w:hint="eastAsia" w:ascii="Times New Roman" w:hAnsi="Times New Roman" w:eastAsia="仿宋_GB2312" w:cs="宋体"/>
          <w:color w:val="000000"/>
          <w:kern w:val="0"/>
          <w:sz w:val="24"/>
        </w:rPr>
        <w:t>T</w:t>
      </w:r>
      <w:r>
        <w:rPr>
          <w:rFonts w:hint="eastAsia" w:ascii="仿宋_GB2312" w:hAnsi="仿宋" w:eastAsia="仿宋_GB2312" w:cs="宋体"/>
          <w:color w:val="000000"/>
          <w:kern w:val="0"/>
          <w:sz w:val="24"/>
        </w:rPr>
        <w:t>日披露（</w:t>
      </w:r>
      <w:r>
        <w:rPr>
          <w:rFonts w:hint="eastAsia" w:ascii="Times New Roman" w:hAnsi="Times New Roman" w:eastAsia="仿宋_GB2312" w:cs="宋体"/>
          <w:color w:val="000000"/>
          <w:kern w:val="0"/>
          <w:sz w:val="24"/>
        </w:rPr>
        <w:t>T</w:t>
      </w:r>
      <w:r>
        <w:rPr>
          <w:rFonts w:hint="eastAsia" w:ascii="仿宋_GB2312" w:hAnsi="仿宋" w:eastAsia="仿宋_GB2312" w:cs="宋体"/>
          <w:color w:val="000000"/>
          <w:kern w:val="0"/>
          <w:sz w:val="24"/>
        </w:rPr>
        <w:t>-</w:t>
      </w:r>
      <w:r>
        <w:rPr>
          <w:rFonts w:hint="eastAsia" w:ascii="Times New Roman" w:hAnsi="Times New Roman" w:eastAsia="仿宋_GB2312" w:cs="宋体"/>
          <w:color w:val="000000"/>
          <w:kern w:val="0"/>
          <w:sz w:val="24"/>
        </w:rPr>
        <w:t>1</w:t>
      </w:r>
      <w:r>
        <w:rPr>
          <w:rFonts w:hint="eastAsia" w:ascii="仿宋_GB2312" w:hAnsi="仿宋" w:eastAsia="仿宋_GB2312" w:cs="宋体"/>
          <w:color w:val="000000"/>
          <w:kern w:val="0"/>
          <w:sz w:val="24"/>
        </w:rPr>
        <w:t>日提交）的上市提示性公告为准。</w:t>
      </w:r>
    </w:p>
    <w:p w14:paraId="446446ED">
      <w:pPr>
        <w:numPr>
          <w:ilvl w:val="0"/>
          <w:numId w:val="12"/>
        </w:numPr>
        <w:snapToGrid w:val="0"/>
        <w:spacing w:line="360" w:lineRule="auto"/>
        <w:ind w:firstLine="480" w:firstLineChars="200"/>
        <w:rPr>
          <w:rFonts w:hint="eastAsia" w:ascii="仿宋_GB2312" w:hAnsi="仿宋" w:eastAsia="仿宋_GB2312" w:cs="宋体"/>
          <w:color w:val="000000"/>
          <w:kern w:val="0"/>
          <w:sz w:val="24"/>
        </w:rPr>
      </w:pPr>
      <w:r>
        <w:rPr>
          <w:rFonts w:hint="eastAsia" w:ascii="仿宋_GB2312" w:hAnsi="仿宋" w:eastAsia="仿宋_GB2312" w:cs="宋体"/>
          <w:color w:val="000000"/>
          <w:kern w:val="0"/>
          <w:sz w:val="24"/>
        </w:rPr>
        <w:t>上市交易公告书、上市提示性公告中所披露的“本次上市交易份额”指初始上市份额数量，等于</w:t>
      </w:r>
      <w:r>
        <w:rPr>
          <w:rFonts w:hint="eastAsia" w:ascii="Times New Roman" w:hAnsi="Times New Roman" w:eastAsia="仿宋_GB2312" w:cs="宋体"/>
          <w:color w:val="000000"/>
          <w:kern w:val="0"/>
          <w:sz w:val="24"/>
        </w:rPr>
        <w:t>T</w:t>
      </w:r>
      <w:r>
        <w:rPr>
          <w:rFonts w:hint="eastAsia" w:ascii="仿宋_GB2312" w:hAnsi="仿宋" w:eastAsia="仿宋_GB2312" w:cs="宋体"/>
          <w:color w:val="000000"/>
          <w:kern w:val="0"/>
          <w:sz w:val="24"/>
        </w:rPr>
        <w:t>-</w:t>
      </w:r>
      <w:r>
        <w:rPr>
          <w:rFonts w:hint="eastAsia" w:ascii="Times New Roman" w:hAnsi="Times New Roman" w:eastAsia="仿宋_GB2312" w:cs="宋体"/>
          <w:color w:val="000000"/>
          <w:kern w:val="0"/>
          <w:sz w:val="24"/>
        </w:rPr>
        <w:t>1</w:t>
      </w:r>
      <w:r>
        <w:rPr>
          <w:rFonts w:hint="eastAsia" w:ascii="仿宋_GB2312" w:hAnsi="仿宋" w:eastAsia="仿宋_GB2312" w:cs="宋体"/>
          <w:color w:val="000000"/>
          <w:kern w:val="0"/>
          <w:sz w:val="24"/>
        </w:rPr>
        <w:t>日日末的场内份额数量扣除场内限售份额数量。</w:t>
      </w:r>
    </w:p>
    <w:p w14:paraId="5601D933">
      <w:pPr>
        <w:tabs>
          <w:tab w:val="left" w:pos="420"/>
        </w:tabs>
        <w:snapToGrid w:val="0"/>
        <w:spacing w:line="360" w:lineRule="auto"/>
        <w:ind w:left="900"/>
        <w:rPr>
          <w:rFonts w:hint="eastAsia" w:ascii="仿宋_GB2312" w:hAnsi="仿宋" w:eastAsia="仿宋_GB2312" w:cs="宋体"/>
          <w:color w:val="000000"/>
          <w:kern w:val="0"/>
          <w:sz w:val="24"/>
        </w:rPr>
      </w:pPr>
    </w:p>
    <w:p w14:paraId="1FF650F9">
      <w:pPr>
        <w:numPr>
          <w:ilvl w:val="0"/>
          <w:numId w:val="22"/>
        </w:numPr>
        <w:snapToGrid w:val="0"/>
        <w:spacing w:line="360" w:lineRule="auto"/>
        <w:ind w:firstLine="480" w:firstLineChars="200"/>
        <w:rPr>
          <w:rFonts w:hint="eastAsia" w:ascii="仿宋_GB2312" w:hAnsi="仿宋" w:eastAsia="仿宋_GB2312" w:cs="宋体"/>
          <w:color w:val="000000"/>
          <w:kern w:val="0"/>
          <w:sz w:val="24"/>
        </w:rPr>
      </w:pPr>
      <w:r>
        <w:rPr>
          <w:rFonts w:hint="eastAsia" w:ascii="仿宋_GB2312" w:hAnsi="仿宋" w:eastAsia="仿宋_GB2312" w:cs="宋体"/>
          <w:color w:val="000000"/>
          <w:kern w:val="0"/>
          <w:sz w:val="24"/>
        </w:rPr>
        <w:t>如在当日</w:t>
      </w:r>
      <w:r>
        <w:rPr>
          <w:rFonts w:hint="eastAsia" w:ascii="Times New Roman" w:hAnsi="Times New Roman" w:eastAsia="仿宋_GB2312" w:cs="宋体"/>
          <w:color w:val="000000"/>
          <w:kern w:val="0"/>
          <w:sz w:val="24"/>
        </w:rPr>
        <w:t>10</w:t>
      </w:r>
      <w:r>
        <w:rPr>
          <w:rFonts w:hint="eastAsia" w:ascii="仿宋_GB2312" w:hAnsi="仿宋" w:eastAsia="仿宋_GB2312" w:cs="宋体"/>
          <w:color w:val="000000"/>
          <w:kern w:val="0"/>
          <w:sz w:val="24"/>
        </w:rPr>
        <w:t>:</w:t>
      </w:r>
      <w:r>
        <w:rPr>
          <w:rFonts w:hint="eastAsia" w:ascii="Times New Roman" w:hAnsi="Times New Roman" w:eastAsia="仿宋_GB2312" w:cs="宋体"/>
          <w:color w:val="000000"/>
          <w:kern w:val="0"/>
          <w:sz w:val="24"/>
        </w:rPr>
        <w:t>00</w:t>
      </w:r>
      <w:r>
        <w:rPr>
          <w:rFonts w:hint="eastAsia" w:ascii="仿宋_GB2312" w:hAnsi="仿宋" w:eastAsia="仿宋_GB2312" w:cs="宋体"/>
          <w:color w:val="000000"/>
          <w:kern w:val="0"/>
          <w:sz w:val="24"/>
        </w:rPr>
        <w:t>后提交上市申请的，则当日不计入上市业务受理时间。</w:t>
      </w:r>
    </w:p>
    <w:p w14:paraId="478D12F5">
      <w:pPr>
        <w:numPr>
          <w:ilvl w:val="0"/>
          <w:numId w:val="22"/>
        </w:numPr>
        <w:snapToGrid w:val="0"/>
        <w:spacing w:line="360" w:lineRule="auto"/>
        <w:ind w:firstLine="480" w:firstLineChars="200"/>
        <w:rPr>
          <w:rFonts w:hint="eastAsia" w:ascii="仿宋_GB2312" w:hAnsi="仿宋" w:eastAsia="仿宋_GB2312" w:cs="宋体"/>
          <w:color w:val="000000"/>
          <w:kern w:val="0"/>
          <w:sz w:val="24"/>
        </w:rPr>
      </w:pPr>
      <w:r>
        <w:rPr>
          <w:rFonts w:hint="eastAsia" w:ascii="仿宋_GB2312" w:hAnsi="仿宋" w:eastAsia="仿宋_GB2312" w:cs="宋体"/>
          <w:color w:val="000000"/>
          <w:kern w:val="0"/>
          <w:sz w:val="24"/>
        </w:rPr>
        <w:t>如需举行上市仪式，基金管理人需在</w:t>
      </w:r>
      <w:r>
        <w:rPr>
          <w:rFonts w:ascii="Times New Roman" w:hAnsi="Times New Roman" w:eastAsia="仿宋_GB2312" w:cs="宋体"/>
          <w:color w:val="000000"/>
          <w:kern w:val="0"/>
          <w:sz w:val="24"/>
        </w:rPr>
        <w:t>T</w:t>
      </w:r>
      <w:r>
        <w:rPr>
          <w:rFonts w:ascii="仿宋_GB2312" w:hAnsi="仿宋" w:eastAsia="仿宋_GB2312" w:cs="宋体"/>
          <w:color w:val="000000"/>
          <w:kern w:val="0"/>
          <w:sz w:val="24"/>
        </w:rPr>
        <w:t>-</w:t>
      </w:r>
      <w:r>
        <w:rPr>
          <w:rFonts w:ascii="Times New Roman" w:hAnsi="Times New Roman" w:eastAsia="仿宋_GB2312" w:cs="宋体"/>
          <w:color w:val="000000"/>
          <w:kern w:val="0"/>
          <w:sz w:val="24"/>
        </w:rPr>
        <w:t>14</w:t>
      </w:r>
      <w:r>
        <w:rPr>
          <w:rFonts w:ascii="仿宋_GB2312" w:hAnsi="仿宋" w:eastAsia="仿宋_GB2312" w:cs="宋体"/>
          <w:color w:val="000000"/>
          <w:kern w:val="0"/>
          <w:sz w:val="24"/>
        </w:rPr>
        <w:t>日前</w:t>
      </w:r>
      <w:r>
        <w:rPr>
          <w:rFonts w:hint="eastAsia" w:ascii="仿宋_GB2312" w:hAnsi="仿宋" w:eastAsia="仿宋_GB2312" w:cs="宋体"/>
          <w:color w:val="000000"/>
          <w:kern w:val="0"/>
          <w:sz w:val="24"/>
        </w:rPr>
        <w:t>向本所申请，并将上市仪式所需信息、背景资料、公司简介等提交给本所，本所相关部门配合基金管理人协调上市仪式安排事宜。</w:t>
      </w:r>
    </w:p>
    <w:p w14:paraId="0A1D2B2E">
      <w:pPr>
        <w:snapToGrid w:val="0"/>
        <w:spacing w:line="360" w:lineRule="auto"/>
        <w:ind w:left="426" w:firstLine="424" w:firstLineChars="177"/>
        <w:rPr>
          <w:rFonts w:hint="eastAsia" w:ascii="仿宋_GB2312" w:hAnsi="仿宋" w:eastAsia="仿宋_GB2312" w:cs="宋体"/>
          <w:color w:val="000000"/>
          <w:kern w:val="0"/>
          <w:sz w:val="24"/>
        </w:rPr>
      </w:pPr>
    </w:p>
    <w:p w14:paraId="1C0E45F3">
      <w:pPr>
        <w:snapToGrid w:val="0"/>
        <w:spacing w:line="360" w:lineRule="auto"/>
        <w:ind w:left="420"/>
        <w:rPr>
          <w:rFonts w:hint="eastAsia" w:ascii="仿宋_GB2312" w:hAnsi="仿宋" w:eastAsia="仿宋_GB2312" w:cs="宋体"/>
          <w:color w:val="000000"/>
          <w:kern w:val="0"/>
          <w:sz w:val="24"/>
        </w:rPr>
      </w:pPr>
      <w:r>
        <w:rPr>
          <w:rFonts w:hint="eastAsia" w:ascii="Times New Roman" w:hAnsi="Times New Roman" w:eastAsia="仿宋_GB2312" w:cs="宋体"/>
          <w:color w:val="000000"/>
          <w:kern w:val="0"/>
          <w:sz w:val="24"/>
        </w:rPr>
        <w:t>T</w:t>
      </w:r>
      <w:r>
        <w:rPr>
          <w:rFonts w:hint="eastAsia" w:ascii="仿宋_GB2312" w:hAnsi="仿宋" w:eastAsia="仿宋_GB2312" w:cs="宋体"/>
          <w:color w:val="000000"/>
          <w:kern w:val="0"/>
          <w:sz w:val="24"/>
        </w:rPr>
        <w:t>-</w:t>
      </w:r>
      <w:r>
        <w:rPr>
          <w:rFonts w:hint="eastAsia" w:ascii="Times New Roman" w:hAnsi="Times New Roman" w:eastAsia="仿宋_GB2312" w:cs="宋体"/>
          <w:color w:val="000000"/>
          <w:kern w:val="0"/>
          <w:sz w:val="24"/>
        </w:rPr>
        <w:t>5</w:t>
      </w:r>
      <w:r>
        <w:rPr>
          <w:rFonts w:hint="eastAsia" w:ascii="仿宋_GB2312" w:hAnsi="仿宋" w:eastAsia="仿宋_GB2312" w:cs="宋体"/>
          <w:color w:val="000000"/>
          <w:kern w:val="0"/>
          <w:sz w:val="24"/>
        </w:rPr>
        <w:t>日（含）前</w:t>
      </w:r>
    </w:p>
    <w:p w14:paraId="6A9E44A1">
      <w:pPr>
        <w:numPr>
          <w:ilvl w:val="0"/>
          <w:numId w:val="12"/>
        </w:numPr>
        <w:snapToGrid w:val="0"/>
        <w:spacing w:line="360" w:lineRule="auto"/>
        <w:ind w:firstLine="480" w:firstLineChars="200"/>
        <w:rPr>
          <w:rFonts w:hint="eastAsia" w:ascii="仿宋_GB2312" w:hAnsi="仿宋" w:eastAsia="仿宋_GB2312" w:cs="宋体"/>
          <w:color w:val="000000"/>
          <w:kern w:val="0"/>
          <w:sz w:val="24"/>
        </w:rPr>
      </w:pPr>
      <w:r>
        <w:rPr>
          <w:rFonts w:hint="eastAsia" w:ascii="仿宋_GB2312" w:hAnsi="仿宋" w:eastAsia="仿宋_GB2312" w:cs="宋体"/>
          <w:color w:val="000000"/>
          <w:kern w:val="0"/>
          <w:sz w:val="24"/>
        </w:rPr>
        <w:t>本所对</w:t>
      </w:r>
      <w:r>
        <w:rPr>
          <w:rFonts w:hint="eastAsia" w:ascii="Times New Roman" w:hAnsi="Times New Roman" w:eastAsia="仿宋_GB2312" w:cs="宋体"/>
          <w:color w:val="000000"/>
          <w:kern w:val="0"/>
          <w:sz w:val="24"/>
        </w:rPr>
        <w:t>REITs</w:t>
      </w:r>
      <w:r>
        <w:rPr>
          <w:rFonts w:hint="eastAsia" w:ascii="仿宋_GB2312" w:hAnsi="仿宋" w:eastAsia="仿宋_GB2312" w:cs="宋体"/>
          <w:color w:val="000000"/>
          <w:kern w:val="0"/>
          <w:sz w:val="24"/>
        </w:rPr>
        <w:t>上市申请进行初步审核，如无异议，则流程正常进行；如对上市申请审核有异议，通知基金管理人修正、补充材料。</w:t>
      </w:r>
    </w:p>
    <w:p w14:paraId="54BBCE05">
      <w:pPr>
        <w:snapToGrid w:val="0"/>
        <w:spacing w:line="360" w:lineRule="auto"/>
        <w:ind w:left="420"/>
        <w:rPr>
          <w:rFonts w:hint="eastAsia" w:ascii="仿宋_GB2312" w:hAnsi="仿宋" w:eastAsia="仿宋_GB2312" w:cs="宋体"/>
          <w:color w:val="000000"/>
          <w:kern w:val="0"/>
          <w:sz w:val="24"/>
        </w:rPr>
      </w:pPr>
    </w:p>
    <w:p w14:paraId="43DB877C">
      <w:pPr>
        <w:snapToGrid w:val="0"/>
        <w:spacing w:line="360" w:lineRule="auto"/>
        <w:ind w:left="420"/>
        <w:rPr>
          <w:rFonts w:hint="eastAsia" w:ascii="仿宋_GB2312" w:hAnsi="仿宋" w:eastAsia="仿宋_GB2312" w:cs="宋体"/>
          <w:color w:val="000000"/>
          <w:kern w:val="0"/>
          <w:sz w:val="24"/>
        </w:rPr>
      </w:pPr>
    </w:p>
    <w:p w14:paraId="57E96894">
      <w:pPr>
        <w:snapToGrid w:val="0"/>
        <w:spacing w:line="360" w:lineRule="auto"/>
        <w:ind w:left="420"/>
        <w:rPr>
          <w:rFonts w:hint="eastAsia" w:ascii="仿宋_GB2312" w:hAnsi="仿宋" w:eastAsia="仿宋_GB2312" w:cs="宋体"/>
          <w:color w:val="000000"/>
          <w:kern w:val="0"/>
          <w:sz w:val="24"/>
        </w:rPr>
      </w:pPr>
      <w:r>
        <w:rPr>
          <w:rFonts w:hint="eastAsia" w:ascii="Times New Roman" w:hAnsi="Times New Roman" w:eastAsia="仿宋_GB2312" w:cs="宋体"/>
          <w:color w:val="000000"/>
          <w:kern w:val="0"/>
          <w:sz w:val="24"/>
        </w:rPr>
        <w:t>T</w:t>
      </w:r>
      <w:r>
        <w:rPr>
          <w:rFonts w:hint="eastAsia" w:ascii="仿宋_GB2312" w:hAnsi="仿宋" w:eastAsia="仿宋_GB2312" w:cs="宋体"/>
          <w:color w:val="000000"/>
          <w:kern w:val="0"/>
          <w:sz w:val="24"/>
        </w:rPr>
        <w:t>-</w:t>
      </w:r>
      <w:r>
        <w:rPr>
          <w:rFonts w:ascii="Times New Roman" w:hAnsi="Times New Roman" w:eastAsia="仿宋_GB2312" w:cs="宋体"/>
          <w:color w:val="000000"/>
          <w:kern w:val="0"/>
          <w:sz w:val="24"/>
        </w:rPr>
        <w:t>4</w:t>
      </w:r>
      <w:r>
        <w:rPr>
          <w:rFonts w:hint="eastAsia" w:ascii="仿宋_GB2312" w:hAnsi="仿宋" w:eastAsia="仿宋_GB2312" w:cs="宋体"/>
          <w:color w:val="000000"/>
          <w:kern w:val="0"/>
          <w:sz w:val="24"/>
        </w:rPr>
        <w:t>日</w:t>
      </w:r>
      <w:r>
        <w:rPr>
          <w:rFonts w:ascii="仿宋_GB2312" w:hAnsi="仿宋" w:eastAsia="仿宋_GB2312" w:cs="宋体"/>
          <w:color w:val="000000"/>
          <w:kern w:val="0"/>
          <w:sz w:val="24"/>
        </w:rPr>
        <w:t>（含）</w:t>
      </w:r>
      <w:r>
        <w:rPr>
          <w:rFonts w:hint="eastAsia" w:ascii="仿宋_GB2312" w:hAnsi="仿宋" w:eastAsia="仿宋_GB2312" w:cs="宋体"/>
          <w:color w:val="000000"/>
          <w:kern w:val="0"/>
          <w:sz w:val="24"/>
        </w:rPr>
        <w:t>前</w:t>
      </w:r>
    </w:p>
    <w:p w14:paraId="305DC903">
      <w:pPr>
        <w:numPr>
          <w:ilvl w:val="0"/>
          <w:numId w:val="12"/>
        </w:numPr>
        <w:snapToGrid w:val="0"/>
        <w:spacing w:line="360" w:lineRule="auto"/>
        <w:ind w:firstLine="480" w:firstLineChars="200"/>
        <w:rPr>
          <w:rFonts w:hint="eastAsia" w:ascii="仿宋_GB2312" w:hAnsi="仿宋" w:eastAsia="仿宋_GB2312" w:cs="宋体"/>
          <w:color w:val="000000"/>
          <w:kern w:val="0"/>
          <w:sz w:val="24"/>
        </w:rPr>
      </w:pPr>
      <w:r>
        <w:rPr>
          <w:rFonts w:hint="eastAsia" w:ascii="仿宋_GB2312" w:hAnsi="仿宋" w:eastAsia="仿宋_GB2312" w:cs="宋体"/>
          <w:color w:val="000000"/>
          <w:kern w:val="0"/>
          <w:sz w:val="24"/>
        </w:rPr>
        <w:t>本所将核查战略投资者份额限售和锁定办结流程是否已于</w:t>
      </w:r>
      <w:r>
        <w:rPr>
          <w:rFonts w:hint="eastAsia" w:ascii="Times New Roman" w:hAnsi="Times New Roman" w:eastAsia="仿宋_GB2312" w:cs="宋体"/>
          <w:color w:val="000000"/>
          <w:kern w:val="0"/>
          <w:sz w:val="24"/>
        </w:rPr>
        <w:t>T</w:t>
      </w:r>
      <w:r>
        <w:rPr>
          <w:rFonts w:hint="eastAsia" w:ascii="仿宋_GB2312" w:hAnsi="仿宋" w:eastAsia="仿宋_GB2312" w:cs="宋体"/>
          <w:color w:val="000000"/>
          <w:kern w:val="0"/>
          <w:sz w:val="24"/>
        </w:rPr>
        <w:t>-</w:t>
      </w:r>
      <w:r>
        <w:rPr>
          <w:rFonts w:hint="eastAsia" w:ascii="Times New Roman" w:hAnsi="Times New Roman" w:eastAsia="仿宋_GB2312" w:cs="宋体"/>
          <w:color w:val="000000"/>
          <w:kern w:val="0"/>
          <w:sz w:val="24"/>
        </w:rPr>
        <w:t>5</w:t>
      </w:r>
      <w:r>
        <w:rPr>
          <w:rFonts w:hint="eastAsia" w:ascii="仿宋_GB2312" w:hAnsi="仿宋" w:eastAsia="仿宋_GB2312" w:cs="宋体"/>
          <w:color w:val="000000"/>
          <w:kern w:val="0"/>
          <w:sz w:val="24"/>
        </w:rPr>
        <w:t>日完成，并核对上市公告中关于战略投资者限售和锁定内容与</w:t>
      </w:r>
      <w:r>
        <w:rPr>
          <w:rFonts w:hint="eastAsia" w:ascii="仿宋_GB2312" w:hAnsi="仿宋" w:eastAsia="仿宋_GB2312" w:cs="宋体"/>
          <w:color w:val="000000"/>
          <w:kern w:val="0"/>
          <w:sz w:val="24"/>
          <w:lang w:val="en-US" w:eastAsia="zh-CN"/>
        </w:rPr>
        <w:t>REITs</w:t>
      </w:r>
      <w:r>
        <w:rPr>
          <w:rFonts w:hint="eastAsia" w:ascii="仿宋_GB2312" w:hAnsi="仿宋" w:eastAsia="仿宋_GB2312" w:cs="宋体"/>
          <w:color w:val="000000"/>
          <w:kern w:val="0"/>
          <w:sz w:val="24"/>
        </w:rPr>
        <w:t>业务系统已存数据是否一致。如未完成或不一致，或存在其他影响按原计划上市的情况，则退回此次上市申请，待基金管理人完成限售及锁定业务且相关数据一致，或影响因素消除后，再次提交上市申请，受理时间按最新计划上市日期重新计算。</w:t>
      </w:r>
    </w:p>
    <w:p w14:paraId="18F54A5D">
      <w:pPr>
        <w:numPr>
          <w:ilvl w:val="0"/>
          <w:numId w:val="12"/>
        </w:numPr>
        <w:snapToGrid w:val="0"/>
        <w:spacing w:line="360" w:lineRule="auto"/>
        <w:ind w:firstLine="480" w:firstLineChars="200"/>
        <w:rPr>
          <w:rFonts w:hint="eastAsia" w:ascii="仿宋_GB2312" w:hAnsi="仿宋" w:eastAsia="仿宋_GB2312" w:cs="宋体"/>
          <w:color w:val="000000"/>
          <w:kern w:val="0"/>
          <w:sz w:val="24"/>
        </w:rPr>
      </w:pPr>
      <w:r>
        <w:rPr>
          <w:rFonts w:hint="eastAsia" w:ascii="仿宋_GB2312" w:hAnsi="仿宋" w:eastAsia="仿宋_GB2312" w:cs="宋体"/>
          <w:color w:val="000000"/>
          <w:kern w:val="0"/>
          <w:sz w:val="24"/>
        </w:rPr>
        <w:t>基金管理人于本日</w:t>
      </w:r>
      <w:r>
        <w:rPr>
          <w:rFonts w:hint="eastAsia" w:ascii="Times New Roman" w:hAnsi="Times New Roman" w:eastAsia="仿宋_GB2312" w:cs="宋体"/>
          <w:color w:val="000000"/>
          <w:kern w:val="0"/>
          <w:sz w:val="24"/>
        </w:rPr>
        <w:t>12</w:t>
      </w:r>
      <w:r>
        <w:rPr>
          <w:rFonts w:hint="eastAsia" w:ascii="仿宋_GB2312" w:hAnsi="仿宋" w:eastAsia="仿宋_GB2312" w:cs="宋体"/>
          <w:color w:val="000000"/>
          <w:kern w:val="0"/>
          <w:sz w:val="24"/>
        </w:rPr>
        <w:t>:</w:t>
      </w:r>
      <w:r>
        <w:rPr>
          <w:rFonts w:hint="eastAsia" w:ascii="Times New Roman" w:hAnsi="Times New Roman" w:eastAsia="仿宋_GB2312" w:cs="宋体"/>
          <w:color w:val="000000"/>
          <w:kern w:val="0"/>
          <w:sz w:val="24"/>
        </w:rPr>
        <w:t>00</w:t>
      </w:r>
      <w:r>
        <w:rPr>
          <w:rFonts w:hint="eastAsia" w:ascii="仿宋_GB2312" w:hAnsi="仿宋" w:eastAsia="仿宋_GB2312" w:cs="宋体"/>
          <w:color w:val="000000"/>
          <w:kern w:val="0"/>
          <w:sz w:val="24"/>
        </w:rPr>
        <w:t>前，补充提交经中国结算盖章确认截至日期为</w:t>
      </w:r>
      <w:r>
        <w:rPr>
          <w:rFonts w:hint="eastAsia" w:ascii="Times New Roman" w:hAnsi="Times New Roman" w:eastAsia="仿宋_GB2312" w:cs="宋体"/>
          <w:color w:val="000000"/>
          <w:kern w:val="0"/>
          <w:sz w:val="24"/>
        </w:rPr>
        <w:t>T</w:t>
      </w:r>
      <w:r>
        <w:rPr>
          <w:rFonts w:hint="eastAsia" w:ascii="仿宋_GB2312" w:hAnsi="仿宋" w:eastAsia="仿宋_GB2312" w:cs="宋体"/>
          <w:color w:val="000000"/>
          <w:kern w:val="0"/>
          <w:sz w:val="24"/>
        </w:rPr>
        <w:t>-</w:t>
      </w:r>
      <w:r>
        <w:rPr>
          <w:rFonts w:hint="eastAsia" w:ascii="Times New Roman" w:hAnsi="Times New Roman" w:eastAsia="仿宋_GB2312" w:cs="宋体"/>
          <w:color w:val="000000"/>
          <w:kern w:val="0"/>
          <w:sz w:val="24"/>
        </w:rPr>
        <w:t>5</w:t>
      </w:r>
      <w:r>
        <w:rPr>
          <w:rFonts w:hint="eastAsia" w:ascii="仿宋_GB2312" w:hAnsi="仿宋" w:eastAsia="仿宋_GB2312" w:cs="宋体"/>
          <w:color w:val="000000"/>
          <w:kern w:val="0"/>
          <w:sz w:val="24"/>
        </w:rPr>
        <w:t>日及之前的持有人结构申报表（格式参考附件</w:t>
      </w:r>
      <w:r>
        <w:rPr>
          <w:rFonts w:hint="eastAsia" w:ascii="Times New Roman" w:hAnsi="Times New Roman" w:eastAsia="仿宋_GB2312" w:cs="宋体"/>
          <w:color w:val="000000"/>
          <w:kern w:val="0"/>
          <w:sz w:val="24"/>
        </w:rPr>
        <w:t>1</w:t>
      </w:r>
      <w:r>
        <w:rPr>
          <w:rFonts w:hint="eastAsia" w:ascii="仿宋_GB2312" w:hAnsi="仿宋" w:eastAsia="仿宋_GB2312" w:cs="宋体"/>
          <w:color w:val="000000"/>
          <w:kern w:val="0"/>
          <w:sz w:val="24"/>
        </w:rPr>
        <w:t>-</w:t>
      </w:r>
      <w:r>
        <w:rPr>
          <w:rFonts w:hint="eastAsia" w:ascii="Times New Roman" w:hAnsi="Times New Roman" w:eastAsia="仿宋_GB2312" w:cs="宋体"/>
          <w:color w:val="000000"/>
          <w:kern w:val="0"/>
          <w:sz w:val="24"/>
        </w:rPr>
        <w:t>17</w:t>
      </w:r>
      <w:r>
        <w:rPr>
          <w:rFonts w:hint="eastAsia" w:ascii="仿宋_GB2312" w:hAnsi="仿宋" w:eastAsia="仿宋_GB2312" w:cs="宋体"/>
          <w:color w:val="000000"/>
          <w:kern w:val="0"/>
          <w:sz w:val="24"/>
        </w:rPr>
        <w:t>，盖章扫描件），以及</w:t>
      </w:r>
      <w:r>
        <w:rPr>
          <w:rFonts w:hint="eastAsia" w:ascii="Times New Roman" w:hAnsi="Times New Roman" w:eastAsia="仿宋_GB2312" w:cs="宋体"/>
          <w:color w:val="000000"/>
          <w:kern w:val="0"/>
          <w:sz w:val="24"/>
        </w:rPr>
        <w:t>T</w:t>
      </w:r>
      <w:r>
        <w:rPr>
          <w:rFonts w:hint="eastAsia" w:ascii="仿宋_GB2312" w:hAnsi="仿宋" w:eastAsia="仿宋_GB2312" w:cs="宋体"/>
          <w:color w:val="000000"/>
          <w:kern w:val="0"/>
          <w:sz w:val="24"/>
        </w:rPr>
        <w:t>-</w:t>
      </w:r>
      <w:r>
        <w:rPr>
          <w:rFonts w:hint="eastAsia" w:ascii="Times New Roman" w:hAnsi="Times New Roman" w:eastAsia="仿宋_GB2312" w:cs="宋体"/>
          <w:color w:val="000000"/>
          <w:kern w:val="0"/>
          <w:sz w:val="24"/>
        </w:rPr>
        <w:t>5</w:t>
      </w:r>
      <w:r>
        <w:rPr>
          <w:rFonts w:hint="eastAsia" w:ascii="仿宋_GB2312" w:hAnsi="仿宋" w:eastAsia="仿宋_GB2312" w:cs="宋体"/>
          <w:color w:val="000000"/>
          <w:kern w:val="0"/>
          <w:sz w:val="24"/>
        </w:rPr>
        <w:t>日基金场内证券持有人名册（盖章扫描件）。本所将结合持有人结构申报表数据及场内份额限售完成情况，核实该基金</w:t>
      </w:r>
      <w:r>
        <w:rPr>
          <w:rFonts w:hint="eastAsia" w:ascii="Times New Roman" w:hAnsi="Times New Roman" w:eastAsia="仿宋_GB2312" w:cs="宋体"/>
          <w:color w:val="000000"/>
          <w:kern w:val="0"/>
          <w:sz w:val="24"/>
        </w:rPr>
        <w:t>T</w:t>
      </w:r>
      <w:r>
        <w:rPr>
          <w:rFonts w:hint="eastAsia" w:ascii="仿宋_GB2312" w:hAnsi="仿宋" w:eastAsia="仿宋_GB2312" w:cs="宋体"/>
          <w:color w:val="000000"/>
          <w:kern w:val="0"/>
          <w:sz w:val="24"/>
        </w:rPr>
        <w:t>-</w:t>
      </w:r>
      <w:r>
        <w:rPr>
          <w:rFonts w:hint="eastAsia" w:ascii="Times New Roman" w:hAnsi="Times New Roman" w:eastAsia="仿宋_GB2312" w:cs="宋体"/>
          <w:color w:val="000000"/>
          <w:kern w:val="0"/>
          <w:sz w:val="24"/>
        </w:rPr>
        <w:t>5</w:t>
      </w:r>
      <w:r>
        <w:rPr>
          <w:rFonts w:hint="eastAsia" w:ascii="仿宋_GB2312" w:hAnsi="仿宋" w:eastAsia="仿宋_GB2312" w:cs="宋体"/>
          <w:color w:val="000000"/>
          <w:kern w:val="0"/>
          <w:sz w:val="24"/>
        </w:rPr>
        <w:t>日日末的上市份额数量是否满足上市条件，如不满足则需基金管理人补充提交承诺函：保证该基金于</w:t>
      </w:r>
      <w:r>
        <w:rPr>
          <w:rFonts w:hint="eastAsia" w:ascii="Times New Roman" w:hAnsi="Times New Roman" w:eastAsia="仿宋_GB2312" w:cs="宋体"/>
          <w:color w:val="000000"/>
          <w:kern w:val="0"/>
          <w:sz w:val="24"/>
        </w:rPr>
        <w:t>T</w:t>
      </w:r>
      <w:r>
        <w:rPr>
          <w:rFonts w:hint="eastAsia" w:ascii="仿宋_GB2312" w:hAnsi="仿宋" w:eastAsia="仿宋_GB2312" w:cs="宋体"/>
          <w:color w:val="000000"/>
          <w:kern w:val="0"/>
          <w:sz w:val="24"/>
        </w:rPr>
        <w:t>-</w:t>
      </w:r>
      <w:r>
        <w:rPr>
          <w:rFonts w:hint="eastAsia" w:ascii="Times New Roman" w:hAnsi="Times New Roman" w:eastAsia="仿宋_GB2312" w:cs="宋体"/>
          <w:color w:val="000000"/>
          <w:kern w:val="0"/>
          <w:sz w:val="24"/>
        </w:rPr>
        <w:t>1</w:t>
      </w:r>
      <w:r>
        <w:rPr>
          <w:rFonts w:hint="eastAsia" w:ascii="仿宋_GB2312" w:hAnsi="仿宋" w:eastAsia="仿宋_GB2312" w:cs="宋体"/>
          <w:color w:val="000000"/>
          <w:kern w:val="0"/>
          <w:sz w:val="24"/>
        </w:rPr>
        <w:t>日日末或之前达到上市条件，如未满足，则上市日起实施停牌。</w:t>
      </w:r>
    </w:p>
    <w:p w14:paraId="15329633">
      <w:pPr>
        <w:numPr>
          <w:ilvl w:val="0"/>
          <w:numId w:val="12"/>
        </w:numPr>
        <w:snapToGrid w:val="0"/>
        <w:spacing w:line="360" w:lineRule="auto"/>
        <w:ind w:firstLine="480" w:firstLineChars="200"/>
        <w:rPr>
          <w:rFonts w:hint="eastAsia" w:ascii="仿宋_GB2312" w:hAnsi="仿宋" w:eastAsia="仿宋_GB2312" w:cs="宋体"/>
          <w:color w:val="000000"/>
          <w:kern w:val="0"/>
          <w:sz w:val="24"/>
        </w:rPr>
      </w:pPr>
      <w:r>
        <w:rPr>
          <w:rFonts w:hint="eastAsia" w:ascii="Times New Roman" w:hAnsi="Times New Roman" w:eastAsia="仿宋_GB2312" w:cs="宋体"/>
          <w:color w:val="000000"/>
          <w:kern w:val="0"/>
          <w:sz w:val="24"/>
        </w:rPr>
        <w:t>16</w:t>
      </w:r>
      <w:r>
        <w:rPr>
          <w:rFonts w:hint="eastAsia" w:ascii="仿宋_GB2312" w:hAnsi="仿宋" w:eastAsia="仿宋_GB2312" w:cs="宋体"/>
          <w:color w:val="000000"/>
          <w:kern w:val="0"/>
          <w:sz w:val="24"/>
        </w:rPr>
        <w:t>:</w:t>
      </w:r>
      <w:r>
        <w:rPr>
          <w:rFonts w:hint="eastAsia" w:ascii="Times New Roman" w:hAnsi="Times New Roman" w:eastAsia="仿宋_GB2312" w:cs="宋体"/>
          <w:color w:val="000000"/>
          <w:kern w:val="0"/>
          <w:sz w:val="24"/>
        </w:rPr>
        <w:t>00</w:t>
      </w:r>
      <w:r>
        <w:rPr>
          <w:rFonts w:hint="eastAsia" w:ascii="仿宋_GB2312" w:hAnsi="仿宋" w:eastAsia="仿宋_GB2312" w:cs="宋体"/>
          <w:color w:val="000000"/>
          <w:kern w:val="0"/>
          <w:sz w:val="24"/>
        </w:rPr>
        <w:t>前，</w:t>
      </w:r>
      <w:r>
        <w:rPr>
          <w:rFonts w:ascii="仿宋_GB2312" w:hAnsi="仿宋" w:eastAsia="仿宋_GB2312" w:cs="宋体"/>
          <w:color w:val="000000"/>
          <w:kern w:val="0"/>
          <w:sz w:val="24"/>
        </w:rPr>
        <w:t>本所</w:t>
      </w:r>
      <w:r>
        <w:rPr>
          <w:rFonts w:hint="eastAsia" w:ascii="仿宋_GB2312" w:hAnsi="仿宋" w:eastAsia="仿宋_GB2312" w:cs="宋体"/>
          <w:color w:val="000000"/>
          <w:kern w:val="0"/>
          <w:sz w:val="24"/>
        </w:rPr>
        <w:t>完成上市审核，</w:t>
      </w:r>
      <w:r>
        <w:rPr>
          <w:rFonts w:ascii="仿宋_GB2312" w:hAnsi="仿宋" w:eastAsia="仿宋_GB2312" w:cs="宋体"/>
          <w:color w:val="000000"/>
          <w:kern w:val="0"/>
          <w:sz w:val="24"/>
        </w:rPr>
        <w:t>正式函告</w:t>
      </w:r>
      <w:r>
        <w:rPr>
          <w:rFonts w:hint="eastAsia" w:ascii="仿宋_GB2312" w:hAnsi="仿宋" w:eastAsia="仿宋_GB2312" w:cs="宋体"/>
          <w:color w:val="000000"/>
          <w:kern w:val="0"/>
          <w:sz w:val="24"/>
        </w:rPr>
        <w:t>基金管理人，并通过</w:t>
      </w:r>
      <w:r>
        <w:rPr>
          <w:rFonts w:hint="eastAsia" w:ascii="Times New Roman" w:hAnsi="Times New Roman" w:eastAsia="仿宋_GB2312" w:cs="宋体"/>
          <w:color w:val="000000"/>
          <w:kern w:val="0"/>
          <w:sz w:val="24"/>
        </w:rPr>
        <w:t>REITs</w:t>
      </w:r>
      <w:r>
        <w:rPr>
          <w:rFonts w:hint="eastAsia" w:ascii="仿宋_GB2312" w:hAnsi="仿宋" w:eastAsia="仿宋_GB2312" w:cs="宋体"/>
          <w:color w:val="000000"/>
          <w:kern w:val="0"/>
          <w:sz w:val="24"/>
        </w:rPr>
        <w:t>业务管理系统平台上市申请流程告知业务发起人函件文号。</w:t>
      </w:r>
    </w:p>
    <w:p w14:paraId="50B8CFC9">
      <w:pPr>
        <w:numPr>
          <w:ilvl w:val="0"/>
          <w:numId w:val="12"/>
        </w:numPr>
        <w:snapToGrid w:val="0"/>
        <w:spacing w:line="360" w:lineRule="auto"/>
        <w:ind w:firstLine="480" w:firstLineChars="200"/>
        <w:rPr>
          <w:rFonts w:hint="eastAsia" w:ascii="仿宋_GB2312" w:hAnsi="仿宋" w:eastAsia="仿宋_GB2312" w:cs="宋体"/>
          <w:color w:val="000000"/>
          <w:kern w:val="0"/>
          <w:sz w:val="24"/>
        </w:rPr>
      </w:pPr>
      <w:r>
        <w:rPr>
          <w:rFonts w:ascii="Times New Roman" w:hAnsi="Times New Roman" w:eastAsia="仿宋_GB2312" w:cs="宋体"/>
          <w:color w:val="000000"/>
          <w:kern w:val="0"/>
          <w:sz w:val="24"/>
        </w:rPr>
        <w:t>16</w:t>
      </w:r>
      <w:r>
        <w:rPr>
          <w:rFonts w:ascii="仿宋_GB2312" w:hAnsi="仿宋" w:eastAsia="仿宋_GB2312" w:cs="宋体"/>
          <w:color w:val="000000"/>
          <w:kern w:val="0"/>
          <w:sz w:val="24"/>
        </w:rPr>
        <w:t>:</w:t>
      </w:r>
      <w:r>
        <w:rPr>
          <w:rFonts w:ascii="Times New Roman" w:hAnsi="Times New Roman" w:eastAsia="仿宋_GB2312" w:cs="宋体"/>
          <w:color w:val="000000"/>
          <w:kern w:val="0"/>
          <w:sz w:val="24"/>
        </w:rPr>
        <w:t>30</w:t>
      </w:r>
      <w:r>
        <w:rPr>
          <w:rFonts w:ascii="仿宋_GB2312" w:hAnsi="仿宋" w:eastAsia="仿宋_GB2312" w:cs="宋体"/>
          <w:color w:val="000000"/>
          <w:kern w:val="0"/>
          <w:sz w:val="24"/>
        </w:rPr>
        <w:t>前</w:t>
      </w:r>
      <w:r>
        <w:rPr>
          <w:rFonts w:hint="eastAsia" w:ascii="仿宋_GB2312" w:hAnsi="仿宋" w:eastAsia="仿宋_GB2312" w:cs="宋体"/>
          <w:color w:val="000000"/>
          <w:kern w:val="0"/>
          <w:sz w:val="24"/>
        </w:rPr>
        <w:t>基金管理人在上市公告中补充上市文号、上市份额数量（如申请时未确认），重新上传，并提交业务信息调整申请函（附件</w:t>
      </w:r>
      <w:r>
        <w:rPr>
          <w:rFonts w:hint="eastAsia" w:ascii="Times New Roman" w:hAnsi="Times New Roman" w:eastAsia="仿宋_GB2312" w:cs="宋体"/>
          <w:color w:val="000000"/>
          <w:kern w:val="0"/>
          <w:sz w:val="24"/>
        </w:rPr>
        <w:t>1</w:t>
      </w:r>
      <w:r>
        <w:rPr>
          <w:rFonts w:hint="eastAsia" w:ascii="仿宋_GB2312" w:hAnsi="仿宋" w:eastAsia="仿宋_GB2312" w:cs="宋体"/>
          <w:color w:val="000000"/>
          <w:kern w:val="0"/>
          <w:sz w:val="24"/>
        </w:rPr>
        <w:t>-</w:t>
      </w:r>
      <w:r>
        <w:rPr>
          <w:rFonts w:hint="eastAsia" w:ascii="Times New Roman" w:hAnsi="Times New Roman" w:eastAsia="仿宋_GB2312" w:cs="宋体"/>
          <w:color w:val="000000"/>
          <w:kern w:val="0"/>
          <w:sz w:val="24"/>
        </w:rPr>
        <w:t>10</w:t>
      </w:r>
      <w:r>
        <w:rPr>
          <w:rFonts w:hint="eastAsia" w:ascii="仿宋_GB2312" w:hAnsi="仿宋" w:eastAsia="仿宋_GB2312" w:cs="宋体"/>
          <w:color w:val="000000"/>
          <w:kern w:val="0"/>
          <w:sz w:val="24"/>
        </w:rPr>
        <w:t>），同时对拟定的上市日期进行确认：</w:t>
      </w:r>
    </w:p>
    <w:p w14:paraId="5D0820C5">
      <w:pPr>
        <w:numPr>
          <w:ilvl w:val="0"/>
          <w:numId w:val="28"/>
        </w:numPr>
        <w:snapToGrid w:val="0"/>
        <w:spacing w:line="360" w:lineRule="auto"/>
        <w:ind w:firstLine="480"/>
        <w:rPr>
          <w:rFonts w:hint="eastAsia" w:ascii="仿宋_GB2312" w:hAnsi="仿宋" w:eastAsia="仿宋_GB2312" w:cs="宋体"/>
          <w:color w:val="000000"/>
          <w:kern w:val="0"/>
          <w:sz w:val="24"/>
        </w:rPr>
      </w:pPr>
      <w:r>
        <w:rPr>
          <w:rFonts w:hint="eastAsia" w:ascii="仿宋_GB2312" w:hAnsi="仿宋" w:eastAsia="仿宋_GB2312" w:cs="宋体"/>
          <w:color w:val="000000"/>
          <w:kern w:val="0"/>
          <w:sz w:val="24"/>
        </w:rPr>
        <w:t>如确定拟定上市日期为正式上市日期，则在提交补充内容的上市公告及要求文件后，上市业务申请办结；</w:t>
      </w:r>
    </w:p>
    <w:p w14:paraId="1BDDFBBD">
      <w:pPr>
        <w:numPr>
          <w:ilvl w:val="0"/>
          <w:numId w:val="28"/>
        </w:numPr>
        <w:snapToGrid w:val="0"/>
        <w:spacing w:line="360" w:lineRule="auto"/>
        <w:ind w:firstLine="480"/>
        <w:rPr>
          <w:rFonts w:hint="eastAsia" w:ascii="仿宋_GB2312" w:hAnsi="仿宋" w:eastAsia="仿宋_GB2312" w:cs="宋体"/>
          <w:color w:val="000000"/>
          <w:kern w:val="0"/>
          <w:sz w:val="24"/>
        </w:rPr>
      </w:pPr>
      <w:r>
        <w:rPr>
          <w:rFonts w:hint="eastAsia" w:ascii="仿宋_GB2312" w:hAnsi="仿宋" w:eastAsia="仿宋_GB2312" w:cs="宋体"/>
          <w:color w:val="000000"/>
          <w:kern w:val="0"/>
          <w:sz w:val="24"/>
        </w:rPr>
        <w:t>如此时需变更拟定的上市日期，但其他相关信息无变动，则基金管理人可修改上市日期，并重新提交日期变更后的上市公告文件，经本所再次审核通过后，上市业务申请办结；</w:t>
      </w:r>
    </w:p>
    <w:p w14:paraId="2E0F30CB">
      <w:pPr>
        <w:numPr>
          <w:ilvl w:val="0"/>
          <w:numId w:val="28"/>
        </w:numPr>
        <w:snapToGrid w:val="0"/>
        <w:spacing w:line="360" w:lineRule="auto"/>
        <w:ind w:firstLine="480"/>
        <w:rPr>
          <w:rFonts w:hint="eastAsia" w:ascii="仿宋_GB2312" w:hAnsi="仿宋" w:eastAsia="仿宋_GB2312" w:cs="宋体"/>
          <w:color w:val="000000"/>
          <w:kern w:val="0"/>
          <w:sz w:val="24"/>
        </w:rPr>
      </w:pPr>
      <w:r>
        <w:rPr>
          <w:rFonts w:hint="eastAsia" w:ascii="仿宋_GB2312" w:hAnsi="仿宋" w:eastAsia="仿宋_GB2312" w:cs="宋体"/>
          <w:color w:val="000000"/>
          <w:kern w:val="0"/>
          <w:sz w:val="24"/>
        </w:rPr>
        <w:t>如此时因其他因素导致需推出或取消本次上市的，则基金管理人可直接取消此次上市申请，本流程自此终止。后续如有需要，可再次发起新的上市申请。</w:t>
      </w:r>
    </w:p>
    <w:p w14:paraId="17CF98E4">
      <w:pPr>
        <w:tabs>
          <w:tab w:val="left" w:pos="420"/>
        </w:tabs>
        <w:snapToGrid w:val="0"/>
        <w:spacing w:line="360" w:lineRule="auto"/>
        <w:rPr>
          <w:rFonts w:hint="eastAsia" w:ascii="仿宋_GB2312" w:hAnsi="仿宋" w:eastAsia="仿宋_GB2312" w:cs="宋体"/>
          <w:color w:val="000000"/>
          <w:kern w:val="0"/>
          <w:sz w:val="24"/>
        </w:rPr>
      </w:pPr>
    </w:p>
    <w:p w14:paraId="12291EB3">
      <w:pPr>
        <w:snapToGrid w:val="0"/>
        <w:spacing w:line="360" w:lineRule="auto"/>
        <w:ind w:left="420"/>
        <w:rPr>
          <w:rFonts w:hint="eastAsia" w:ascii="仿宋_GB2312" w:hAnsi="仿宋" w:eastAsia="仿宋_GB2312" w:cs="宋体"/>
          <w:color w:val="000000"/>
          <w:kern w:val="0"/>
          <w:sz w:val="24"/>
        </w:rPr>
      </w:pPr>
      <w:r>
        <w:rPr>
          <w:rFonts w:hint="eastAsia" w:ascii="Times New Roman" w:hAnsi="Times New Roman" w:eastAsia="仿宋_GB2312" w:cs="宋体"/>
          <w:color w:val="000000"/>
          <w:kern w:val="0"/>
          <w:sz w:val="24"/>
        </w:rPr>
        <w:t>T</w:t>
      </w:r>
      <w:r>
        <w:rPr>
          <w:rFonts w:hint="eastAsia" w:ascii="仿宋_GB2312" w:hAnsi="仿宋" w:eastAsia="仿宋_GB2312" w:cs="宋体"/>
          <w:color w:val="000000"/>
          <w:kern w:val="0"/>
          <w:sz w:val="24"/>
        </w:rPr>
        <w:t>日前</w:t>
      </w:r>
    </w:p>
    <w:p w14:paraId="4E8B7186">
      <w:pPr>
        <w:numPr>
          <w:ilvl w:val="0"/>
          <w:numId w:val="22"/>
        </w:numPr>
        <w:snapToGrid w:val="0"/>
        <w:spacing w:line="360" w:lineRule="auto"/>
        <w:ind w:firstLine="480" w:firstLineChars="200"/>
        <w:rPr>
          <w:rFonts w:hint="eastAsia" w:ascii="仿宋_GB2312" w:hAnsi="仿宋" w:eastAsia="仿宋_GB2312" w:cs="宋体"/>
          <w:color w:val="000000"/>
          <w:kern w:val="0"/>
          <w:sz w:val="24"/>
        </w:rPr>
      </w:pPr>
      <w:r>
        <w:rPr>
          <w:rFonts w:hint="eastAsia" w:ascii="仿宋_GB2312" w:hAnsi="仿宋" w:eastAsia="仿宋_GB2312" w:cs="宋体"/>
          <w:color w:val="000000"/>
          <w:kern w:val="0"/>
          <w:sz w:val="24"/>
        </w:rPr>
        <w:t>基金管理人需在</w:t>
      </w:r>
      <w:r>
        <w:rPr>
          <w:rFonts w:hint="eastAsia" w:ascii="Times New Roman" w:hAnsi="Times New Roman" w:eastAsia="仿宋_GB2312" w:cs="宋体"/>
          <w:color w:val="000000"/>
          <w:kern w:val="0"/>
          <w:sz w:val="24"/>
        </w:rPr>
        <w:t>REITs</w:t>
      </w:r>
      <w:r>
        <w:rPr>
          <w:rFonts w:hint="eastAsia" w:ascii="仿宋_GB2312" w:hAnsi="仿宋" w:eastAsia="仿宋_GB2312" w:cs="宋体"/>
          <w:color w:val="000000"/>
          <w:kern w:val="0"/>
          <w:sz w:val="24"/>
        </w:rPr>
        <w:t>上市之前，按本所规定签订《</w:t>
      </w:r>
      <w:r>
        <w:rPr>
          <w:rFonts w:hint="eastAsia" w:ascii="Times New Roman" w:hAnsi="Times New Roman" w:eastAsia="仿宋_GB2312" w:cs="宋体"/>
          <w:color w:val="000000"/>
          <w:kern w:val="0"/>
          <w:sz w:val="24"/>
        </w:rPr>
        <w:t>REITs</w:t>
      </w:r>
      <w:r>
        <w:rPr>
          <w:rFonts w:hint="eastAsia" w:ascii="仿宋_GB2312" w:hAnsi="仿宋" w:eastAsia="仿宋_GB2312" w:cs="宋体"/>
          <w:color w:val="000000"/>
          <w:kern w:val="0"/>
          <w:sz w:val="24"/>
        </w:rPr>
        <w:t>上市协议》（基金管理人与本所签署该协议，在本所上市交易的其他</w:t>
      </w:r>
      <w:r>
        <w:rPr>
          <w:rFonts w:hint="eastAsia" w:ascii="仿宋_GB2312" w:hAnsi="仿宋" w:eastAsia="仿宋_GB2312" w:cs="宋体"/>
          <w:color w:val="000000"/>
          <w:kern w:val="0"/>
          <w:sz w:val="24"/>
          <w:lang w:val="en-US" w:eastAsia="zh-CN"/>
        </w:rPr>
        <w:t>REITs</w:t>
      </w:r>
      <w:r>
        <w:rPr>
          <w:rFonts w:hint="eastAsia" w:ascii="仿宋_GB2312" w:hAnsi="仿宋" w:eastAsia="仿宋_GB2312" w:cs="宋体"/>
          <w:color w:val="000000"/>
          <w:kern w:val="0"/>
          <w:sz w:val="24"/>
        </w:rPr>
        <w:t>基金也将遵守该协议，不再另行签署。如举办上市仪式，可安排在上市日签署该协议。）</w:t>
      </w:r>
    </w:p>
    <w:p w14:paraId="568EF9DF">
      <w:pPr>
        <w:snapToGrid w:val="0"/>
        <w:spacing w:line="360" w:lineRule="auto"/>
        <w:rPr>
          <w:rFonts w:hint="eastAsia" w:ascii="仿宋_GB2312" w:hAnsi="仿宋" w:eastAsia="仿宋_GB2312" w:cs="宋体"/>
          <w:color w:val="000000"/>
          <w:kern w:val="0"/>
          <w:sz w:val="24"/>
        </w:rPr>
      </w:pPr>
    </w:p>
    <w:p w14:paraId="4614B1D5">
      <w:pPr>
        <w:snapToGrid w:val="0"/>
        <w:spacing w:line="360" w:lineRule="auto"/>
        <w:ind w:left="420"/>
        <w:rPr>
          <w:rFonts w:hint="eastAsia" w:ascii="仿宋_GB2312" w:hAnsi="仿宋" w:eastAsia="仿宋_GB2312" w:cs="宋体"/>
          <w:color w:val="000000"/>
          <w:kern w:val="0"/>
          <w:sz w:val="24"/>
        </w:rPr>
      </w:pPr>
      <w:r>
        <w:rPr>
          <w:rFonts w:hint="eastAsia" w:ascii="Times New Roman" w:hAnsi="Times New Roman" w:eastAsia="仿宋_GB2312" w:cs="宋体"/>
          <w:color w:val="000000"/>
          <w:kern w:val="0"/>
          <w:sz w:val="24"/>
        </w:rPr>
        <w:t>T</w:t>
      </w:r>
      <w:r>
        <w:rPr>
          <w:rFonts w:hint="eastAsia" w:ascii="仿宋_GB2312" w:hAnsi="仿宋" w:eastAsia="仿宋_GB2312" w:cs="宋体"/>
          <w:color w:val="000000"/>
          <w:kern w:val="0"/>
          <w:sz w:val="24"/>
        </w:rPr>
        <w:t>日</w:t>
      </w:r>
    </w:p>
    <w:p w14:paraId="22F71FB5">
      <w:pPr>
        <w:numPr>
          <w:ilvl w:val="0"/>
          <w:numId w:val="22"/>
        </w:numPr>
        <w:snapToGrid w:val="0"/>
        <w:spacing w:line="360" w:lineRule="auto"/>
        <w:ind w:firstLine="480" w:firstLineChars="200"/>
        <w:rPr>
          <w:rFonts w:hint="eastAsia" w:ascii="仿宋_GB2312" w:hAnsi="仿宋" w:eastAsia="仿宋_GB2312" w:cs="宋体"/>
          <w:color w:val="000000"/>
          <w:kern w:val="0"/>
          <w:sz w:val="24"/>
        </w:rPr>
      </w:pPr>
      <w:r>
        <w:rPr>
          <w:rFonts w:hint="eastAsia" w:ascii="Times New Roman" w:hAnsi="Times New Roman" w:eastAsia="仿宋_GB2312" w:cs="宋体"/>
          <w:color w:val="000000"/>
          <w:kern w:val="0"/>
          <w:sz w:val="24"/>
        </w:rPr>
        <w:t>REITs</w:t>
      </w:r>
      <w:r>
        <w:rPr>
          <w:rFonts w:hint="eastAsia" w:ascii="仿宋_GB2312" w:hAnsi="仿宋" w:eastAsia="仿宋_GB2312" w:cs="宋体"/>
          <w:color w:val="000000"/>
          <w:kern w:val="0"/>
          <w:sz w:val="24"/>
        </w:rPr>
        <w:t>正式上市</w:t>
      </w:r>
      <w:r>
        <w:rPr>
          <w:rFonts w:hint="eastAsia" w:ascii="仿宋_GB2312" w:hAnsi="仿宋" w:eastAsia="仿宋_GB2312" w:cs="宋体"/>
          <w:kern w:val="0"/>
          <w:sz w:val="24"/>
        </w:rPr>
        <w:t>。</w:t>
      </w:r>
    </w:p>
    <w:p w14:paraId="7D8828BC">
      <w:pPr>
        <w:rPr>
          <w:rFonts w:hint="eastAsia" w:ascii="宋体" w:hAnsi="宋体"/>
          <w:bCs/>
          <w:sz w:val="28"/>
          <w:szCs w:val="28"/>
        </w:rPr>
      </w:pPr>
    </w:p>
    <w:p w14:paraId="6B8FA729">
      <w:pPr>
        <w:pStyle w:val="30"/>
        <w:numPr>
          <w:ilvl w:val="0"/>
          <w:numId w:val="59"/>
        </w:numPr>
        <w:ind w:firstLineChars="0"/>
        <w:outlineLvl w:val="1"/>
        <w:rPr>
          <w:rFonts w:hint="eastAsia" w:ascii="黑体" w:hAnsi="黑体" w:eastAsia="黑体"/>
          <w:b/>
          <w:sz w:val="30"/>
          <w:szCs w:val="30"/>
        </w:rPr>
      </w:pPr>
      <w:bookmarkStart w:id="831" w:name="_Toc1511276970"/>
      <w:bookmarkStart w:id="832" w:name="_Toc1632496535"/>
      <w:bookmarkStart w:id="833" w:name="_Toc15816"/>
      <w:bookmarkStart w:id="834" w:name="_Toc7526"/>
      <w:bookmarkStart w:id="835" w:name="_Toc8915"/>
      <w:bookmarkStart w:id="836" w:name="_Toc13511"/>
      <w:bookmarkStart w:id="837" w:name="_Toc1135092388"/>
      <w:bookmarkStart w:id="838" w:name="_Toc597476549"/>
      <w:bookmarkStart w:id="839" w:name="_Toc1896"/>
      <w:bookmarkStart w:id="840" w:name="_Toc12717"/>
      <w:bookmarkStart w:id="841" w:name="_Toc21413"/>
      <w:bookmarkStart w:id="842" w:name="_Toc70604232"/>
      <w:bookmarkStart w:id="843" w:name="_Toc151399321"/>
      <w:bookmarkStart w:id="844" w:name="_Toc197929992"/>
      <w:bookmarkStart w:id="845" w:name="_Toc1808883116"/>
      <w:bookmarkStart w:id="846" w:name="_Toc209"/>
      <w:bookmarkStart w:id="847" w:name="_Toc14358"/>
      <w:bookmarkStart w:id="848" w:name="_Toc15164"/>
      <w:bookmarkStart w:id="849" w:name="_Toc24431"/>
      <w:bookmarkStart w:id="850" w:name="_Toc24468"/>
      <w:bookmarkStart w:id="851" w:name="_Toc2368"/>
      <w:bookmarkStart w:id="852" w:name="_Toc29044"/>
      <w:bookmarkStart w:id="853" w:name="_Toc65181437"/>
      <w:bookmarkStart w:id="854" w:name="_Toc9131"/>
      <w:bookmarkStart w:id="855" w:name="_Toc31477"/>
      <w:r>
        <w:rPr>
          <w:rFonts w:hint="eastAsia" w:ascii="黑体" w:hAnsi="黑体" w:eastAsia="黑体"/>
          <w:b/>
          <w:sz w:val="30"/>
          <w:szCs w:val="30"/>
        </w:rPr>
        <w:t>上市公告披露</w:t>
      </w:r>
      <w:bookmarkEnd w:id="831"/>
      <w:bookmarkEnd w:id="832"/>
      <w:bookmarkEnd w:id="833"/>
      <w:bookmarkEnd w:id="834"/>
      <w:bookmarkEnd w:id="835"/>
      <w:bookmarkEnd w:id="836"/>
      <w:bookmarkEnd w:id="837"/>
      <w:bookmarkEnd w:id="838"/>
      <w:bookmarkEnd w:id="839"/>
      <w:bookmarkEnd w:id="840"/>
      <w:bookmarkEnd w:id="841"/>
      <w:bookmarkEnd w:id="842"/>
      <w:bookmarkEnd w:id="843"/>
      <w:bookmarkEnd w:id="844"/>
      <w:bookmarkEnd w:id="845"/>
      <w:bookmarkEnd w:id="846"/>
      <w:bookmarkEnd w:id="847"/>
      <w:bookmarkEnd w:id="848"/>
      <w:bookmarkEnd w:id="849"/>
      <w:bookmarkEnd w:id="850"/>
      <w:bookmarkEnd w:id="851"/>
      <w:bookmarkEnd w:id="852"/>
      <w:bookmarkEnd w:id="853"/>
      <w:bookmarkEnd w:id="854"/>
      <w:bookmarkEnd w:id="855"/>
    </w:p>
    <w:p w14:paraId="010CBB45">
      <w:pPr>
        <w:snapToGrid w:val="0"/>
        <w:spacing w:line="360" w:lineRule="auto"/>
        <w:rPr>
          <w:rFonts w:hint="eastAsia" w:ascii="仿宋_GB2312" w:hAnsi="仿宋" w:eastAsia="仿宋_GB2312" w:cs="宋体"/>
          <w:color w:val="000000"/>
          <w:kern w:val="0"/>
          <w:sz w:val="24"/>
        </w:rPr>
      </w:pPr>
    </w:p>
    <w:p w14:paraId="607904C8">
      <w:pPr>
        <w:snapToGrid w:val="0"/>
        <w:spacing w:line="360" w:lineRule="auto"/>
        <w:ind w:firstLine="480" w:firstLineChars="200"/>
        <w:rPr>
          <w:rFonts w:hint="eastAsia" w:ascii="仿宋_GB2312" w:hAnsi="仿宋" w:eastAsia="仿宋_GB2312" w:cs="宋体"/>
          <w:color w:val="000000"/>
          <w:kern w:val="0"/>
          <w:sz w:val="24"/>
        </w:rPr>
      </w:pPr>
      <w:r>
        <w:rPr>
          <w:rFonts w:hint="eastAsia" w:ascii="Times New Roman" w:hAnsi="Times New Roman" w:eastAsia="仿宋_GB2312" w:cs="宋体"/>
          <w:color w:val="000000"/>
          <w:kern w:val="0"/>
          <w:sz w:val="24"/>
        </w:rPr>
        <w:t>T</w:t>
      </w:r>
      <w:r>
        <w:rPr>
          <w:rFonts w:hint="eastAsia" w:ascii="仿宋_GB2312" w:hAnsi="仿宋" w:eastAsia="仿宋_GB2312" w:cs="宋体"/>
          <w:color w:val="000000"/>
          <w:kern w:val="0"/>
          <w:sz w:val="24"/>
        </w:rPr>
        <w:t>-</w:t>
      </w:r>
      <w:r>
        <w:rPr>
          <w:rFonts w:hint="eastAsia" w:ascii="Times New Roman" w:hAnsi="Times New Roman" w:eastAsia="仿宋_GB2312" w:cs="宋体"/>
          <w:color w:val="000000"/>
          <w:kern w:val="0"/>
          <w:sz w:val="24"/>
        </w:rPr>
        <w:t>3</w:t>
      </w:r>
      <w:r>
        <w:rPr>
          <w:rFonts w:hint="eastAsia" w:ascii="仿宋_GB2312" w:hAnsi="仿宋" w:eastAsia="仿宋_GB2312" w:cs="宋体"/>
          <w:color w:val="000000"/>
          <w:kern w:val="0"/>
          <w:sz w:val="24"/>
        </w:rPr>
        <w:t>日（含，工作日）前</w:t>
      </w:r>
    </w:p>
    <w:p w14:paraId="1DB947C6">
      <w:pPr>
        <w:numPr>
          <w:ilvl w:val="0"/>
          <w:numId w:val="12"/>
        </w:numPr>
        <w:snapToGrid w:val="0"/>
        <w:spacing w:line="360" w:lineRule="auto"/>
        <w:ind w:firstLine="480" w:firstLineChars="200"/>
        <w:rPr>
          <w:rFonts w:hint="eastAsia" w:ascii="仿宋_GB2312" w:hAnsi="仿宋" w:eastAsia="仿宋_GB2312" w:cs="宋体"/>
          <w:color w:val="000000"/>
          <w:kern w:val="0"/>
          <w:sz w:val="24"/>
        </w:rPr>
      </w:pPr>
      <w:r>
        <w:rPr>
          <w:rFonts w:hint="eastAsia" w:ascii="仿宋_GB2312" w:hAnsi="仿宋" w:eastAsia="仿宋_GB2312" w:cs="宋体"/>
          <w:color w:val="000000"/>
          <w:kern w:val="0"/>
          <w:sz w:val="24"/>
        </w:rPr>
        <w:t>上市公告等公告文件在本所</w:t>
      </w:r>
      <w:r>
        <w:rPr>
          <w:rFonts w:ascii="仿宋_GB2312" w:hAnsi="仿宋" w:eastAsia="仿宋_GB2312" w:cs="宋体"/>
          <w:color w:val="000000"/>
          <w:kern w:val="0"/>
          <w:sz w:val="24"/>
        </w:rPr>
        <w:t>官网</w:t>
      </w:r>
      <w:r>
        <w:rPr>
          <w:rFonts w:hint="eastAsia" w:ascii="仿宋_GB2312" w:hAnsi="仿宋" w:eastAsia="仿宋_GB2312" w:cs="宋体"/>
          <w:color w:val="000000"/>
          <w:kern w:val="0"/>
          <w:sz w:val="24"/>
        </w:rPr>
        <w:t>发布，基金管理人核对网站披露内容是否符合预期。</w:t>
      </w:r>
    </w:p>
    <w:p w14:paraId="68033112">
      <w:pPr>
        <w:numPr>
          <w:ilvl w:val="0"/>
          <w:numId w:val="12"/>
        </w:numPr>
        <w:snapToGrid w:val="0"/>
        <w:spacing w:line="360" w:lineRule="auto"/>
        <w:ind w:firstLine="480" w:firstLineChars="200"/>
        <w:rPr>
          <w:rFonts w:hint="eastAsia" w:ascii="仿宋_GB2312" w:hAnsi="仿宋" w:eastAsia="仿宋_GB2312" w:cs="宋体"/>
          <w:color w:val="000000"/>
          <w:kern w:val="0"/>
          <w:sz w:val="24"/>
        </w:rPr>
      </w:pPr>
      <w:r>
        <w:rPr>
          <w:rFonts w:hint="eastAsia" w:ascii="仿宋_GB2312" w:hAnsi="仿宋" w:eastAsia="仿宋_GB2312" w:cs="宋体"/>
          <w:color w:val="000000"/>
          <w:kern w:val="0"/>
          <w:sz w:val="24"/>
        </w:rPr>
        <w:t>基金管理人</w:t>
      </w:r>
      <w:r>
        <w:rPr>
          <w:rFonts w:hint="eastAsia" w:ascii="仿宋_GB2312" w:hAnsi="仿宋" w:eastAsia="仿宋_GB2312" w:cs="宋体"/>
          <w:color w:val="000000"/>
          <w:kern w:val="0"/>
          <w:sz w:val="24"/>
          <w:szCs w:val="21"/>
        </w:rPr>
        <w:t>根据中国证监会规定在</w:t>
      </w:r>
      <w:r>
        <w:rPr>
          <w:rFonts w:hint="eastAsia" w:ascii="仿宋_GB2312" w:hAnsi="仿宋" w:eastAsia="仿宋_GB2312" w:cs="宋体"/>
          <w:color w:val="000000"/>
          <w:kern w:val="0"/>
          <w:sz w:val="24"/>
        </w:rPr>
        <w:t>其他媒介上刊登前述公告。</w:t>
      </w:r>
    </w:p>
    <w:p w14:paraId="5D7E7DF1">
      <w:pPr>
        <w:snapToGrid w:val="0"/>
        <w:spacing w:line="360" w:lineRule="auto"/>
        <w:ind w:left="900"/>
        <w:rPr>
          <w:rFonts w:hint="eastAsia" w:ascii="仿宋_GB2312" w:hAnsi="仿宋" w:eastAsia="仿宋_GB2312" w:cs="宋体"/>
          <w:color w:val="000000"/>
          <w:kern w:val="0"/>
          <w:sz w:val="24"/>
        </w:rPr>
      </w:pPr>
    </w:p>
    <w:p w14:paraId="58B270CC">
      <w:pPr>
        <w:snapToGrid w:val="0"/>
        <w:spacing w:line="360" w:lineRule="auto"/>
        <w:ind w:left="420"/>
        <w:rPr>
          <w:rFonts w:hint="eastAsia" w:ascii="仿宋_GB2312" w:hAnsi="仿宋" w:eastAsia="仿宋_GB2312" w:cs="宋体"/>
          <w:color w:val="000000"/>
          <w:kern w:val="0"/>
          <w:sz w:val="24"/>
        </w:rPr>
      </w:pPr>
      <w:r>
        <w:rPr>
          <w:rFonts w:ascii="Times New Roman" w:hAnsi="Times New Roman" w:eastAsia="仿宋_GB2312" w:cs="宋体"/>
          <w:color w:val="000000"/>
          <w:kern w:val="0"/>
          <w:sz w:val="24"/>
        </w:rPr>
        <w:t>T</w:t>
      </w:r>
      <w:r>
        <w:rPr>
          <w:rFonts w:ascii="仿宋_GB2312" w:hAnsi="仿宋" w:eastAsia="仿宋_GB2312" w:cs="宋体"/>
          <w:color w:val="000000"/>
          <w:kern w:val="0"/>
          <w:sz w:val="24"/>
        </w:rPr>
        <w:t>-</w:t>
      </w:r>
      <w:r>
        <w:rPr>
          <w:rFonts w:ascii="Times New Roman" w:hAnsi="Times New Roman" w:eastAsia="仿宋_GB2312" w:cs="宋体"/>
          <w:color w:val="000000"/>
          <w:kern w:val="0"/>
          <w:sz w:val="24"/>
        </w:rPr>
        <w:t>1</w:t>
      </w:r>
      <w:r>
        <w:rPr>
          <w:rFonts w:ascii="仿宋_GB2312" w:hAnsi="仿宋" w:eastAsia="仿宋_GB2312" w:cs="宋体"/>
          <w:color w:val="000000"/>
          <w:kern w:val="0"/>
          <w:sz w:val="24"/>
        </w:rPr>
        <w:t>日</w:t>
      </w:r>
    </w:p>
    <w:p w14:paraId="509E31AD">
      <w:pPr>
        <w:pStyle w:val="30"/>
        <w:numPr>
          <w:ilvl w:val="0"/>
          <w:numId w:val="63"/>
        </w:numPr>
        <w:tabs>
          <w:tab w:val="left" w:pos="420"/>
        </w:tabs>
        <w:snapToGrid w:val="0"/>
        <w:spacing w:line="360" w:lineRule="auto"/>
        <w:ind w:firstLine="420" w:firstLineChars="0"/>
        <w:rPr>
          <w:rFonts w:hint="eastAsia" w:ascii="仿宋_GB2312" w:hAnsi="仿宋" w:eastAsia="仿宋_GB2312" w:cs="宋体"/>
          <w:color w:val="000000"/>
          <w:kern w:val="0"/>
          <w:sz w:val="24"/>
        </w:rPr>
      </w:pPr>
      <w:r>
        <w:rPr>
          <w:rFonts w:hint="eastAsia" w:ascii="仿宋_GB2312" w:hAnsi="仿宋" w:eastAsia="仿宋_GB2312" w:cs="宋体"/>
          <w:color w:val="000000"/>
          <w:kern w:val="0"/>
          <w:sz w:val="24"/>
        </w:rPr>
        <w:t>基金管理人通过</w:t>
      </w:r>
      <w:r>
        <w:rPr>
          <w:rFonts w:hint="eastAsia" w:ascii="Times New Roman" w:hAnsi="Times New Roman" w:eastAsia="仿宋_GB2312" w:cs="宋体"/>
          <w:color w:val="000000"/>
          <w:kern w:val="0"/>
          <w:sz w:val="24"/>
        </w:rPr>
        <w:t>REITs</w:t>
      </w:r>
      <w:r>
        <w:rPr>
          <w:rFonts w:hint="eastAsia" w:ascii="仿宋_GB2312" w:hAnsi="仿宋" w:eastAsia="仿宋_GB2312" w:cs="宋体"/>
          <w:color w:val="000000"/>
          <w:kern w:val="0"/>
          <w:sz w:val="24"/>
        </w:rPr>
        <w:t>业务管理系统平台菜单“信息披露-</w:t>
      </w:r>
      <w:r>
        <w:rPr>
          <w:rFonts w:hint="eastAsia" w:ascii="Times New Roman" w:hAnsi="Times New Roman" w:eastAsia="仿宋_GB2312" w:cs="宋体"/>
          <w:color w:val="000000"/>
          <w:kern w:val="0"/>
          <w:sz w:val="24"/>
        </w:rPr>
        <w:t>REITs</w:t>
      </w:r>
      <w:r>
        <w:rPr>
          <w:rFonts w:hint="eastAsia" w:ascii="仿宋_GB2312" w:hAnsi="仿宋" w:eastAsia="仿宋_GB2312" w:cs="宋体"/>
          <w:color w:val="000000"/>
          <w:kern w:val="0"/>
          <w:sz w:val="24"/>
        </w:rPr>
        <w:t>公告”，选取对应产品代码及公告类型，提交上市交易提示性公告（公告信息包括证券代码、证券简称、上市首日证券简称、上市日期、上市交易份额数量、上市首日涨跌幅、涨跌幅等）。</w:t>
      </w:r>
    </w:p>
    <w:p w14:paraId="5FE4A571">
      <w:pPr>
        <w:tabs>
          <w:tab w:val="left" w:pos="420"/>
        </w:tabs>
        <w:snapToGrid w:val="0"/>
        <w:spacing w:line="360" w:lineRule="auto"/>
        <w:ind w:left="420"/>
        <w:rPr>
          <w:rFonts w:hint="eastAsia" w:ascii="仿宋_GB2312" w:hAnsi="仿宋" w:eastAsia="仿宋_GB2312" w:cs="宋体"/>
          <w:color w:val="000000"/>
          <w:kern w:val="0"/>
          <w:sz w:val="24"/>
        </w:rPr>
      </w:pPr>
    </w:p>
    <w:p w14:paraId="61ABD9F5">
      <w:pPr>
        <w:tabs>
          <w:tab w:val="left" w:pos="420"/>
        </w:tabs>
        <w:snapToGrid w:val="0"/>
        <w:spacing w:line="360" w:lineRule="auto"/>
        <w:ind w:left="420"/>
        <w:rPr>
          <w:rFonts w:hint="eastAsia" w:ascii="仿宋_GB2312" w:hAnsi="仿宋" w:eastAsia="仿宋_GB2312" w:cs="宋体"/>
          <w:color w:val="000000"/>
          <w:kern w:val="0"/>
          <w:sz w:val="24"/>
        </w:rPr>
      </w:pPr>
      <w:r>
        <w:rPr>
          <w:rFonts w:hint="eastAsia" w:ascii="Times New Roman" w:hAnsi="Times New Roman" w:eastAsia="仿宋_GB2312" w:cs="宋体"/>
          <w:color w:val="000000"/>
          <w:kern w:val="0"/>
          <w:sz w:val="24"/>
        </w:rPr>
        <w:t>T</w:t>
      </w:r>
      <w:r>
        <w:rPr>
          <w:rFonts w:hint="eastAsia" w:ascii="仿宋_GB2312" w:hAnsi="仿宋" w:eastAsia="仿宋_GB2312" w:cs="宋体"/>
          <w:color w:val="000000"/>
          <w:kern w:val="0"/>
          <w:sz w:val="24"/>
        </w:rPr>
        <w:t xml:space="preserve"> 日</w:t>
      </w:r>
    </w:p>
    <w:p w14:paraId="18D57A27">
      <w:pPr>
        <w:pStyle w:val="30"/>
        <w:numPr>
          <w:ilvl w:val="0"/>
          <w:numId w:val="63"/>
        </w:numPr>
        <w:tabs>
          <w:tab w:val="left" w:pos="420"/>
        </w:tabs>
        <w:snapToGrid w:val="0"/>
        <w:spacing w:line="360" w:lineRule="auto"/>
        <w:ind w:firstLine="420" w:firstLineChars="0"/>
        <w:rPr>
          <w:rFonts w:hint="eastAsia" w:ascii="仿宋_GB2312" w:hAnsi="仿宋" w:eastAsia="仿宋_GB2312" w:cs="宋体"/>
          <w:color w:val="000000"/>
          <w:kern w:val="0"/>
          <w:sz w:val="24"/>
        </w:rPr>
      </w:pPr>
      <w:r>
        <w:rPr>
          <w:rFonts w:hint="eastAsia" w:ascii="仿宋_GB2312" w:hAnsi="仿宋" w:eastAsia="仿宋_GB2312" w:cs="宋体"/>
          <w:color w:val="000000"/>
          <w:kern w:val="0"/>
          <w:sz w:val="24"/>
        </w:rPr>
        <w:t>上市提示性公告在本所</w:t>
      </w:r>
      <w:r>
        <w:rPr>
          <w:rFonts w:ascii="仿宋_GB2312" w:hAnsi="仿宋" w:eastAsia="仿宋_GB2312" w:cs="宋体"/>
          <w:color w:val="000000"/>
          <w:kern w:val="0"/>
          <w:sz w:val="24"/>
        </w:rPr>
        <w:t>官网</w:t>
      </w:r>
      <w:r>
        <w:rPr>
          <w:rFonts w:hint="eastAsia" w:ascii="仿宋_GB2312" w:hAnsi="仿宋" w:eastAsia="仿宋_GB2312" w:cs="宋体"/>
          <w:color w:val="000000"/>
          <w:kern w:val="0"/>
          <w:sz w:val="24"/>
        </w:rPr>
        <w:t>发布，基金管理人核对网站披露内容是否符合预期。</w:t>
      </w:r>
    </w:p>
    <w:p w14:paraId="50BBDE18">
      <w:pPr>
        <w:pStyle w:val="30"/>
        <w:numPr>
          <w:ilvl w:val="0"/>
          <w:numId w:val="63"/>
        </w:numPr>
        <w:tabs>
          <w:tab w:val="left" w:pos="420"/>
        </w:tabs>
        <w:snapToGrid w:val="0"/>
        <w:spacing w:line="360" w:lineRule="auto"/>
        <w:ind w:firstLine="420" w:firstLineChars="0"/>
        <w:rPr>
          <w:rFonts w:hint="eastAsia" w:ascii="仿宋_GB2312" w:hAnsi="仿宋" w:eastAsia="仿宋_GB2312" w:cs="宋体"/>
          <w:color w:val="000000"/>
          <w:kern w:val="0"/>
          <w:sz w:val="24"/>
        </w:rPr>
      </w:pPr>
      <w:r>
        <w:rPr>
          <w:rFonts w:hint="eastAsia" w:ascii="仿宋_GB2312" w:hAnsi="仿宋" w:eastAsia="仿宋_GB2312" w:cs="宋体"/>
          <w:color w:val="000000"/>
          <w:kern w:val="0"/>
          <w:sz w:val="24"/>
        </w:rPr>
        <w:t>基金管理人</w:t>
      </w:r>
      <w:r>
        <w:rPr>
          <w:rFonts w:hint="eastAsia" w:ascii="仿宋_GB2312" w:hAnsi="仿宋" w:eastAsia="仿宋_GB2312" w:cs="宋体"/>
          <w:color w:val="000000"/>
          <w:kern w:val="0"/>
          <w:sz w:val="24"/>
          <w:szCs w:val="21"/>
        </w:rPr>
        <w:t>根据中国证监会规定在</w:t>
      </w:r>
      <w:r>
        <w:rPr>
          <w:rFonts w:hint="eastAsia" w:ascii="仿宋_GB2312" w:hAnsi="仿宋" w:eastAsia="仿宋_GB2312" w:cs="宋体"/>
          <w:color w:val="000000"/>
          <w:kern w:val="0"/>
          <w:sz w:val="24"/>
        </w:rPr>
        <w:t>其他媒介上刊登前述公告。</w:t>
      </w:r>
    </w:p>
    <w:p w14:paraId="524413D6">
      <w:pPr>
        <w:snapToGrid w:val="0"/>
        <w:spacing w:line="360" w:lineRule="auto"/>
        <w:ind w:left="420"/>
        <w:rPr>
          <w:rFonts w:hint="eastAsia" w:ascii="仿宋_GB2312" w:hAnsi="仿宋" w:eastAsia="仿宋_GB2312" w:cs="宋体"/>
          <w:color w:val="000000"/>
          <w:kern w:val="0"/>
          <w:sz w:val="24"/>
        </w:rPr>
      </w:pPr>
    </w:p>
    <w:p w14:paraId="18B9DFC5">
      <w:pPr>
        <w:widowControl/>
        <w:jc w:val="left"/>
        <w:rPr>
          <w:rFonts w:hint="eastAsia" w:ascii="黑体" w:hAnsi="黑体" w:eastAsia="黑体"/>
          <w:b/>
          <w:sz w:val="30"/>
          <w:szCs w:val="30"/>
        </w:rPr>
      </w:pPr>
      <w:r>
        <w:rPr>
          <w:rFonts w:ascii="黑体" w:hAnsi="黑体" w:eastAsia="黑体"/>
          <w:b/>
          <w:sz w:val="30"/>
          <w:szCs w:val="30"/>
        </w:rPr>
        <w:br w:type="page"/>
      </w:r>
    </w:p>
    <w:p w14:paraId="2DCA590A">
      <w:pPr>
        <w:pStyle w:val="13"/>
        <w:snapToGrid w:val="0"/>
        <w:spacing w:before="0" w:beforeAutospacing="0" w:after="0" w:afterAutospacing="0" w:line="360" w:lineRule="auto"/>
        <w:jc w:val="center"/>
        <w:outlineLvl w:val="0"/>
        <w:rPr>
          <w:rFonts w:hint="eastAsia" w:ascii="黑体" w:hAnsi="黑体" w:eastAsia="黑体"/>
          <w:b/>
          <w:sz w:val="32"/>
          <w:szCs w:val="32"/>
        </w:rPr>
      </w:pPr>
      <w:bookmarkStart w:id="856" w:name="_Toc65592410"/>
      <w:bookmarkStart w:id="857" w:name="_Toc1247198338"/>
      <w:bookmarkStart w:id="858" w:name="_Toc1289769594"/>
      <w:bookmarkStart w:id="859" w:name="_Toc1889128913"/>
      <w:bookmarkStart w:id="860" w:name="_Toc615051831"/>
      <w:bookmarkStart w:id="861" w:name="_Toc489999644"/>
      <w:bookmarkStart w:id="862" w:name="_Toc1914280799"/>
      <w:bookmarkStart w:id="863" w:name="_Toc70604233"/>
      <w:bookmarkStart w:id="864" w:name="_Toc165446548"/>
      <w:r>
        <w:rPr>
          <w:rFonts w:hint="eastAsia" w:ascii="黑体" w:hAnsi="黑体" w:eastAsia="黑体"/>
          <w:b/>
          <w:sz w:val="32"/>
          <w:szCs w:val="32"/>
        </w:rPr>
        <w:t>第四章  投资者适当性管理</w:t>
      </w:r>
      <w:bookmarkEnd w:id="856"/>
      <w:bookmarkEnd w:id="857"/>
      <w:bookmarkEnd w:id="858"/>
      <w:bookmarkEnd w:id="859"/>
      <w:bookmarkEnd w:id="860"/>
      <w:bookmarkEnd w:id="861"/>
      <w:bookmarkEnd w:id="862"/>
      <w:bookmarkEnd w:id="863"/>
      <w:bookmarkEnd w:id="864"/>
    </w:p>
    <w:p w14:paraId="46C6B19E">
      <w:pPr>
        <w:rPr>
          <w:rFonts w:hint="eastAsia" w:ascii="仿宋_GB2312" w:hAnsi="仿宋" w:eastAsia="仿宋_GB2312"/>
        </w:rPr>
      </w:pPr>
    </w:p>
    <w:p w14:paraId="4F98E432">
      <w:pPr>
        <w:pStyle w:val="30"/>
        <w:numPr>
          <w:ilvl w:val="0"/>
          <w:numId w:val="64"/>
        </w:numPr>
        <w:ind w:firstLineChars="0"/>
        <w:outlineLvl w:val="1"/>
        <w:rPr>
          <w:rFonts w:hint="eastAsia" w:ascii="黑体" w:hAnsi="黑体" w:eastAsia="黑体"/>
          <w:b/>
          <w:sz w:val="30"/>
          <w:szCs w:val="30"/>
        </w:rPr>
      </w:pPr>
      <w:bookmarkStart w:id="865" w:name="_Toc77833550"/>
      <w:bookmarkStart w:id="866" w:name="_Toc1449373952"/>
      <w:bookmarkStart w:id="867" w:name="_Toc70604234"/>
      <w:bookmarkStart w:id="868" w:name="_Toc1554715861"/>
      <w:bookmarkStart w:id="869" w:name="_Toc13717403"/>
      <w:bookmarkStart w:id="870" w:name="_Toc215931754"/>
      <w:bookmarkStart w:id="871" w:name="_Toc1895710569"/>
      <w:bookmarkStart w:id="872" w:name="_Toc1574913098"/>
      <w:bookmarkStart w:id="873" w:name="_Toc65592411"/>
      <w:r>
        <w:rPr>
          <w:rFonts w:hint="eastAsia" w:ascii="黑体" w:hAnsi="黑体" w:eastAsia="黑体"/>
          <w:b/>
          <w:sz w:val="30"/>
          <w:szCs w:val="30"/>
        </w:rPr>
        <w:t>建立健全适当性管理制度</w:t>
      </w:r>
      <w:bookmarkEnd w:id="865"/>
      <w:bookmarkEnd w:id="866"/>
      <w:bookmarkEnd w:id="867"/>
      <w:bookmarkEnd w:id="868"/>
      <w:bookmarkEnd w:id="869"/>
      <w:bookmarkEnd w:id="870"/>
      <w:bookmarkEnd w:id="871"/>
      <w:bookmarkEnd w:id="872"/>
      <w:bookmarkEnd w:id="873"/>
    </w:p>
    <w:p w14:paraId="37773E49">
      <w:pPr>
        <w:spacing w:line="360" w:lineRule="auto"/>
        <w:ind w:firstLine="566" w:firstLineChars="236"/>
        <w:rPr>
          <w:rFonts w:hint="eastAsia" w:ascii="仿宋_GB2312" w:hAnsi="仿宋" w:eastAsia="仿宋_GB2312" w:cs="宋体"/>
          <w:color w:val="000000"/>
          <w:kern w:val="0"/>
          <w:sz w:val="24"/>
        </w:rPr>
      </w:pPr>
      <w:r>
        <w:rPr>
          <w:rFonts w:hint="eastAsia" w:ascii="仿宋_GB2312" w:hAnsi="仿宋" w:eastAsia="仿宋_GB2312" w:cs="宋体"/>
          <w:color w:val="000000"/>
          <w:kern w:val="0"/>
          <w:sz w:val="24"/>
        </w:rPr>
        <w:t>基金管理人和证券公司等基金销售机构应当根据《证券期货投资者适当性管理办法》《公开募集基础设施证券投资基金指引（试行）》《中国证监会关于推出商业不动产投资信托基金试点的公告》《上海证券交易所公开募集不动产投资信托基金</w:t>
      </w:r>
      <w:r>
        <w:rPr>
          <w:rFonts w:hint="eastAsia" w:ascii="Times New Roman" w:hAnsi="Times New Roman" w:eastAsia="仿宋_GB2312"/>
          <w:color w:val="000000"/>
          <w:kern w:val="0"/>
          <w:sz w:val="24"/>
        </w:rPr>
        <w:t>（REITs）</w:t>
      </w:r>
      <w:r>
        <w:rPr>
          <w:rFonts w:hint="eastAsia" w:ascii="仿宋_GB2312" w:hAnsi="仿宋" w:eastAsia="仿宋_GB2312" w:cs="宋体"/>
          <w:color w:val="000000"/>
          <w:kern w:val="0"/>
          <w:sz w:val="24"/>
        </w:rPr>
        <w:t>业务办法（试行）》等规定，制定</w:t>
      </w:r>
      <w:r>
        <w:rPr>
          <w:rFonts w:hint="eastAsia" w:ascii="Times New Roman" w:hAnsi="Times New Roman" w:eastAsia="仿宋_GB2312" w:cs="宋体"/>
          <w:color w:val="000000"/>
          <w:kern w:val="0"/>
          <w:sz w:val="24"/>
        </w:rPr>
        <w:t>REITs</w:t>
      </w:r>
      <w:r>
        <w:rPr>
          <w:rFonts w:hint="eastAsia" w:ascii="仿宋_GB2312" w:hAnsi="仿宋" w:eastAsia="仿宋_GB2312" w:cs="宋体"/>
          <w:color w:val="000000"/>
          <w:kern w:val="0"/>
          <w:sz w:val="24"/>
        </w:rPr>
        <w:t>投资者适当性管理的相关工作制度，对投资者进行适当性管理。</w:t>
      </w:r>
    </w:p>
    <w:p w14:paraId="749D547A">
      <w:pPr>
        <w:spacing w:line="360" w:lineRule="auto"/>
        <w:rPr>
          <w:rFonts w:hint="eastAsia" w:ascii="仿宋_GB2312" w:hAnsi="仿宋" w:eastAsia="仿宋_GB2312"/>
        </w:rPr>
      </w:pPr>
    </w:p>
    <w:p w14:paraId="52BEC3FB">
      <w:pPr>
        <w:pStyle w:val="30"/>
        <w:numPr>
          <w:ilvl w:val="0"/>
          <w:numId w:val="64"/>
        </w:numPr>
        <w:ind w:firstLineChars="0"/>
        <w:outlineLvl w:val="1"/>
        <w:rPr>
          <w:rFonts w:hint="eastAsia" w:ascii="黑体" w:hAnsi="黑体" w:eastAsia="黑体"/>
          <w:b/>
          <w:sz w:val="30"/>
          <w:szCs w:val="30"/>
        </w:rPr>
      </w:pPr>
      <w:bookmarkStart w:id="874" w:name="_Toc2090350547"/>
      <w:bookmarkStart w:id="875" w:name="_Toc65592412"/>
      <w:bookmarkStart w:id="876" w:name="_Toc63511888"/>
      <w:bookmarkStart w:id="877" w:name="_Toc1065693150"/>
      <w:bookmarkStart w:id="878" w:name="_Toc1179400257"/>
      <w:bookmarkStart w:id="879" w:name="_Toc1166005617"/>
      <w:bookmarkStart w:id="880" w:name="_Toc1529294220"/>
      <w:bookmarkStart w:id="881" w:name="_Toc1570967816"/>
      <w:bookmarkStart w:id="882" w:name="_Toc70604235"/>
      <w:r>
        <w:rPr>
          <w:rFonts w:hint="eastAsia" w:ascii="黑体" w:hAnsi="黑体" w:eastAsia="黑体"/>
          <w:b/>
          <w:sz w:val="30"/>
          <w:szCs w:val="30"/>
        </w:rPr>
        <w:t>开展适当性评估</w:t>
      </w:r>
      <w:bookmarkEnd w:id="874"/>
      <w:bookmarkEnd w:id="875"/>
      <w:bookmarkEnd w:id="876"/>
      <w:bookmarkEnd w:id="877"/>
      <w:bookmarkEnd w:id="878"/>
      <w:bookmarkEnd w:id="879"/>
      <w:bookmarkEnd w:id="880"/>
      <w:bookmarkEnd w:id="881"/>
      <w:bookmarkEnd w:id="882"/>
    </w:p>
    <w:p w14:paraId="7B71512B">
      <w:pPr>
        <w:spacing w:line="360" w:lineRule="auto"/>
        <w:ind w:firstLine="566" w:firstLineChars="236"/>
        <w:rPr>
          <w:rFonts w:hint="eastAsia" w:ascii="仿宋_GB2312" w:hAnsi="仿宋" w:eastAsia="仿宋_GB2312" w:cs="宋体"/>
          <w:color w:val="000000"/>
          <w:kern w:val="0"/>
          <w:sz w:val="24"/>
        </w:rPr>
      </w:pPr>
      <w:r>
        <w:rPr>
          <w:rFonts w:hint="eastAsia" w:ascii="仿宋_GB2312" w:hAnsi="仿宋" w:eastAsia="仿宋_GB2312" w:cs="宋体"/>
          <w:color w:val="000000"/>
          <w:kern w:val="0"/>
          <w:sz w:val="24"/>
        </w:rPr>
        <w:t>基金管理人应当严格落实投资者适当性管理制度，会同证券公司等基金销售机构认真做好</w:t>
      </w:r>
      <w:r>
        <w:rPr>
          <w:rFonts w:hint="eastAsia" w:ascii="Times New Roman" w:hAnsi="Times New Roman" w:eastAsia="仿宋_GB2312" w:cs="宋体"/>
          <w:color w:val="000000"/>
          <w:kern w:val="0"/>
          <w:sz w:val="24"/>
        </w:rPr>
        <w:t>REITs</w:t>
      </w:r>
      <w:r>
        <w:rPr>
          <w:rFonts w:hint="eastAsia" w:ascii="仿宋_GB2312" w:hAnsi="仿宋" w:eastAsia="仿宋_GB2312" w:cs="宋体"/>
          <w:color w:val="000000"/>
          <w:kern w:val="0"/>
          <w:sz w:val="24"/>
        </w:rPr>
        <w:t>风险评价、投资者风险承受能力与投资目标识别、适当性匹配等投资者适当性管理工作，将适当的产品销售给适合的投资者。</w:t>
      </w:r>
    </w:p>
    <w:p w14:paraId="4543C86B">
      <w:pPr>
        <w:spacing w:line="360" w:lineRule="auto"/>
        <w:ind w:firstLine="566" w:firstLineChars="236"/>
        <w:rPr>
          <w:rFonts w:hint="eastAsia" w:ascii="仿宋_GB2312" w:hAnsi="仿宋" w:eastAsia="仿宋_GB2312" w:cs="宋体"/>
          <w:color w:val="000000"/>
          <w:kern w:val="0"/>
          <w:sz w:val="24"/>
        </w:rPr>
      </w:pPr>
      <w:r>
        <w:rPr>
          <w:rFonts w:hint="eastAsia" w:ascii="仿宋_GB2312" w:hAnsi="仿宋" w:eastAsia="仿宋_GB2312" w:cs="宋体"/>
          <w:color w:val="000000"/>
          <w:kern w:val="0"/>
          <w:sz w:val="24"/>
        </w:rPr>
        <w:t>投资者认购或买卖</w:t>
      </w:r>
      <w:r>
        <w:rPr>
          <w:rFonts w:hint="eastAsia" w:ascii="Times New Roman" w:hAnsi="Times New Roman" w:eastAsia="仿宋_GB2312" w:cs="宋体"/>
          <w:color w:val="000000"/>
          <w:kern w:val="0"/>
          <w:sz w:val="24"/>
        </w:rPr>
        <w:t>REITs</w:t>
      </w:r>
      <w:r>
        <w:rPr>
          <w:rFonts w:hint="eastAsia" w:ascii="仿宋_GB2312" w:hAnsi="仿宋" w:eastAsia="仿宋_GB2312" w:cs="宋体"/>
          <w:color w:val="000000"/>
          <w:kern w:val="0"/>
          <w:sz w:val="24"/>
        </w:rPr>
        <w:t>份额，应当遵守中国证监会以及本所的有关规定。</w:t>
      </w:r>
    </w:p>
    <w:p w14:paraId="546C9CFE">
      <w:pPr>
        <w:spacing w:line="360" w:lineRule="auto"/>
        <w:ind w:firstLine="566" w:firstLineChars="236"/>
        <w:rPr>
          <w:rFonts w:hint="eastAsia" w:ascii="仿宋_GB2312" w:hAnsi="仿宋" w:eastAsia="仿宋_GB2312" w:cs="宋体"/>
          <w:color w:val="000000"/>
          <w:kern w:val="0"/>
          <w:sz w:val="24"/>
        </w:rPr>
      </w:pPr>
    </w:p>
    <w:p w14:paraId="65CF9A3B">
      <w:pPr>
        <w:pStyle w:val="30"/>
        <w:numPr>
          <w:ilvl w:val="0"/>
          <w:numId w:val="64"/>
        </w:numPr>
        <w:ind w:firstLineChars="0"/>
        <w:outlineLvl w:val="1"/>
        <w:rPr>
          <w:rFonts w:hint="eastAsia" w:ascii="黑体" w:hAnsi="黑体" w:eastAsia="黑体"/>
          <w:b/>
          <w:sz w:val="30"/>
          <w:szCs w:val="30"/>
        </w:rPr>
      </w:pPr>
      <w:bookmarkStart w:id="883" w:name="_Toc1257854108"/>
      <w:bookmarkStart w:id="884" w:name="_Toc612198045"/>
      <w:bookmarkStart w:id="885" w:name="_Toc518326153"/>
      <w:bookmarkStart w:id="886" w:name="_Toc65592413"/>
      <w:bookmarkStart w:id="887" w:name="_Toc1199109526"/>
      <w:bookmarkStart w:id="888" w:name="_Toc70604236"/>
      <w:bookmarkStart w:id="889" w:name="_Toc1682570251"/>
      <w:bookmarkStart w:id="890" w:name="_Toc1219235862"/>
      <w:bookmarkStart w:id="891" w:name="_Toc661271751"/>
      <w:r>
        <w:rPr>
          <w:rFonts w:hint="eastAsia" w:ascii="黑体" w:hAnsi="黑体" w:eastAsia="黑体"/>
          <w:b/>
          <w:sz w:val="30"/>
          <w:szCs w:val="30"/>
        </w:rPr>
        <w:t>充分揭示风险</w:t>
      </w:r>
      <w:bookmarkEnd w:id="883"/>
      <w:bookmarkEnd w:id="884"/>
      <w:bookmarkEnd w:id="885"/>
      <w:bookmarkEnd w:id="886"/>
      <w:bookmarkEnd w:id="887"/>
      <w:bookmarkEnd w:id="888"/>
      <w:bookmarkEnd w:id="889"/>
      <w:bookmarkEnd w:id="890"/>
      <w:bookmarkEnd w:id="891"/>
    </w:p>
    <w:p w14:paraId="685CC118">
      <w:pPr>
        <w:pStyle w:val="30"/>
        <w:numPr>
          <w:ilvl w:val="0"/>
          <w:numId w:val="65"/>
        </w:numPr>
        <w:ind w:firstLineChars="0"/>
        <w:outlineLvl w:val="2"/>
        <w:rPr>
          <w:rFonts w:hint="eastAsia" w:ascii="仿宋_GB2312" w:hAnsi="宋体" w:eastAsia="仿宋_GB2312"/>
          <w:b/>
          <w:sz w:val="28"/>
          <w:szCs w:val="28"/>
        </w:rPr>
      </w:pPr>
      <w:bookmarkStart w:id="892" w:name="_Toc977283035"/>
      <w:bookmarkStart w:id="893" w:name="_Toc25894506"/>
      <w:bookmarkStart w:id="894" w:name="_Toc287848645"/>
      <w:bookmarkStart w:id="895" w:name="_Toc70604237"/>
      <w:bookmarkStart w:id="896" w:name="_Toc365243448"/>
      <w:bookmarkStart w:id="897" w:name="_Toc1705133923"/>
      <w:bookmarkStart w:id="898" w:name="_Toc65592414"/>
      <w:bookmarkStart w:id="899" w:name="_Toc1175049942"/>
      <w:bookmarkStart w:id="900" w:name="_Toc1393770076"/>
      <w:r>
        <w:rPr>
          <w:rFonts w:hint="eastAsia" w:ascii="仿宋_GB2312" w:hAnsi="宋体" w:eastAsia="仿宋_GB2312"/>
          <w:b/>
          <w:sz w:val="28"/>
          <w:szCs w:val="28"/>
        </w:rPr>
        <w:t>制定风险揭示书</w:t>
      </w:r>
      <w:bookmarkEnd w:id="892"/>
      <w:bookmarkEnd w:id="893"/>
      <w:bookmarkEnd w:id="894"/>
      <w:bookmarkEnd w:id="895"/>
      <w:bookmarkEnd w:id="896"/>
      <w:bookmarkEnd w:id="897"/>
      <w:bookmarkEnd w:id="898"/>
      <w:bookmarkEnd w:id="899"/>
      <w:bookmarkEnd w:id="900"/>
    </w:p>
    <w:p w14:paraId="496892A1">
      <w:pPr>
        <w:spacing w:line="360" w:lineRule="auto"/>
        <w:ind w:firstLine="566" w:firstLineChars="236"/>
        <w:rPr>
          <w:rFonts w:hint="eastAsia" w:ascii="仿宋_GB2312" w:hAnsi="仿宋" w:eastAsia="仿宋_GB2312" w:cs="宋体"/>
          <w:color w:val="000000"/>
          <w:kern w:val="0"/>
          <w:sz w:val="24"/>
        </w:rPr>
      </w:pPr>
      <w:r>
        <w:rPr>
          <w:rFonts w:hint="eastAsia" w:ascii="仿宋_GB2312" w:hAnsi="仿宋" w:eastAsia="仿宋_GB2312" w:cs="宋体"/>
          <w:color w:val="000000"/>
          <w:kern w:val="0"/>
          <w:sz w:val="24"/>
        </w:rPr>
        <w:t>基金管理人应当制作</w:t>
      </w:r>
      <w:r>
        <w:rPr>
          <w:rFonts w:hint="eastAsia" w:ascii="Times New Roman" w:hAnsi="Times New Roman" w:eastAsia="仿宋_GB2312" w:cs="宋体"/>
          <w:color w:val="000000"/>
          <w:kern w:val="0"/>
          <w:sz w:val="24"/>
        </w:rPr>
        <w:t>REITs</w:t>
      </w:r>
      <w:r>
        <w:rPr>
          <w:rFonts w:hint="eastAsia" w:ascii="仿宋_GB2312" w:hAnsi="仿宋" w:eastAsia="仿宋_GB2312" w:cs="宋体"/>
          <w:color w:val="000000"/>
          <w:kern w:val="0"/>
          <w:sz w:val="24"/>
        </w:rPr>
        <w:t>产品资料概要，简明清晰说明基金产品结构及风险收益特征，在基金合同、招募说明书及产品资料概要显著位置，充分揭示</w:t>
      </w:r>
      <w:r>
        <w:rPr>
          <w:rFonts w:ascii="Times New Roman" w:hAnsi="Times New Roman" w:eastAsia="仿宋_GB2312" w:cs="宋体"/>
          <w:color w:val="000000"/>
          <w:kern w:val="0"/>
          <w:sz w:val="24"/>
        </w:rPr>
        <w:t>REITs</w:t>
      </w:r>
      <w:r>
        <w:rPr>
          <w:rFonts w:hint="eastAsia" w:ascii="仿宋_GB2312" w:hAnsi="仿宋" w:eastAsia="仿宋_GB2312" w:cs="宋体"/>
          <w:color w:val="000000"/>
          <w:kern w:val="0"/>
          <w:sz w:val="24"/>
        </w:rPr>
        <w:t>投资运作、交易等环节的主要风险。</w:t>
      </w:r>
    </w:p>
    <w:p w14:paraId="4BCE0D51">
      <w:pPr>
        <w:spacing w:line="360" w:lineRule="auto"/>
        <w:ind w:firstLine="566" w:firstLineChars="236"/>
        <w:rPr>
          <w:rFonts w:hint="eastAsia" w:ascii="仿宋_GB2312" w:hAnsi="仿宋" w:eastAsia="仿宋_GB2312" w:cs="宋体"/>
          <w:color w:val="000000"/>
          <w:kern w:val="0"/>
          <w:sz w:val="24"/>
        </w:rPr>
      </w:pPr>
      <w:r>
        <w:rPr>
          <w:rFonts w:hint="eastAsia" w:ascii="仿宋_GB2312" w:hAnsi="仿宋" w:eastAsia="仿宋_GB2312" w:cs="宋体"/>
          <w:color w:val="000000"/>
          <w:kern w:val="0"/>
          <w:sz w:val="24"/>
        </w:rPr>
        <w:t>基金管理人和证券公司等基金销售机构应当对照《上海证券交易所会员管理业务指南第</w:t>
      </w:r>
      <w:r>
        <w:rPr>
          <w:rFonts w:hint="eastAsia" w:ascii="Times New Roman" w:hAnsi="Times New Roman" w:eastAsia="仿宋_GB2312" w:cs="宋体"/>
          <w:color w:val="000000"/>
          <w:kern w:val="0"/>
          <w:sz w:val="24"/>
        </w:rPr>
        <w:t>2</w:t>
      </w:r>
      <w:r>
        <w:rPr>
          <w:rFonts w:hint="eastAsia" w:ascii="仿宋_GB2312" w:hAnsi="仿宋" w:eastAsia="仿宋_GB2312" w:cs="宋体"/>
          <w:color w:val="000000"/>
          <w:kern w:val="0"/>
          <w:sz w:val="24"/>
        </w:rPr>
        <w:t>号——风险揭示书必备条款》（以下简称《风险揭示书必备条款》），制定《公开募集不动产投资信托基金（</w:t>
      </w:r>
      <w:r>
        <w:rPr>
          <w:rFonts w:hint="eastAsia" w:ascii="Times New Roman" w:hAnsi="Times New Roman" w:eastAsia="仿宋_GB2312"/>
          <w:color w:val="000000"/>
          <w:kern w:val="0"/>
          <w:sz w:val="24"/>
        </w:rPr>
        <w:t>REITs</w:t>
      </w:r>
      <w:r>
        <w:rPr>
          <w:rFonts w:hint="eastAsia" w:ascii="仿宋_GB2312" w:hAnsi="仿宋" w:eastAsia="仿宋_GB2312" w:cs="宋体"/>
          <w:color w:val="000000"/>
          <w:kern w:val="0"/>
          <w:sz w:val="24"/>
        </w:rPr>
        <w:t>）交易风险揭示书》（以下简称《风险揭示书》）。</w:t>
      </w:r>
    </w:p>
    <w:p w14:paraId="3AE1CCAB">
      <w:pPr>
        <w:spacing w:line="360" w:lineRule="auto"/>
        <w:ind w:firstLine="566" w:firstLineChars="236"/>
        <w:rPr>
          <w:rFonts w:hint="eastAsia" w:ascii="仿宋_GB2312" w:hAnsi="仿宋" w:eastAsia="仿宋_GB2312" w:cs="宋体"/>
          <w:color w:val="000000"/>
          <w:kern w:val="0"/>
          <w:sz w:val="24"/>
        </w:rPr>
      </w:pPr>
      <w:r>
        <w:rPr>
          <w:rFonts w:hint="eastAsia" w:ascii="仿宋_GB2312" w:hAnsi="仿宋" w:eastAsia="仿宋_GB2312" w:cs="宋体"/>
          <w:color w:val="000000"/>
          <w:kern w:val="0"/>
          <w:sz w:val="24"/>
        </w:rPr>
        <w:t>除《风险揭示书必备条款》规定的风险事项，基金管理人和证券公司等基金销售机构还可以根据具体情况在本公司制定的《风险揭示书》中对</w:t>
      </w:r>
      <w:r>
        <w:rPr>
          <w:rFonts w:hint="eastAsia" w:ascii="Times New Roman" w:hAnsi="Times New Roman" w:eastAsia="仿宋_GB2312" w:cs="宋体"/>
          <w:color w:val="000000"/>
          <w:kern w:val="0"/>
          <w:sz w:val="24"/>
        </w:rPr>
        <w:t>REITs</w:t>
      </w:r>
      <w:r>
        <w:rPr>
          <w:rFonts w:hint="eastAsia" w:ascii="仿宋_GB2312" w:hAnsi="仿宋" w:eastAsia="仿宋_GB2312" w:cs="宋体"/>
          <w:color w:val="000000"/>
          <w:kern w:val="0"/>
          <w:sz w:val="24"/>
        </w:rPr>
        <w:t>投资的相关风险做进一步列举。</w:t>
      </w:r>
    </w:p>
    <w:p w14:paraId="037599B6">
      <w:pPr>
        <w:pStyle w:val="30"/>
        <w:numPr>
          <w:ilvl w:val="0"/>
          <w:numId w:val="65"/>
        </w:numPr>
        <w:ind w:firstLineChars="0"/>
        <w:outlineLvl w:val="2"/>
        <w:rPr>
          <w:rFonts w:hint="eastAsia" w:ascii="仿宋_GB2312" w:hAnsi="宋体" w:eastAsia="仿宋_GB2312"/>
          <w:b/>
          <w:sz w:val="28"/>
          <w:szCs w:val="28"/>
        </w:rPr>
      </w:pPr>
      <w:bookmarkStart w:id="901" w:name="_Toc2073096230"/>
      <w:bookmarkStart w:id="902" w:name="_Toc1980665605"/>
      <w:bookmarkStart w:id="903" w:name="_Toc1658235406"/>
      <w:bookmarkStart w:id="904" w:name="_Toc642781016"/>
      <w:bookmarkStart w:id="905" w:name="_Toc1522698288"/>
      <w:bookmarkStart w:id="906" w:name="_Toc206189016"/>
      <w:bookmarkStart w:id="907" w:name="_Toc2013411616"/>
      <w:bookmarkStart w:id="908" w:name="_Toc70604238"/>
      <w:bookmarkStart w:id="909" w:name="_Toc65592415"/>
      <w:r>
        <w:rPr>
          <w:rFonts w:hint="eastAsia" w:ascii="仿宋_GB2312" w:hAnsi="宋体" w:eastAsia="仿宋_GB2312"/>
          <w:b/>
          <w:sz w:val="28"/>
          <w:szCs w:val="28"/>
        </w:rPr>
        <w:t>签署风险揭示书</w:t>
      </w:r>
      <w:bookmarkEnd w:id="901"/>
      <w:bookmarkEnd w:id="902"/>
      <w:bookmarkEnd w:id="903"/>
      <w:bookmarkEnd w:id="904"/>
      <w:bookmarkEnd w:id="905"/>
      <w:bookmarkEnd w:id="906"/>
      <w:bookmarkEnd w:id="907"/>
      <w:bookmarkEnd w:id="908"/>
      <w:bookmarkEnd w:id="909"/>
    </w:p>
    <w:p w14:paraId="51968992">
      <w:pPr>
        <w:spacing w:line="360" w:lineRule="auto"/>
        <w:ind w:firstLine="569" w:firstLineChars="236"/>
        <w:rPr>
          <w:rFonts w:hint="eastAsia" w:ascii="仿宋_GB2312" w:hAnsi="仿宋" w:eastAsia="仿宋_GB2312" w:cs="宋体"/>
          <w:b/>
          <w:color w:val="000000"/>
          <w:kern w:val="0"/>
          <w:sz w:val="24"/>
        </w:rPr>
      </w:pPr>
      <w:r>
        <w:rPr>
          <w:rFonts w:hint="eastAsia" w:ascii="仿宋_GB2312" w:hAnsi="仿宋" w:eastAsia="仿宋_GB2312" w:cs="宋体"/>
          <w:b/>
          <w:color w:val="000000"/>
          <w:kern w:val="0"/>
          <w:sz w:val="24"/>
        </w:rPr>
        <w:t>首次认购和买入环节的风险揭示</w:t>
      </w:r>
    </w:p>
    <w:p w14:paraId="1728978F">
      <w:pPr>
        <w:spacing w:line="360" w:lineRule="auto"/>
        <w:ind w:firstLine="566" w:firstLineChars="236"/>
        <w:rPr>
          <w:rFonts w:hint="eastAsia" w:ascii="仿宋_GB2312" w:hAnsi="仿宋" w:eastAsia="仿宋_GB2312" w:cs="宋体"/>
          <w:color w:val="000000"/>
          <w:kern w:val="0"/>
          <w:sz w:val="24"/>
        </w:rPr>
      </w:pPr>
      <w:r>
        <w:rPr>
          <w:rFonts w:hint="eastAsia" w:ascii="仿宋_GB2312" w:hAnsi="仿宋" w:eastAsia="仿宋_GB2312" w:cs="宋体"/>
          <w:color w:val="000000"/>
          <w:kern w:val="0"/>
          <w:sz w:val="24"/>
        </w:rPr>
        <w:t>基金管理人和证券公司等基金销售机构应当要求普通投资者在首次认购或买入</w:t>
      </w:r>
      <w:r>
        <w:rPr>
          <w:rFonts w:hint="eastAsia" w:ascii="Times New Roman" w:hAnsi="Times New Roman" w:eastAsia="仿宋_GB2312" w:cs="宋体"/>
          <w:color w:val="000000"/>
          <w:kern w:val="0"/>
          <w:sz w:val="24"/>
        </w:rPr>
        <w:t>REITs</w:t>
      </w:r>
      <w:r>
        <w:rPr>
          <w:rFonts w:hint="eastAsia" w:ascii="仿宋_GB2312" w:hAnsi="仿宋" w:eastAsia="仿宋_GB2312" w:cs="宋体"/>
          <w:color w:val="000000"/>
          <w:kern w:val="0"/>
          <w:sz w:val="24"/>
        </w:rPr>
        <w:t>份额前，以纸质或电子形式签署风险揭示书，确认其了解</w:t>
      </w:r>
      <w:r>
        <w:rPr>
          <w:rFonts w:hint="eastAsia" w:ascii="Times New Roman" w:hAnsi="Times New Roman" w:eastAsia="仿宋_GB2312" w:cs="宋体"/>
          <w:color w:val="000000"/>
          <w:kern w:val="0"/>
          <w:sz w:val="24"/>
        </w:rPr>
        <w:t>REITs</w:t>
      </w:r>
      <w:r>
        <w:rPr>
          <w:rFonts w:hint="eastAsia" w:ascii="仿宋_GB2312" w:hAnsi="仿宋" w:eastAsia="仿宋_GB2312" w:cs="宋体"/>
          <w:color w:val="000000"/>
          <w:kern w:val="0"/>
          <w:sz w:val="24"/>
        </w:rPr>
        <w:t>产品特征及主要风险。普通投资者未签署《风险揭示书》的，基金管理人、证券公司等基金销售机构不得接受其认购或买入委托。</w:t>
      </w:r>
    </w:p>
    <w:p w14:paraId="0B4B038C">
      <w:pPr>
        <w:spacing w:line="360" w:lineRule="auto"/>
        <w:ind w:firstLine="569" w:firstLineChars="236"/>
        <w:rPr>
          <w:rFonts w:hint="eastAsia" w:ascii="仿宋_GB2312" w:hAnsi="仿宋" w:eastAsia="仿宋_GB2312" w:cs="宋体"/>
          <w:b/>
          <w:color w:val="000000"/>
          <w:kern w:val="0"/>
          <w:sz w:val="24"/>
        </w:rPr>
      </w:pPr>
      <w:r>
        <w:rPr>
          <w:rFonts w:hint="eastAsia" w:ascii="仿宋_GB2312" w:hAnsi="仿宋" w:eastAsia="仿宋_GB2312" w:cs="宋体"/>
          <w:b/>
          <w:color w:val="000000"/>
          <w:kern w:val="0"/>
          <w:sz w:val="24"/>
        </w:rPr>
        <w:t>转托管环节的风险揭示</w:t>
      </w:r>
    </w:p>
    <w:p w14:paraId="57D3C6FB">
      <w:pPr>
        <w:spacing w:line="360" w:lineRule="auto"/>
        <w:ind w:firstLine="566" w:firstLineChars="236"/>
        <w:rPr>
          <w:rFonts w:hint="eastAsia" w:ascii="仿宋_GB2312" w:hAnsi="仿宋" w:eastAsia="仿宋_GB2312" w:cs="宋体"/>
          <w:color w:val="000000"/>
          <w:kern w:val="0"/>
          <w:sz w:val="24"/>
        </w:rPr>
      </w:pPr>
      <w:r>
        <w:rPr>
          <w:rFonts w:hint="eastAsia" w:ascii="仿宋_GB2312" w:hAnsi="仿宋" w:eastAsia="仿宋_GB2312" w:cs="宋体"/>
          <w:color w:val="000000"/>
          <w:kern w:val="0"/>
          <w:sz w:val="24"/>
        </w:rPr>
        <w:t>普通投资者将场外</w:t>
      </w:r>
      <w:r>
        <w:rPr>
          <w:rFonts w:ascii="Times New Roman" w:hAnsi="Times New Roman" w:eastAsia="仿宋_GB2312" w:cs="宋体"/>
          <w:color w:val="000000"/>
          <w:kern w:val="0"/>
          <w:sz w:val="24"/>
        </w:rPr>
        <w:t>REITs</w:t>
      </w:r>
      <w:r>
        <w:rPr>
          <w:rFonts w:hint="eastAsia" w:ascii="仿宋_GB2312" w:hAnsi="仿宋" w:eastAsia="仿宋_GB2312" w:cs="宋体"/>
          <w:color w:val="000000"/>
          <w:kern w:val="0"/>
          <w:sz w:val="24"/>
        </w:rPr>
        <w:t>份额转托管至场内的，证券公司应当在转入场内后首次交易环节，确认投资者已了解</w:t>
      </w:r>
      <w:r>
        <w:rPr>
          <w:rFonts w:ascii="Times New Roman" w:hAnsi="Times New Roman" w:eastAsia="仿宋_GB2312" w:cs="宋体"/>
          <w:color w:val="000000"/>
          <w:kern w:val="0"/>
          <w:sz w:val="24"/>
        </w:rPr>
        <w:t>REITs</w:t>
      </w:r>
      <w:r>
        <w:rPr>
          <w:rFonts w:hint="eastAsia" w:ascii="仿宋_GB2312" w:hAnsi="仿宋" w:eastAsia="仿宋_GB2312" w:cs="宋体"/>
          <w:color w:val="000000"/>
          <w:kern w:val="0"/>
          <w:sz w:val="24"/>
        </w:rPr>
        <w:t>产品特征及主要风险。</w:t>
      </w:r>
    </w:p>
    <w:p w14:paraId="72858311">
      <w:pPr>
        <w:pStyle w:val="30"/>
        <w:numPr>
          <w:ilvl w:val="0"/>
          <w:numId w:val="65"/>
        </w:numPr>
        <w:ind w:firstLineChars="0"/>
        <w:outlineLvl w:val="2"/>
        <w:rPr>
          <w:rFonts w:hint="eastAsia" w:ascii="仿宋_GB2312" w:hAnsi="宋体" w:eastAsia="仿宋_GB2312"/>
          <w:b/>
          <w:sz w:val="28"/>
          <w:szCs w:val="28"/>
        </w:rPr>
      </w:pPr>
      <w:bookmarkStart w:id="910" w:name="_Toc65592416"/>
      <w:bookmarkStart w:id="911" w:name="_Toc1489611428"/>
      <w:bookmarkStart w:id="912" w:name="_Toc733405150"/>
      <w:bookmarkStart w:id="913" w:name="_Toc73986528"/>
      <w:bookmarkStart w:id="914" w:name="_Toc186068116"/>
      <w:bookmarkStart w:id="915" w:name="_Toc70604239"/>
      <w:bookmarkStart w:id="916" w:name="_Toc1464964427"/>
      <w:bookmarkStart w:id="917" w:name="_Toc1233545226"/>
      <w:bookmarkStart w:id="918" w:name="_Toc1077741169"/>
      <w:r>
        <w:rPr>
          <w:rFonts w:hint="eastAsia" w:ascii="仿宋_GB2312" w:hAnsi="宋体" w:eastAsia="仿宋_GB2312"/>
          <w:b/>
          <w:sz w:val="28"/>
          <w:szCs w:val="28"/>
        </w:rPr>
        <w:t>重要风险揭示</w:t>
      </w:r>
      <w:bookmarkEnd w:id="910"/>
      <w:bookmarkEnd w:id="911"/>
      <w:bookmarkEnd w:id="912"/>
      <w:bookmarkEnd w:id="913"/>
      <w:bookmarkEnd w:id="914"/>
      <w:bookmarkEnd w:id="915"/>
      <w:bookmarkEnd w:id="916"/>
      <w:bookmarkEnd w:id="917"/>
      <w:bookmarkEnd w:id="918"/>
    </w:p>
    <w:p w14:paraId="070214FF">
      <w:pPr>
        <w:spacing w:line="360" w:lineRule="auto"/>
        <w:ind w:firstLine="566" w:firstLineChars="236"/>
        <w:rPr>
          <w:rFonts w:hint="eastAsia" w:ascii="仿宋_GB2312" w:hAnsi="仿宋" w:eastAsia="仿宋_GB2312" w:cs="宋体"/>
          <w:color w:val="000000"/>
          <w:kern w:val="0"/>
          <w:sz w:val="24"/>
        </w:rPr>
      </w:pPr>
      <w:r>
        <w:rPr>
          <w:rFonts w:hint="eastAsia" w:ascii="仿宋_GB2312" w:hAnsi="仿宋" w:eastAsia="仿宋_GB2312" w:cs="宋体"/>
          <w:color w:val="000000"/>
          <w:kern w:val="0"/>
          <w:sz w:val="24"/>
        </w:rPr>
        <w:t>不动产项目涉及灭失风险、运营收入波动风险、不动产价格波动风险、关联交易、利益冲突风险和利益输送风险等重要风险的，基金管理人和资产支持证券管理人应当充分揭示风险，设置相应风险缓释措施，保障投资者权益。</w:t>
      </w:r>
    </w:p>
    <w:p w14:paraId="75EC2AD0">
      <w:pPr>
        <w:spacing w:line="360" w:lineRule="auto"/>
        <w:ind w:firstLine="566" w:firstLineChars="236"/>
        <w:rPr>
          <w:rFonts w:hint="eastAsia" w:ascii="仿宋_GB2312" w:hAnsi="仿宋" w:eastAsia="仿宋_GB2312" w:cs="宋体"/>
          <w:color w:val="000000"/>
          <w:kern w:val="0"/>
          <w:sz w:val="24"/>
        </w:rPr>
      </w:pPr>
    </w:p>
    <w:p w14:paraId="003365E7">
      <w:pPr>
        <w:pStyle w:val="30"/>
        <w:numPr>
          <w:ilvl w:val="0"/>
          <w:numId w:val="64"/>
        </w:numPr>
        <w:ind w:firstLineChars="0"/>
        <w:outlineLvl w:val="1"/>
        <w:rPr>
          <w:rFonts w:hint="eastAsia" w:ascii="黑体" w:hAnsi="黑体" w:eastAsia="黑体"/>
          <w:b/>
          <w:sz w:val="30"/>
          <w:szCs w:val="30"/>
        </w:rPr>
      </w:pPr>
      <w:bookmarkStart w:id="919" w:name="_Toc1906358920"/>
      <w:bookmarkStart w:id="920" w:name="_Toc1130603829"/>
      <w:bookmarkStart w:id="921" w:name="_Toc920448148"/>
      <w:bookmarkStart w:id="922" w:name="_Toc1195412176"/>
      <w:bookmarkStart w:id="923" w:name="_Toc550706565"/>
      <w:bookmarkStart w:id="924" w:name="_Toc70604240"/>
      <w:bookmarkStart w:id="925" w:name="_Toc65592417"/>
      <w:bookmarkStart w:id="926" w:name="_Toc2061955382"/>
      <w:bookmarkStart w:id="927" w:name="_Toc181095669"/>
      <w:r>
        <w:rPr>
          <w:rFonts w:hint="eastAsia" w:ascii="黑体" w:hAnsi="黑体" w:eastAsia="黑体"/>
          <w:b/>
          <w:sz w:val="30"/>
          <w:szCs w:val="30"/>
        </w:rPr>
        <w:t>投资风险教育</w:t>
      </w:r>
      <w:bookmarkEnd w:id="919"/>
      <w:bookmarkEnd w:id="920"/>
      <w:bookmarkEnd w:id="921"/>
      <w:bookmarkEnd w:id="922"/>
      <w:bookmarkEnd w:id="923"/>
      <w:bookmarkEnd w:id="924"/>
      <w:bookmarkEnd w:id="925"/>
      <w:bookmarkEnd w:id="926"/>
      <w:bookmarkEnd w:id="927"/>
    </w:p>
    <w:p w14:paraId="4ED8F79A">
      <w:pPr>
        <w:spacing w:line="360" w:lineRule="auto"/>
        <w:ind w:firstLine="566" w:firstLineChars="236"/>
        <w:rPr>
          <w:rFonts w:hint="eastAsia" w:ascii="仿宋_GB2312" w:hAnsi="仿宋" w:eastAsia="仿宋_GB2312" w:cs="宋体"/>
          <w:color w:val="000000"/>
          <w:kern w:val="0"/>
          <w:sz w:val="24"/>
        </w:rPr>
      </w:pPr>
      <w:r>
        <w:rPr>
          <w:rFonts w:hint="eastAsia" w:ascii="仿宋_GB2312" w:hAnsi="仿宋" w:eastAsia="仿宋_GB2312" w:cs="宋体"/>
          <w:color w:val="000000"/>
          <w:kern w:val="0"/>
          <w:sz w:val="24"/>
        </w:rPr>
        <w:t>基金管理人、证券公司等基金销售机构应当加强</w:t>
      </w:r>
      <w:r>
        <w:rPr>
          <w:rFonts w:hint="eastAsia" w:ascii="Times New Roman" w:hAnsi="Times New Roman" w:eastAsia="仿宋_GB2312" w:cs="宋体"/>
          <w:color w:val="000000"/>
          <w:kern w:val="0"/>
          <w:sz w:val="24"/>
        </w:rPr>
        <w:t>REITs</w:t>
      </w:r>
      <w:r>
        <w:rPr>
          <w:rFonts w:hint="eastAsia" w:ascii="仿宋_GB2312" w:hAnsi="仿宋" w:eastAsia="仿宋_GB2312" w:cs="宋体"/>
          <w:color w:val="000000"/>
          <w:kern w:val="0"/>
          <w:sz w:val="24"/>
        </w:rPr>
        <w:t>产品的投资者教育，引导投资者充分认识</w:t>
      </w:r>
      <w:r>
        <w:rPr>
          <w:rFonts w:hint="eastAsia" w:ascii="Times New Roman" w:hAnsi="Times New Roman" w:eastAsia="仿宋_GB2312" w:cs="宋体"/>
          <w:color w:val="000000"/>
          <w:kern w:val="0"/>
          <w:sz w:val="24"/>
        </w:rPr>
        <w:t>REITs</w:t>
      </w:r>
      <w:r>
        <w:rPr>
          <w:rFonts w:hint="eastAsia" w:ascii="仿宋_GB2312" w:hAnsi="仿宋" w:eastAsia="仿宋_GB2312" w:cs="宋体"/>
          <w:color w:val="000000"/>
          <w:kern w:val="0"/>
          <w:sz w:val="24"/>
        </w:rPr>
        <w:t>的风险特征。</w:t>
      </w:r>
    </w:p>
    <w:p w14:paraId="749FC0FC">
      <w:pPr>
        <w:spacing w:line="360" w:lineRule="auto"/>
        <w:ind w:firstLine="566" w:firstLineChars="236"/>
        <w:rPr>
          <w:rFonts w:hint="eastAsia" w:ascii="仿宋_GB2312" w:hAnsi="仿宋" w:eastAsia="仿宋_GB2312" w:cs="宋体"/>
          <w:color w:val="000000"/>
          <w:kern w:val="0"/>
          <w:sz w:val="24"/>
        </w:rPr>
      </w:pPr>
    </w:p>
    <w:p w14:paraId="2FBB7D4F">
      <w:pPr>
        <w:pStyle w:val="30"/>
        <w:numPr>
          <w:ilvl w:val="0"/>
          <w:numId w:val="64"/>
        </w:numPr>
        <w:ind w:firstLineChars="0"/>
        <w:outlineLvl w:val="1"/>
        <w:rPr>
          <w:rFonts w:hint="eastAsia" w:ascii="黑体" w:hAnsi="黑体" w:eastAsia="黑体"/>
          <w:b/>
          <w:sz w:val="30"/>
          <w:szCs w:val="30"/>
        </w:rPr>
      </w:pPr>
      <w:bookmarkStart w:id="928" w:name="_Toc1837994740"/>
      <w:bookmarkStart w:id="929" w:name="_Toc1471313477"/>
      <w:bookmarkStart w:id="930" w:name="_Toc70604241"/>
      <w:bookmarkStart w:id="931" w:name="_Toc1783411619"/>
      <w:bookmarkStart w:id="932" w:name="_Toc85174499"/>
      <w:bookmarkStart w:id="933" w:name="_Toc1045837502"/>
      <w:bookmarkStart w:id="934" w:name="_Toc1957678004"/>
      <w:bookmarkStart w:id="935" w:name="_Toc1021732054"/>
      <w:r>
        <w:rPr>
          <w:rFonts w:hint="eastAsia" w:ascii="黑体" w:hAnsi="黑体" w:eastAsia="黑体"/>
          <w:b/>
          <w:sz w:val="30"/>
          <w:szCs w:val="30"/>
        </w:rPr>
        <w:t>投资者回访机制</w:t>
      </w:r>
      <w:bookmarkEnd w:id="928"/>
      <w:bookmarkEnd w:id="929"/>
      <w:bookmarkEnd w:id="930"/>
      <w:bookmarkEnd w:id="931"/>
      <w:bookmarkEnd w:id="932"/>
      <w:bookmarkEnd w:id="933"/>
      <w:bookmarkEnd w:id="934"/>
      <w:bookmarkEnd w:id="935"/>
    </w:p>
    <w:p w14:paraId="46C2F99E">
      <w:pPr>
        <w:spacing w:line="360" w:lineRule="auto"/>
        <w:ind w:firstLine="566" w:firstLineChars="236"/>
        <w:rPr>
          <w:rFonts w:hint="eastAsia" w:ascii="仿宋_GB2312" w:hAnsi="仿宋" w:eastAsia="仿宋_GB2312" w:cs="宋体"/>
          <w:color w:val="000000"/>
          <w:kern w:val="0"/>
          <w:sz w:val="24"/>
        </w:rPr>
      </w:pPr>
      <w:r>
        <w:rPr>
          <w:rFonts w:hint="eastAsia" w:ascii="仿宋_GB2312" w:hAnsi="仿宋" w:eastAsia="仿宋_GB2312" w:cs="宋体"/>
          <w:color w:val="000000"/>
          <w:kern w:val="0"/>
          <w:sz w:val="24"/>
        </w:rPr>
        <w:t>基金管理人和证券公司等基金销售机构应当建立健全普通投资者回访制度，对购买</w:t>
      </w:r>
      <w:r>
        <w:rPr>
          <w:rFonts w:hint="eastAsia" w:ascii="Times New Roman" w:hAnsi="Times New Roman" w:eastAsia="仿宋_GB2312" w:cs="宋体"/>
          <w:color w:val="000000"/>
          <w:kern w:val="0"/>
          <w:sz w:val="24"/>
        </w:rPr>
        <w:t>REITs</w:t>
      </w:r>
      <w:r>
        <w:rPr>
          <w:rFonts w:hint="eastAsia" w:ascii="仿宋_GB2312" w:hAnsi="仿宋" w:eastAsia="仿宋_GB2312" w:cs="宋体"/>
          <w:color w:val="000000"/>
          <w:kern w:val="0"/>
          <w:sz w:val="24"/>
        </w:rPr>
        <w:t>产品或接受服务的普通投资者定期抽取一定比例进行回访，持续做好适当性管理工作。</w:t>
      </w:r>
    </w:p>
    <w:p w14:paraId="40EF0BE6">
      <w:pPr>
        <w:spacing w:line="360" w:lineRule="auto"/>
        <w:ind w:firstLine="566" w:firstLineChars="236"/>
        <w:rPr>
          <w:rFonts w:hint="eastAsia" w:ascii="仿宋_GB2312" w:hAnsi="仿宋" w:eastAsia="仿宋_GB2312" w:cs="宋体"/>
          <w:color w:val="000000"/>
          <w:kern w:val="0"/>
          <w:sz w:val="24"/>
        </w:rPr>
      </w:pPr>
    </w:p>
    <w:p w14:paraId="2DA846CE">
      <w:pPr>
        <w:spacing w:line="360" w:lineRule="auto"/>
        <w:ind w:firstLine="566" w:firstLineChars="236"/>
        <w:rPr>
          <w:rFonts w:hint="eastAsia" w:ascii="黑体" w:hAnsi="黑体" w:eastAsia="黑体"/>
          <w:b/>
          <w:sz w:val="30"/>
          <w:szCs w:val="30"/>
        </w:rPr>
      </w:pPr>
      <w:r>
        <w:rPr>
          <w:rFonts w:ascii="仿宋_GB2312" w:hAnsi="仿宋" w:eastAsia="仿宋_GB2312" w:cs="宋体"/>
          <w:color w:val="000000"/>
          <w:kern w:val="0"/>
          <w:sz w:val="24"/>
        </w:rPr>
        <w:br w:type="page"/>
      </w:r>
    </w:p>
    <w:p w14:paraId="2BB114EB">
      <w:pPr>
        <w:pStyle w:val="13"/>
        <w:snapToGrid w:val="0"/>
        <w:spacing w:before="0" w:beforeAutospacing="0" w:after="0" w:afterAutospacing="0" w:line="360" w:lineRule="auto"/>
        <w:jc w:val="center"/>
        <w:outlineLvl w:val="0"/>
        <w:rPr>
          <w:rFonts w:hint="eastAsia" w:ascii="黑体" w:hAnsi="黑体" w:eastAsia="黑体"/>
          <w:b/>
          <w:sz w:val="32"/>
          <w:szCs w:val="32"/>
        </w:rPr>
      </w:pPr>
      <w:bookmarkStart w:id="936" w:name="_Toc63093574"/>
      <w:bookmarkEnd w:id="936"/>
      <w:bookmarkStart w:id="937" w:name="_Toc63093474"/>
      <w:bookmarkEnd w:id="937"/>
      <w:bookmarkStart w:id="938" w:name="_Toc63093499"/>
      <w:bookmarkEnd w:id="938"/>
      <w:bookmarkStart w:id="939" w:name="_Toc63093560"/>
      <w:bookmarkEnd w:id="939"/>
      <w:bookmarkStart w:id="940" w:name="_Toc63093520"/>
      <w:bookmarkEnd w:id="940"/>
      <w:bookmarkStart w:id="941" w:name="_Toc63093544"/>
      <w:bookmarkEnd w:id="941"/>
      <w:bookmarkStart w:id="942" w:name="_Toc63093509"/>
      <w:bookmarkEnd w:id="942"/>
      <w:bookmarkStart w:id="943" w:name="_Toc63093517"/>
      <w:bookmarkEnd w:id="943"/>
      <w:bookmarkStart w:id="944" w:name="_Toc63093537"/>
      <w:bookmarkEnd w:id="944"/>
      <w:bookmarkStart w:id="945" w:name="_Toc63093689"/>
      <w:bookmarkEnd w:id="945"/>
      <w:bookmarkStart w:id="946" w:name="_Toc63093583"/>
      <w:bookmarkEnd w:id="946"/>
      <w:bookmarkStart w:id="947" w:name="_Toc63093599"/>
      <w:bookmarkEnd w:id="947"/>
      <w:bookmarkStart w:id="948" w:name="_Toc63093486"/>
      <w:bookmarkEnd w:id="948"/>
      <w:bookmarkStart w:id="949" w:name="_Toc63093636"/>
      <w:bookmarkEnd w:id="949"/>
      <w:bookmarkStart w:id="950" w:name="_Toc63093621"/>
      <w:bookmarkEnd w:id="950"/>
      <w:bookmarkStart w:id="951" w:name="_Toc63093485"/>
      <w:bookmarkEnd w:id="951"/>
      <w:bookmarkStart w:id="952" w:name="_Toc63093624"/>
      <w:bookmarkEnd w:id="952"/>
      <w:bookmarkStart w:id="953" w:name="_Toc63093477"/>
      <w:bookmarkEnd w:id="953"/>
      <w:bookmarkStart w:id="954" w:name="_Toc63093677"/>
      <w:bookmarkEnd w:id="954"/>
      <w:bookmarkStart w:id="955" w:name="_Toc63093681"/>
      <w:bookmarkEnd w:id="955"/>
      <w:bookmarkStart w:id="956" w:name="_Toc63093456"/>
      <w:bookmarkEnd w:id="956"/>
      <w:bookmarkStart w:id="957" w:name="_Toc63093669"/>
      <w:bookmarkEnd w:id="957"/>
      <w:bookmarkStart w:id="958" w:name="_Toc63093664"/>
      <w:bookmarkEnd w:id="958"/>
      <w:bookmarkStart w:id="959" w:name="_Toc63093625"/>
      <w:bookmarkEnd w:id="959"/>
      <w:bookmarkStart w:id="960" w:name="_Toc63093679"/>
      <w:bookmarkEnd w:id="960"/>
      <w:bookmarkStart w:id="961" w:name="_Toc63093673"/>
      <w:bookmarkEnd w:id="961"/>
      <w:bookmarkStart w:id="962" w:name="_Toc63093526"/>
      <w:bookmarkEnd w:id="962"/>
      <w:bookmarkStart w:id="963" w:name="_Toc63093640"/>
      <w:bookmarkEnd w:id="963"/>
      <w:bookmarkStart w:id="964" w:name="_Toc63093452"/>
      <w:bookmarkEnd w:id="964"/>
      <w:bookmarkStart w:id="965" w:name="_Toc63093678"/>
      <w:bookmarkEnd w:id="965"/>
      <w:bookmarkStart w:id="966" w:name="_Toc63093523"/>
      <w:bookmarkEnd w:id="966"/>
      <w:bookmarkStart w:id="967" w:name="_Toc59627915"/>
      <w:bookmarkEnd w:id="967"/>
      <w:bookmarkStart w:id="968" w:name="_Toc63093408"/>
      <w:bookmarkEnd w:id="968"/>
      <w:bookmarkStart w:id="969" w:name="_Toc62822266"/>
      <w:bookmarkEnd w:id="969"/>
      <w:bookmarkStart w:id="970" w:name="_Toc63093597"/>
      <w:bookmarkEnd w:id="970"/>
      <w:bookmarkStart w:id="971" w:name="_Toc63093482"/>
      <w:bookmarkEnd w:id="971"/>
      <w:bookmarkStart w:id="972" w:name="_Toc63093602"/>
      <w:bookmarkEnd w:id="972"/>
      <w:bookmarkStart w:id="973" w:name="_Toc63093475"/>
      <w:bookmarkEnd w:id="973"/>
      <w:bookmarkStart w:id="974" w:name="_Toc63093610"/>
      <w:bookmarkEnd w:id="974"/>
      <w:bookmarkStart w:id="975" w:name="_Toc63093514"/>
      <w:bookmarkEnd w:id="975"/>
      <w:bookmarkStart w:id="976" w:name="_Toc63093684"/>
      <w:bookmarkEnd w:id="976"/>
      <w:bookmarkStart w:id="977" w:name="_Toc63093552"/>
      <w:bookmarkEnd w:id="977"/>
      <w:bookmarkStart w:id="978" w:name="_Toc63093680"/>
      <w:bookmarkEnd w:id="978"/>
      <w:bookmarkStart w:id="979" w:name="_Toc63093530"/>
      <w:bookmarkEnd w:id="979"/>
      <w:bookmarkStart w:id="980" w:name="_Toc63093612"/>
      <w:bookmarkEnd w:id="980"/>
      <w:bookmarkStart w:id="981" w:name="_Toc63093479"/>
      <w:bookmarkEnd w:id="981"/>
      <w:bookmarkStart w:id="982" w:name="_Toc63093587"/>
      <w:bookmarkEnd w:id="982"/>
      <w:bookmarkStart w:id="983" w:name="_Toc63093579"/>
      <w:bookmarkEnd w:id="983"/>
      <w:bookmarkStart w:id="984" w:name="_Toc63093596"/>
      <w:bookmarkEnd w:id="984"/>
      <w:bookmarkStart w:id="985" w:name="_Toc63093547"/>
      <w:bookmarkEnd w:id="985"/>
      <w:bookmarkStart w:id="986" w:name="_Toc63093539"/>
      <w:bookmarkEnd w:id="986"/>
      <w:bookmarkStart w:id="987" w:name="_Toc62822056"/>
      <w:bookmarkEnd w:id="987"/>
      <w:bookmarkStart w:id="988" w:name="_Toc63093661"/>
      <w:bookmarkEnd w:id="988"/>
      <w:bookmarkStart w:id="989" w:name="_Toc63093615"/>
      <w:bookmarkEnd w:id="989"/>
      <w:bookmarkStart w:id="990" w:name="_Toc63093424"/>
      <w:bookmarkEnd w:id="990"/>
      <w:bookmarkStart w:id="991" w:name="_Toc63093472"/>
      <w:bookmarkEnd w:id="991"/>
      <w:bookmarkStart w:id="992" w:name="_Toc63093432"/>
      <w:bookmarkEnd w:id="992"/>
      <w:bookmarkStart w:id="993" w:name="_Toc63093620"/>
      <w:bookmarkEnd w:id="993"/>
      <w:bookmarkStart w:id="994" w:name="_Toc63093493"/>
      <w:bookmarkEnd w:id="994"/>
      <w:bookmarkStart w:id="995" w:name="_Toc63093417"/>
      <w:bookmarkEnd w:id="995"/>
      <w:bookmarkStart w:id="996" w:name="_Toc63093572"/>
      <w:bookmarkEnd w:id="996"/>
      <w:bookmarkStart w:id="997" w:name="_Toc63093418"/>
      <w:bookmarkEnd w:id="997"/>
      <w:bookmarkStart w:id="998" w:name="_Toc63093437"/>
      <w:bookmarkEnd w:id="998"/>
      <w:bookmarkStart w:id="999" w:name="_Toc59627913"/>
      <w:bookmarkEnd w:id="999"/>
      <w:bookmarkStart w:id="1000" w:name="_Toc63093575"/>
      <w:bookmarkEnd w:id="1000"/>
      <w:bookmarkStart w:id="1001" w:name="_Toc63093690"/>
      <w:bookmarkEnd w:id="1001"/>
      <w:bookmarkStart w:id="1002" w:name="_Toc63093660"/>
      <w:bookmarkEnd w:id="1002"/>
      <w:bookmarkStart w:id="1003" w:name="_Toc63093501"/>
      <w:bookmarkEnd w:id="1003"/>
      <w:bookmarkStart w:id="1004" w:name="_Toc63093440"/>
      <w:bookmarkEnd w:id="1004"/>
      <w:bookmarkStart w:id="1005" w:name="_Toc63093564"/>
      <w:bookmarkEnd w:id="1005"/>
      <w:bookmarkStart w:id="1006" w:name="_Toc63093600"/>
      <w:bookmarkEnd w:id="1006"/>
      <w:bookmarkStart w:id="1007" w:name="_Toc59629109"/>
      <w:bookmarkEnd w:id="1007"/>
      <w:bookmarkStart w:id="1008" w:name="_Toc63093535"/>
      <w:bookmarkEnd w:id="1008"/>
      <w:bookmarkStart w:id="1009" w:name="_Toc63093434"/>
      <w:bookmarkEnd w:id="1009"/>
      <w:bookmarkStart w:id="1010" w:name="_Toc63093483"/>
      <w:bookmarkEnd w:id="1010"/>
      <w:bookmarkStart w:id="1011" w:name="_Toc59627916"/>
      <w:bookmarkEnd w:id="1011"/>
      <w:bookmarkStart w:id="1012" w:name="_Toc63093511"/>
      <w:bookmarkEnd w:id="1012"/>
      <w:bookmarkStart w:id="1013" w:name="_Toc62821983"/>
      <w:bookmarkEnd w:id="1013"/>
      <w:bookmarkStart w:id="1014" w:name="_Toc63093453"/>
      <w:bookmarkEnd w:id="1014"/>
      <w:bookmarkStart w:id="1015" w:name="_Toc63093616"/>
      <w:bookmarkEnd w:id="1015"/>
      <w:bookmarkStart w:id="1016" w:name="_Toc63093682"/>
      <w:bookmarkEnd w:id="1016"/>
      <w:bookmarkStart w:id="1017" w:name="_Toc63093556"/>
      <w:bookmarkEnd w:id="1017"/>
      <w:bookmarkStart w:id="1018" w:name="_Toc63093631"/>
      <w:bookmarkEnd w:id="1018"/>
      <w:bookmarkStart w:id="1019" w:name="_Toc63093665"/>
      <w:bookmarkEnd w:id="1019"/>
      <w:bookmarkStart w:id="1020" w:name="_Toc63093425"/>
      <w:bookmarkEnd w:id="1020"/>
      <w:bookmarkStart w:id="1021" w:name="_Toc63093604"/>
      <w:bookmarkEnd w:id="1021"/>
      <w:bookmarkStart w:id="1022" w:name="_Toc63093536"/>
      <w:bookmarkEnd w:id="1022"/>
      <w:bookmarkStart w:id="1023" w:name="_Toc63093420"/>
      <w:bookmarkEnd w:id="1023"/>
      <w:bookmarkStart w:id="1024" w:name="_Toc63093415"/>
      <w:bookmarkEnd w:id="1024"/>
      <w:bookmarkStart w:id="1025" w:name="_Toc63093541"/>
      <w:bookmarkEnd w:id="1025"/>
      <w:bookmarkStart w:id="1026" w:name="_Toc63093608"/>
      <w:bookmarkEnd w:id="1026"/>
      <w:bookmarkStart w:id="1027" w:name="_Toc63093548"/>
      <w:bookmarkEnd w:id="1027"/>
      <w:bookmarkStart w:id="1028" w:name="_Toc63093609"/>
      <w:bookmarkEnd w:id="1028"/>
      <w:bookmarkStart w:id="1029" w:name="_Toc63093515"/>
      <w:bookmarkEnd w:id="1029"/>
      <w:bookmarkStart w:id="1030" w:name="_Toc63093428"/>
      <w:bookmarkEnd w:id="1030"/>
      <w:bookmarkStart w:id="1031" w:name="_Toc63093469"/>
      <w:bookmarkEnd w:id="1031"/>
      <w:bookmarkStart w:id="1032" w:name="_Toc63093622"/>
      <w:bookmarkEnd w:id="1032"/>
      <w:bookmarkStart w:id="1033" w:name="_Toc63093666"/>
      <w:bookmarkEnd w:id="1033"/>
      <w:bookmarkStart w:id="1034" w:name="_Toc62822197"/>
      <w:bookmarkEnd w:id="1034"/>
      <w:bookmarkStart w:id="1035" w:name="_Toc63093410"/>
      <w:bookmarkEnd w:id="1035"/>
      <w:bookmarkStart w:id="1036" w:name="_Toc63093533"/>
      <w:bookmarkEnd w:id="1036"/>
      <w:bookmarkStart w:id="1037" w:name="_Toc59627983"/>
      <w:bookmarkEnd w:id="1037"/>
      <w:bookmarkStart w:id="1038" w:name="_Toc63093591"/>
      <w:bookmarkEnd w:id="1038"/>
      <w:bookmarkStart w:id="1039" w:name="_Toc62764576"/>
      <w:bookmarkEnd w:id="1039"/>
      <w:bookmarkStart w:id="1040" w:name="_Toc63093569"/>
      <w:bookmarkEnd w:id="1040"/>
      <w:bookmarkStart w:id="1041" w:name="_Toc63093442"/>
      <w:bookmarkEnd w:id="1041"/>
      <w:bookmarkStart w:id="1042" w:name="_Toc63093468"/>
      <w:bookmarkEnd w:id="1042"/>
      <w:bookmarkStart w:id="1043" w:name="_Toc63093436"/>
      <w:bookmarkEnd w:id="1043"/>
      <w:bookmarkStart w:id="1044" w:name="_Toc63093413"/>
      <w:bookmarkEnd w:id="1044"/>
      <w:bookmarkStart w:id="1045" w:name="_Toc63093632"/>
      <w:bookmarkEnd w:id="1045"/>
      <w:bookmarkStart w:id="1046" w:name="_Toc63093693"/>
      <w:bookmarkEnd w:id="1046"/>
      <w:bookmarkStart w:id="1047" w:name="_Toc63093645"/>
      <w:bookmarkEnd w:id="1047"/>
      <w:bookmarkStart w:id="1048" w:name="_Toc63093459"/>
      <w:bookmarkEnd w:id="1048"/>
      <w:bookmarkStart w:id="1049" w:name="_Toc63093409"/>
      <w:bookmarkEnd w:id="1049"/>
      <w:bookmarkStart w:id="1050" w:name="_Toc63093450"/>
      <w:bookmarkEnd w:id="1050"/>
      <w:bookmarkStart w:id="1051" w:name="_Toc63093507"/>
      <w:bookmarkEnd w:id="1051"/>
      <w:bookmarkStart w:id="1052" w:name="_Toc63093642"/>
      <w:bookmarkEnd w:id="1052"/>
      <w:bookmarkStart w:id="1053" w:name="_Toc63093593"/>
      <w:bookmarkEnd w:id="1053"/>
      <w:bookmarkStart w:id="1054" w:name="_Toc62764575"/>
      <w:bookmarkEnd w:id="1054"/>
      <w:bookmarkStart w:id="1055" w:name="_Toc63093414"/>
      <w:bookmarkEnd w:id="1055"/>
      <w:bookmarkStart w:id="1056" w:name="_Toc63093573"/>
      <w:bookmarkEnd w:id="1056"/>
      <w:bookmarkStart w:id="1057" w:name="_Toc63093567"/>
      <w:bookmarkEnd w:id="1057"/>
      <w:bookmarkStart w:id="1058" w:name="_Toc63093464"/>
      <w:bookmarkEnd w:id="1058"/>
      <w:bookmarkStart w:id="1059" w:name="_Toc63093505"/>
      <w:bookmarkEnd w:id="1059"/>
      <w:bookmarkStart w:id="1060" w:name="_Toc63093500"/>
      <w:bookmarkEnd w:id="1060"/>
      <w:bookmarkStart w:id="1061" w:name="_Toc63093580"/>
      <w:bookmarkEnd w:id="1061"/>
      <w:bookmarkStart w:id="1062" w:name="_Toc63093423"/>
      <w:bookmarkEnd w:id="1062"/>
      <w:bookmarkStart w:id="1063" w:name="_Toc62821986"/>
      <w:bookmarkEnd w:id="1063"/>
      <w:bookmarkStart w:id="1064" w:name="_Toc63093435"/>
      <w:bookmarkEnd w:id="1064"/>
      <w:bookmarkStart w:id="1065" w:name="_Toc63093495"/>
      <w:bookmarkEnd w:id="1065"/>
      <w:bookmarkStart w:id="1066" w:name="_Toc62822195"/>
      <w:bookmarkEnd w:id="1066"/>
      <w:bookmarkStart w:id="1067" w:name="_Toc63093667"/>
      <w:bookmarkEnd w:id="1067"/>
      <w:bookmarkStart w:id="1068" w:name="_Toc62822124"/>
      <w:bookmarkEnd w:id="1068"/>
      <w:bookmarkStart w:id="1069" w:name="_Toc63093658"/>
      <w:bookmarkEnd w:id="1069"/>
      <w:bookmarkStart w:id="1070" w:name="_Toc63093668"/>
      <w:bookmarkEnd w:id="1070"/>
      <w:bookmarkStart w:id="1071" w:name="_Toc63093457"/>
      <w:bookmarkEnd w:id="1071"/>
      <w:bookmarkStart w:id="1072" w:name="_Toc63093644"/>
      <w:bookmarkEnd w:id="1072"/>
      <w:bookmarkStart w:id="1073" w:name="_Toc63093555"/>
      <w:bookmarkEnd w:id="1073"/>
      <w:bookmarkStart w:id="1074" w:name="_Toc63093613"/>
      <w:bookmarkEnd w:id="1074"/>
      <w:bookmarkStart w:id="1075" w:name="_Toc63093545"/>
      <w:bookmarkEnd w:id="1075"/>
      <w:bookmarkStart w:id="1076" w:name="_Toc63093471"/>
      <w:bookmarkEnd w:id="1076"/>
      <w:bookmarkStart w:id="1077" w:name="_Toc63093628"/>
      <w:bookmarkEnd w:id="1077"/>
      <w:bookmarkStart w:id="1078" w:name="_Toc63093443"/>
      <w:bookmarkEnd w:id="1078"/>
      <w:bookmarkStart w:id="1079" w:name="_Toc63093531"/>
      <w:bookmarkEnd w:id="1079"/>
      <w:bookmarkStart w:id="1080" w:name="_Toc63093598"/>
      <w:bookmarkEnd w:id="1080"/>
      <w:bookmarkStart w:id="1081" w:name="_Toc63093525"/>
      <w:bookmarkEnd w:id="1081"/>
      <w:bookmarkStart w:id="1082" w:name="_Toc63093429"/>
      <w:bookmarkEnd w:id="1082"/>
      <w:bookmarkStart w:id="1083" w:name="_Toc63093528"/>
      <w:bookmarkEnd w:id="1083"/>
      <w:bookmarkStart w:id="1084" w:name="_Toc63093648"/>
      <w:bookmarkEnd w:id="1084"/>
      <w:bookmarkStart w:id="1085" w:name="_Toc63093506"/>
      <w:bookmarkEnd w:id="1085"/>
      <w:bookmarkStart w:id="1086" w:name="_Toc63093411"/>
      <w:bookmarkEnd w:id="1086"/>
      <w:bookmarkStart w:id="1087" w:name="_Toc63093503"/>
      <w:bookmarkEnd w:id="1087"/>
      <w:bookmarkStart w:id="1088" w:name="_Toc63093638"/>
      <w:bookmarkEnd w:id="1088"/>
      <w:bookmarkStart w:id="1089" w:name="_Toc63093594"/>
      <w:bookmarkEnd w:id="1089"/>
      <w:bookmarkStart w:id="1090" w:name="_Toc63093694"/>
      <w:bookmarkEnd w:id="1090"/>
      <w:bookmarkStart w:id="1091" w:name="_Toc63093412"/>
      <w:bookmarkEnd w:id="1091"/>
      <w:bookmarkStart w:id="1092" w:name="_Toc63093676"/>
      <w:bookmarkEnd w:id="1092"/>
      <w:bookmarkStart w:id="1093" w:name="_Toc63093543"/>
      <w:bookmarkEnd w:id="1093"/>
      <w:bookmarkStart w:id="1094" w:name="_Toc63093527"/>
      <w:bookmarkEnd w:id="1094"/>
      <w:bookmarkStart w:id="1095" w:name="_Toc63093438"/>
      <w:bookmarkEnd w:id="1095"/>
      <w:bookmarkStart w:id="1096" w:name="_Toc63093562"/>
      <w:bookmarkEnd w:id="1096"/>
      <w:bookmarkStart w:id="1097" w:name="_Toc62822269"/>
      <w:bookmarkEnd w:id="1097"/>
      <w:bookmarkStart w:id="1098" w:name="_Toc63093611"/>
      <w:bookmarkEnd w:id="1098"/>
      <w:bookmarkStart w:id="1099" w:name="_Toc63093455"/>
      <w:bookmarkEnd w:id="1099"/>
      <w:bookmarkStart w:id="1100" w:name="_Toc59627456"/>
      <w:bookmarkEnd w:id="1100"/>
      <w:bookmarkStart w:id="1101" w:name="_Toc63093448"/>
      <w:bookmarkEnd w:id="1101"/>
      <w:bookmarkStart w:id="1102" w:name="_Toc63093491"/>
      <w:bookmarkEnd w:id="1102"/>
      <w:bookmarkStart w:id="1103" w:name="_Toc63093662"/>
      <w:bookmarkEnd w:id="1103"/>
      <w:bookmarkStart w:id="1104" w:name="_Toc62808404"/>
      <w:bookmarkEnd w:id="1104"/>
      <w:bookmarkStart w:id="1105" w:name="_Toc63093489"/>
      <w:bookmarkEnd w:id="1105"/>
      <w:bookmarkStart w:id="1106" w:name="_Toc63093639"/>
      <w:bookmarkEnd w:id="1106"/>
      <w:bookmarkStart w:id="1107" w:name="_Toc63093476"/>
      <w:bookmarkEnd w:id="1107"/>
      <w:bookmarkStart w:id="1108" w:name="_Toc63093496"/>
      <w:bookmarkEnd w:id="1108"/>
      <w:bookmarkStart w:id="1109" w:name="_Toc63093538"/>
      <w:bookmarkEnd w:id="1109"/>
      <w:bookmarkStart w:id="1110" w:name="_Toc63093582"/>
      <w:bookmarkEnd w:id="1110"/>
      <w:bookmarkStart w:id="1111" w:name="_Toc63093461"/>
      <w:bookmarkEnd w:id="1111"/>
      <w:bookmarkStart w:id="1112" w:name="_Toc63093458"/>
      <w:bookmarkEnd w:id="1112"/>
      <w:bookmarkStart w:id="1113" w:name="_Toc63093540"/>
      <w:bookmarkEnd w:id="1113"/>
      <w:bookmarkStart w:id="1114" w:name="_Toc63093659"/>
      <w:bookmarkEnd w:id="1114"/>
      <w:bookmarkStart w:id="1115" w:name="_Toc63093529"/>
      <w:bookmarkEnd w:id="1115"/>
      <w:bookmarkStart w:id="1116" w:name="_Toc63093578"/>
      <w:bookmarkEnd w:id="1116"/>
      <w:bookmarkStart w:id="1117" w:name="_Toc62822198"/>
      <w:bookmarkEnd w:id="1117"/>
      <w:bookmarkStart w:id="1118" w:name="_Toc63093430"/>
      <w:bookmarkEnd w:id="1118"/>
      <w:bookmarkStart w:id="1119" w:name="_Toc63093653"/>
      <w:bookmarkEnd w:id="1119"/>
      <w:bookmarkStart w:id="1120" w:name="_Toc63093497"/>
      <w:bookmarkEnd w:id="1120"/>
      <w:bookmarkStart w:id="1121" w:name="_Toc63093478"/>
      <w:bookmarkEnd w:id="1121"/>
      <w:bookmarkStart w:id="1122" w:name="_Toc63093605"/>
      <w:bookmarkEnd w:id="1122"/>
      <w:bookmarkStart w:id="1123" w:name="_Toc63093546"/>
      <w:bookmarkEnd w:id="1123"/>
      <w:bookmarkStart w:id="1124" w:name="_Toc63093446"/>
      <w:bookmarkEnd w:id="1124"/>
      <w:bookmarkStart w:id="1125" w:name="_Toc63093532"/>
      <w:bookmarkEnd w:id="1125"/>
      <w:bookmarkStart w:id="1126" w:name="_Toc63093651"/>
      <w:bookmarkEnd w:id="1126"/>
      <w:bookmarkStart w:id="1127" w:name="_Toc63093643"/>
      <w:bookmarkEnd w:id="1127"/>
      <w:bookmarkStart w:id="1128" w:name="_Toc63093504"/>
      <w:bookmarkEnd w:id="1128"/>
      <w:bookmarkStart w:id="1129" w:name="_Toc63093447"/>
      <w:bookmarkEnd w:id="1129"/>
      <w:bookmarkStart w:id="1130" w:name="_Toc62822055"/>
      <w:bookmarkEnd w:id="1130"/>
      <w:bookmarkStart w:id="1131" w:name="_Toc63093685"/>
      <w:bookmarkEnd w:id="1131"/>
      <w:bookmarkStart w:id="1132" w:name="_Toc62822053"/>
      <w:bookmarkEnd w:id="1132"/>
      <w:bookmarkStart w:id="1133" w:name="_Toc63093465"/>
      <w:bookmarkEnd w:id="1133"/>
      <w:bookmarkStart w:id="1134" w:name="_Toc63093488"/>
      <w:bookmarkEnd w:id="1134"/>
      <w:bookmarkStart w:id="1135" w:name="_Toc63093633"/>
      <w:bookmarkEnd w:id="1135"/>
      <w:bookmarkStart w:id="1136" w:name="_Toc63093629"/>
      <w:bookmarkEnd w:id="1136"/>
      <w:bookmarkStart w:id="1137" w:name="_Toc63093487"/>
      <w:bookmarkEnd w:id="1137"/>
      <w:bookmarkStart w:id="1138" w:name="_Toc63093650"/>
      <w:bookmarkEnd w:id="1138"/>
      <w:bookmarkStart w:id="1139" w:name="_Toc63093637"/>
      <w:bookmarkEnd w:id="1139"/>
      <w:bookmarkStart w:id="1140" w:name="_Toc63093619"/>
      <w:bookmarkEnd w:id="1140"/>
      <w:bookmarkStart w:id="1141" w:name="_Toc63093603"/>
      <w:bookmarkEnd w:id="1141"/>
      <w:bookmarkStart w:id="1142" w:name="_Toc63093470"/>
      <w:bookmarkEnd w:id="1142"/>
      <w:bookmarkStart w:id="1143" w:name="_Toc63093656"/>
      <w:bookmarkEnd w:id="1143"/>
      <w:bookmarkStart w:id="1144" w:name="_Toc63093451"/>
      <w:bookmarkEnd w:id="1144"/>
      <w:bookmarkStart w:id="1145" w:name="_Toc63093444"/>
      <w:bookmarkEnd w:id="1145"/>
      <w:bookmarkStart w:id="1146" w:name="_Toc62822126"/>
      <w:bookmarkEnd w:id="1146"/>
      <w:bookmarkStart w:id="1147" w:name="_Toc59629107"/>
      <w:bookmarkEnd w:id="1147"/>
      <w:bookmarkStart w:id="1148" w:name="_Toc63093586"/>
      <w:bookmarkEnd w:id="1148"/>
      <w:bookmarkStart w:id="1149" w:name="_Toc63093421"/>
      <w:bookmarkEnd w:id="1149"/>
      <w:bookmarkStart w:id="1150" w:name="_Toc63093549"/>
      <w:bookmarkEnd w:id="1150"/>
      <w:bookmarkStart w:id="1151" w:name="_Toc63093521"/>
      <w:bookmarkEnd w:id="1151"/>
      <w:bookmarkStart w:id="1152" w:name="_Toc63093617"/>
      <w:bookmarkEnd w:id="1152"/>
      <w:bookmarkStart w:id="1153" w:name="_Toc63093484"/>
      <w:bookmarkEnd w:id="1153"/>
      <w:bookmarkStart w:id="1154" w:name="_Toc63093467"/>
      <w:bookmarkEnd w:id="1154"/>
      <w:bookmarkStart w:id="1155" w:name="_Toc63093647"/>
      <w:bookmarkEnd w:id="1155"/>
      <w:bookmarkStart w:id="1156" w:name="_Toc63093674"/>
      <w:bookmarkEnd w:id="1156"/>
      <w:bookmarkStart w:id="1157" w:name="_Toc63093687"/>
      <w:bookmarkEnd w:id="1157"/>
      <w:bookmarkStart w:id="1158" w:name="_Toc63093561"/>
      <w:bookmarkEnd w:id="1158"/>
      <w:bookmarkStart w:id="1159" w:name="_Toc63093462"/>
      <w:bookmarkEnd w:id="1159"/>
      <w:bookmarkStart w:id="1160" w:name="_Toc63093558"/>
      <w:bookmarkEnd w:id="1160"/>
      <w:bookmarkStart w:id="1161" w:name="_Toc63093449"/>
      <w:bookmarkEnd w:id="1161"/>
      <w:bookmarkStart w:id="1162" w:name="_Toc59629110"/>
      <w:bookmarkEnd w:id="1162"/>
      <w:bookmarkStart w:id="1163" w:name="_Toc63093568"/>
      <w:bookmarkEnd w:id="1163"/>
      <w:bookmarkStart w:id="1164" w:name="_Toc63093518"/>
      <w:bookmarkEnd w:id="1164"/>
      <w:bookmarkStart w:id="1165" w:name="_Toc63093559"/>
      <w:bookmarkEnd w:id="1165"/>
      <w:bookmarkStart w:id="1166" w:name="_Toc63093571"/>
      <w:bookmarkEnd w:id="1166"/>
      <w:bookmarkStart w:id="1167" w:name="_Toc63093445"/>
      <w:bookmarkEnd w:id="1167"/>
      <w:bookmarkStart w:id="1168" w:name="_Toc63093534"/>
      <w:bookmarkEnd w:id="1168"/>
      <w:bookmarkStart w:id="1169" w:name="_Toc63093563"/>
      <w:bookmarkEnd w:id="1169"/>
      <w:bookmarkStart w:id="1170" w:name="_Toc63093671"/>
      <w:bookmarkEnd w:id="1170"/>
      <w:bookmarkStart w:id="1171" w:name="_Toc63093607"/>
      <w:bookmarkEnd w:id="1171"/>
      <w:bookmarkStart w:id="1172" w:name="_Toc63093441"/>
      <w:bookmarkEnd w:id="1172"/>
      <w:bookmarkStart w:id="1173" w:name="_Toc62764573"/>
      <w:bookmarkEnd w:id="1173"/>
      <w:bookmarkStart w:id="1174" w:name="_Toc62821985"/>
      <w:bookmarkEnd w:id="1174"/>
      <w:bookmarkStart w:id="1175" w:name="_Toc63093692"/>
      <w:bookmarkEnd w:id="1175"/>
      <w:bookmarkStart w:id="1176" w:name="_Toc63093683"/>
      <w:bookmarkEnd w:id="1176"/>
      <w:bookmarkStart w:id="1177" w:name="_Toc63093480"/>
      <w:bookmarkEnd w:id="1177"/>
      <w:bookmarkStart w:id="1178" w:name="_Toc63093463"/>
      <w:bookmarkEnd w:id="1178"/>
      <w:bookmarkStart w:id="1179" w:name="_Toc63093584"/>
      <w:bookmarkEnd w:id="1179"/>
      <w:bookmarkStart w:id="1180" w:name="_Toc63093422"/>
      <w:bookmarkEnd w:id="1180"/>
      <w:bookmarkStart w:id="1181" w:name="_Toc63093551"/>
      <w:bookmarkEnd w:id="1181"/>
      <w:bookmarkStart w:id="1182" w:name="_Toc63093670"/>
      <w:bookmarkEnd w:id="1182"/>
      <w:bookmarkStart w:id="1183" w:name="_Toc59627981"/>
      <w:bookmarkEnd w:id="1183"/>
      <w:bookmarkStart w:id="1184" w:name="_Toc59627455"/>
      <w:bookmarkEnd w:id="1184"/>
      <w:bookmarkStart w:id="1185" w:name="_Toc63093691"/>
      <w:bookmarkEnd w:id="1185"/>
      <w:bookmarkStart w:id="1186" w:name="_Toc63093663"/>
      <w:bookmarkEnd w:id="1186"/>
      <w:bookmarkStart w:id="1187" w:name="_Toc63093439"/>
      <w:bookmarkEnd w:id="1187"/>
      <w:bookmarkStart w:id="1188" w:name="_Toc63093433"/>
      <w:bookmarkEnd w:id="1188"/>
      <w:bookmarkStart w:id="1189" w:name="_Toc63093566"/>
      <w:bookmarkEnd w:id="1189"/>
      <w:bookmarkStart w:id="1190" w:name="_Toc63093522"/>
      <w:bookmarkEnd w:id="1190"/>
      <w:bookmarkStart w:id="1191" w:name="_Toc63093557"/>
      <w:bookmarkEnd w:id="1191"/>
      <w:bookmarkStart w:id="1192" w:name="_Toc63093646"/>
      <w:bookmarkEnd w:id="1192"/>
      <w:bookmarkStart w:id="1193" w:name="_Toc63093589"/>
      <w:bookmarkEnd w:id="1193"/>
      <w:bookmarkStart w:id="1194" w:name="_Toc62808407"/>
      <w:bookmarkEnd w:id="1194"/>
      <w:bookmarkStart w:id="1195" w:name="_Toc63093416"/>
      <w:bookmarkEnd w:id="1195"/>
      <w:bookmarkStart w:id="1196" w:name="_Toc63093623"/>
      <w:bookmarkEnd w:id="1196"/>
      <w:bookmarkStart w:id="1197" w:name="_Toc63093513"/>
      <w:bookmarkEnd w:id="1197"/>
      <w:bookmarkStart w:id="1198" w:name="_Toc63093614"/>
      <w:bookmarkEnd w:id="1198"/>
      <w:bookmarkStart w:id="1199" w:name="_Toc63093516"/>
      <w:bookmarkEnd w:id="1199"/>
      <w:bookmarkStart w:id="1200" w:name="_Toc63093431"/>
      <w:bookmarkEnd w:id="1200"/>
      <w:bookmarkStart w:id="1201" w:name="_Toc63093627"/>
      <w:bookmarkEnd w:id="1201"/>
      <w:bookmarkStart w:id="1202" w:name="_Toc63093606"/>
      <w:bookmarkEnd w:id="1202"/>
      <w:bookmarkStart w:id="1203" w:name="_Toc63093595"/>
      <w:bookmarkEnd w:id="1203"/>
      <w:bookmarkStart w:id="1204" w:name="_Toc63093510"/>
      <w:bookmarkEnd w:id="1204"/>
      <w:bookmarkStart w:id="1205" w:name="_Toc62808406"/>
      <w:bookmarkEnd w:id="1205"/>
      <w:bookmarkStart w:id="1206" w:name="_Toc63093473"/>
      <w:bookmarkEnd w:id="1206"/>
      <w:bookmarkStart w:id="1207" w:name="_Toc63093652"/>
      <w:bookmarkEnd w:id="1207"/>
      <w:bookmarkStart w:id="1208" w:name="_Toc63093508"/>
      <w:bookmarkEnd w:id="1208"/>
      <w:bookmarkStart w:id="1209" w:name="_Toc63093512"/>
      <w:bookmarkEnd w:id="1209"/>
      <w:bookmarkStart w:id="1210" w:name="_Toc63093618"/>
      <w:bookmarkEnd w:id="1210"/>
      <w:bookmarkStart w:id="1211" w:name="_Toc63093550"/>
      <w:bookmarkEnd w:id="1211"/>
      <w:bookmarkStart w:id="1212" w:name="_Toc63093481"/>
      <w:bookmarkEnd w:id="1212"/>
      <w:bookmarkStart w:id="1213" w:name="_Toc63093542"/>
      <w:bookmarkEnd w:id="1213"/>
      <w:bookmarkStart w:id="1214" w:name="_Toc62822127"/>
      <w:bookmarkEnd w:id="1214"/>
      <w:bookmarkStart w:id="1215" w:name="_Toc63093581"/>
      <w:bookmarkEnd w:id="1215"/>
      <w:bookmarkStart w:id="1216" w:name="_Toc62822268"/>
      <w:bookmarkEnd w:id="1216"/>
      <w:bookmarkStart w:id="1217" w:name="_Toc63093686"/>
      <w:bookmarkEnd w:id="1217"/>
      <w:bookmarkStart w:id="1218" w:name="_Toc63093654"/>
      <w:bookmarkEnd w:id="1218"/>
      <w:bookmarkStart w:id="1219" w:name="_Toc63093554"/>
      <w:bookmarkEnd w:id="1219"/>
      <w:bookmarkStart w:id="1220" w:name="_Toc63093427"/>
      <w:bookmarkEnd w:id="1220"/>
      <w:bookmarkStart w:id="1221" w:name="_Toc63093553"/>
      <w:bookmarkEnd w:id="1221"/>
      <w:bookmarkStart w:id="1222" w:name="_Toc63093519"/>
      <w:bookmarkEnd w:id="1222"/>
      <w:bookmarkStart w:id="1223" w:name="_Toc63093502"/>
      <w:bookmarkEnd w:id="1223"/>
      <w:bookmarkStart w:id="1224" w:name="_Toc63093490"/>
      <w:bookmarkEnd w:id="1224"/>
      <w:bookmarkStart w:id="1225" w:name="_Toc63093657"/>
      <w:bookmarkEnd w:id="1225"/>
      <w:bookmarkStart w:id="1226" w:name="_Toc63093524"/>
      <w:bookmarkEnd w:id="1226"/>
      <w:bookmarkStart w:id="1227" w:name="_Toc63093641"/>
      <w:bookmarkEnd w:id="1227"/>
      <w:bookmarkStart w:id="1228" w:name="_Toc63093460"/>
      <w:bookmarkEnd w:id="1228"/>
      <w:bookmarkStart w:id="1229" w:name="_Toc63093675"/>
      <w:bookmarkEnd w:id="1229"/>
      <w:bookmarkStart w:id="1230" w:name="_Toc63093498"/>
      <w:bookmarkEnd w:id="1230"/>
      <w:bookmarkStart w:id="1231" w:name="_Toc63093590"/>
      <w:bookmarkEnd w:id="1231"/>
      <w:bookmarkStart w:id="1232" w:name="_Toc63093655"/>
      <w:bookmarkEnd w:id="1232"/>
      <w:bookmarkStart w:id="1233" w:name="_Toc63093570"/>
      <w:bookmarkEnd w:id="1233"/>
      <w:bookmarkStart w:id="1234" w:name="_Toc63093577"/>
      <w:bookmarkEnd w:id="1234"/>
      <w:bookmarkStart w:id="1235" w:name="_Toc63093494"/>
      <w:bookmarkEnd w:id="1235"/>
      <w:bookmarkStart w:id="1236" w:name="_Toc63093419"/>
      <w:bookmarkEnd w:id="1236"/>
      <w:bookmarkStart w:id="1237" w:name="_Toc63093426"/>
      <w:bookmarkEnd w:id="1237"/>
      <w:bookmarkStart w:id="1238" w:name="_Toc63093672"/>
      <w:bookmarkEnd w:id="1238"/>
      <w:bookmarkStart w:id="1239" w:name="_Toc63093585"/>
      <w:bookmarkEnd w:id="1239"/>
      <w:bookmarkStart w:id="1240" w:name="_Toc63093454"/>
      <w:bookmarkEnd w:id="1240"/>
      <w:bookmarkStart w:id="1241" w:name="_Toc63093626"/>
      <w:bookmarkEnd w:id="1241"/>
      <w:bookmarkStart w:id="1242" w:name="_Toc63093634"/>
      <w:bookmarkEnd w:id="1242"/>
      <w:bookmarkStart w:id="1243" w:name="_Toc63093601"/>
      <w:bookmarkEnd w:id="1243"/>
      <w:bookmarkStart w:id="1244" w:name="_Toc63093492"/>
      <w:bookmarkEnd w:id="1244"/>
      <w:bookmarkStart w:id="1245" w:name="_Toc63093466"/>
      <w:bookmarkEnd w:id="1245"/>
      <w:bookmarkStart w:id="1246" w:name="_Toc63093649"/>
      <w:bookmarkEnd w:id="1246"/>
      <w:bookmarkStart w:id="1247" w:name="_Toc63093635"/>
      <w:bookmarkEnd w:id="1247"/>
      <w:bookmarkStart w:id="1248" w:name="_Toc63093565"/>
      <w:bookmarkEnd w:id="1248"/>
      <w:bookmarkStart w:id="1249" w:name="_Toc63093630"/>
      <w:bookmarkEnd w:id="1249"/>
      <w:bookmarkStart w:id="1250" w:name="_Toc59627984"/>
      <w:bookmarkEnd w:id="1250"/>
      <w:bookmarkStart w:id="1251" w:name="_Toc63093588"/>
      <w:bookmarkEnd w:id="1251"/>
      <w:bookmarkStart w:id="1252" w:name="_Toc63093592"/>
      <w:bookmarkEnd w:id="1252"/>
      <w:bookmarkStart w:id="1253" w:name="_Toc63093688"/>
      <w:bookmarkEnd w:id="1253"/>
      <w:bookmarkStart w:id="1254" w:name="_Toc63093576"/>
      <w:bookmarkEnd w:id="1254"/>
      <w:bookmarkStart w:id="1255" w:name="_Toc1299063514"/>
      <w:bookmarkStart w:id="1256" w:name="_Toc65181440"/>
      <w:bookmarkStart w:id="1257" w:name="_Toc12266"/>
      <w:bookmarkStart w:id="1258" w:name="_Toc1899296898"/>
      <w:bookmarkStart w:id="1259" w:name="_Toc29569"/>
      <w:bookmarkStart w:id="1260" w:name="_Toc10812"/>
      <w:bookmarkStart w:id="1261" w:name="_Toc1997768160"/>
      <w:bookmarkStart w:id="1262" w:name="_Toc14946"/>
      <w:bookmarkStart w:id="1263" w:name="_Toc351204246"/>
      <w:bookmarkStart w:id="1264" w:name="_Toc22888"/>
      <w:bookmarkStart w:id="1265" w:name="_Toc31100"/>
      <w:bookmarkStart w:id="1266" w:name="_Toc2370"/>
      <w:bookmarkStart w:id="1267" w:name="_Toc1868641851"/>
      <w:bookmarkStart w:id="1268" w:name="_Toc12148"/>
      <w:bookmarkStart w:id="1269" w:name="_Toc11313"/>
      <w:bookmarkStart w:id="1270" w:name="_Toc22766"/>
      <w:bookmarkStart w:id="1271" w:name="_Toc11549"/>
      <w:bookmarkStart w:id="1272" w:name="_Toc292965561"/>
      <w:bookmarkStart w:id="1273" w:name="_Toc22508"/>
      <w:bookmarkStart w:id="1274" w:name="_Toc1568188664"/>
      <w:bookmarkStart w:id="1275" w:name="_Toc18329"/>
      <w:bookmarkStart w:id="1276" w:name="_Toc7033"/>
      <w:bookmarkStart w:id="1277" w:name="_Toc27047"/>
      <w:bookmarkStart w:id="1278" w:name="_Toc16099"/>
      <w:bookmarkStart w:id="1279" w:name="_Toc70604242"/>
      <w:r>
        <w:rPr>
          <w:rFonts w:hint="eastAsia" w:ascii="黑体" w:hAnsi="黑体" w:eastAsia="黑体"/>
          <w:b/>
          <w:sz w:val="32"/>
          <w:szCs w:val="32"/>
        </w:rPr>
        <w:t>第五章  模板及附件</w:t>
      </w:r>
      <w:bookmarkEnd w:id="1255"/>
      <w:bookmarkEnd w:id="1256"/>
      <w:bookmarkEnd w:id="1257"/>
      <w:bookmarkEnd w:id="1258"/>
      <w:bookmarkEnd w:id="1259"/>
      <w:bookmarkEnd w:id="1260"/>
      <w:bookmarkEnd w:id="1261"/>
      <w:bookmarkEnd w:id="1262"/>
      <w:bookmarkEnd w:id="1263"/>
      <w:bookmarkEnd w:id="1264"/>
      <w:bookmarkEnd w:id="1265"/>
      <w:bookmarkEnd w:id="1266"/>
      <w:bookmarkEnd w:id="1267"/>
      <w:bookmarkEnd w:id="1268"/>
      <w:bookmarkEnd w:id="1269"/>
      <w:bookmarkEnd w:id="1270"/>
      <w:bookmarkEnd w:id="1271"/>
      <w:bookmarkEnd w:id="1272"/>
      <w:bookmarkEnd w:id="1273"/>
      <w:bookmarkEnd w:id="1274"/>
      <w:bookmarkEnd w:id="1275"/>
      <w:bookmarkEnd w:id="1276"/>
      <w:bookmarkEnd w:id="1277"/>
      <w:bookmarkEnd w:id="1278"/>
      <w:bookmarkEnd w:id="1279"/>
    </w:p>
    <w:p w14:paraId="437C4B2B">
      <w:pPr>
        <w:pStyle w:val="30"/>
        <w:numPr>
          <w:ilvl w:val="0"/>
          <w:numId w:val="66"/>
        </w:numPr>
        <w:spacing w:line="360" w:lineRule="auto"/>
        <w:ind w:firstLineChars="0"/>
        <w:outlineLvl w:val="1"/>
        <w:rPr>
          <w:rFonts w:hint="eastAsia" w:ascii="黑体" w:hAnsi="黑体" w:eastAsia="黑体"/>
          <w:b/>
          <w:sz w:val="24"/>
          <w:szCs w:val="24"/>
        </w:rPr>
      </w:pPr>
      <w:bookmarkStart w:id="1280" w:name="_Toc23565318"/>
      <w:bookmarkStart w:id="1281" w:name="_Toc296170016"/>
      <w:bookmarkStart w:id="1282" w:name="_Toc417098800"/>
      <w:bookmarkStart w:id="1283" w:name="_Toc1881123361"/>
      <w:bookmarkStart w:id="1284" w:name="_Toc884871301"/>
      <w:bookmarkStart w:id="1285" w:name="_Toc695814691"/>
      <w:bookmarkStart w:id="1286" w:name="_Toc70604243"/>
      <w:bookmarkStart w:id="1287" w:name="_Toc1423654727"/>
      <w:bookmarkStart w:id="1288" w:name="_Toc28450"/>
      <w:bookmarkStart w:id="1289" w:name="_Toc65181441"/>
      <w:bookmarkStart w:id="1290" w:name="_Toc62990981"/>
      <w:r>
        <w:rPr>
          <w:rFonts w:hint="eastAsia" w:ascii="黑体" w:hAnsi="黑体" w:eastAsia="黑体"/>
          <w:b/>
          <w:sz w:val="32"/>
          <w:szCs w:val="32"/>
        </w:rPr>
        <w:t>业务文件模板</w:t>
      </w:r>
      <w:bookmarkEnd w:id="1280"/>
      <w:bookmarkEnd w:id="1281"/>
      <w:bookmarkEnd w:id="1282"/>
      <w:bookmarkEnd w:id="1283"/>
      <w:bookmarkEnd w:id="1284"/>
      <w:bookmarkEnd w:id="1285"/>
      <w:bookmarkEnd w:id="1286"/>
      <w:bookmarkEnd w:id="1287"/>
    </w:p>
    <w:p w14:paraId="125C9B9F">
      <w:pPr>
        <w:spacing w:line="360" w:lineRule="auto"/>
        <w:outlineLvl w:val="2"/>
        <w:rPr>
          <w:rFonts w:hint="eastAsia" w:ascii="宋体" w:hAnsi="宋体"/>
          <w:b/>
          <w:sz w:val="24"/>
          <w:szCs w:val="24"/>
        </w:rPr>
      </w:pPr>
      <w:bookmarkStart w:id="1291" w:name="_Toc70604244"/>
      <w:bookmarkStart w:id="1292" w:name="_Toc897146108"/>
      <w:bookmarkStart w:id="1293" w:name="_Toc151513440"/>
      <w:bookmarkStart w:id="1294" w:name="_Toc1912783296"/>
      <w:bookmarkStart w:id="1295" w:name="_Toc1583155224"/>
      <w:bookmarkStart w:id="1296" w:name="_Toc119817166"/>
      <w:bookmarkStart w:id="1297" w:name="_Toc1277351646"/>
      <w:bookmarkStart w:id="1298" w:name="_Toc946239780"/>
      <w:r>
        <w:rPr>
          <w:rFonts w:hint="eastAsia" w:ascii="宋体" w:hAnsi="宋体"/>
          <w:b/>
          <w:sz w:val="24"/>
          <w:szCs w:val="24"/>
        </w:rPr>
        <w:t>附件</w:t>
      </w:r>
      <w:r>
        <w:rPr>
          <w:rFonts w:hint="eastAsia" w:ascii="Times New Roman" w:hAnsi="Times New Roman"/>
          <w:b/>
          <w:sz w:val="24"/>
          <w:szCs w:val="24"/>
        </w:rPr>
        <w:t>1</w:t>
      </w:r>
      <w:r>
        <w:rPr>
          <w:rFonts w:hint="eastAsia" w:ascii="宋体" w:hAnsi="宋体"/>
          <w:b/>
          <w:sz w:val="24"/>
          <w:szCs w:val="24"/>
        </w:rPr>
        <w:t>-</w:t>
      </w:r>
      <w:r>
        <w:rPr>
          <w:rFonts w:hint="eastAsia" w:ascii="Times New Roman" w:hAnsi="Times New Roman"/>
          <w:b/>
          <w:sz w:val="24"/>
          <w:szCs w:val="24"/>
        </w:rPr>
        <w:t>1</w:t>
      </w:r>
      <w:r>
        <w:rPr>
          <w:rFonts w:hint="eastAsia" w:ascii="宋体" w:hAnsi="宋体"/>
          <w:b/>
          <w:sz w:val="24"/>
          <w:szCs w:val="24"/>
        </w:rPr>
        <w:t>：申请机构出具的业务办理授权书</w:t>
      </w:r>
      <w:bookmarkEnd w:id="1288"/>
      <w:bookmarkEnd w:id="1289"/>
      <w:bookmarkEnd w:id="1290"/>
      <w:bookmarkEnd w:id="1291"/>
      <w:bookmarkEnd w:id="1292"/>
      <w:bookmarkEnd w:id="1293"/>
      <w:bookmarkEnd w:id="1294"/>
      <w:bookmarkEnd w:id="1295"/>
      <w:bookmarkEnd w:id="1296"/>
      <w:bookmarkEnd w:id="1297"/>
      <w:bookmarkEnd w:id="1298"/>
    </w:p>
    <w:p w14:paraId="05CAE4ED">
      <w:pPr>
        <w:spacing w:before="156" w:beforeLines="50" w:after="156" w:afterLines="50"/>
        <w:jc w:val="center"/>
        <w:rPr>
          <w:rFonts w:hint="eastAsia" w:ascii="宋体" w:hAnsi="宋体"/>
          <w:b/>
          <w:sz w:val="24"/>
          <w:szCs w:val="24"/>
        </w:rPr>
      </w:pPr>
      <w:r>
        <w:rPr>
          <w:rFonts w:hint="eastAsia" w:ascii="Times New Roman" w:hAnsi="Times New Roman"/>
          <w:b/>
          <w:sz w:val="24"/>
          <w:szCs w:val="24"/>
        </w:rPr>
        <w:t>REITs</w:t>
      </w:r>
      <w:r>
        <w:rPr>
          <w:rFonts w:hint="eastAsia" w:ascii="宋体" w:hAnsi="宋体"/>
          <w:b/>
          <w:sz w:val="24"/>
          <w:szCs w:val="24"/>
        </w:rPr>
        <w:t>询价平台发行人证书开通业务授权书</w:t>
      </w:r>
    </w:p>
    <w:p w14:paraId="53BD1A7C">
      <w:pPr>
        <w:spacing w:line="312" w:lineRule="auto"/>
        <w:rPr>
          <w:rFonts w:hint="eastAsia" w:ascii="仿宋_GB2312" w:hAnsi="仿宋" w:eastAsia="仿宋_GB2312"/>
          <w:sz w:val="24"/>
          <w:szCs w:val="24"/>
        </w:rPr>
      </w:pPr>
      <w:r>
        <w:rPr>
          <w:rFonts w:hint="eastAsia" w:ascii="仿宋_GB2312" w:hAnsi="仿宋" w:eastAsia="仿宋_GB2312"/>
          <w:sz w:val="24"/>
          <w:szCs w:val="24"/>
        </w:rPr>
        <w:t>上交所、</w:t>
      </w:r>
      <w:r>
        <w:rPr>
          <w:rFonts w:hint="eastAsia" w:ascii="Times New Roman" w:hAnsi="Times New Roman" w:eastAsia="仿宋_GB2312"/>
          <w:sz w:val="24"/>
          <w:szCs w:val="24"/>
        </w:rPr>
        <w:t>CA</w:t>
      </w:r>
      <w:r>
        <w:rPr>
          <w:rFonts w:hint="eastAsia" w:ascii="仿宋_GB2312" w:hAnsi="仿宋" w:eastAsia="仿宋_GB2312"/>
          <w:sz w:val="24"/>
          <w:szCs w:val="24"/>
        </w:rPr>
        <w:t>中心：</w:t>
      </w:r>
    </w:p>
    <w:p w14:paraId="18ADDE57">
      <w:pPr>
        <w:spacing w:line="312" w:lineRule="auto"/>
        <w:ind w:firstLine="480" w:firstLineChars="200"/>
        <w:rPr>
          <w:rFonts w:hint="eastAsia" w:ascii="仿宋_GB2312" w:hAnsi="仿宋" w:eastAsia="仿宋_GB2312"/>
          <w:sz w:val="24"/>
          <w:szCs w:val="24"/>
        </w:rPr>
      </w:pPr>
      <w:r>
        <w:rPr>
          <w:rFonts w:hint="eastAsia" w:ascii="仿宋_GB2312" w:hAnsi="仿宋" w:eastAsia="仿宋_GB2312"/>
          <w:sz w:val="24"/>
          <w:szCs w:val="24"/>
        </w:rPr>
        <w:t>为便于我司</w:t>
      </w:r>
      <w:r>
        <w:rPr>
          <w:rFonts w:hint="eastAsia" w:ascii="Times New Roman" w:hAnsi="Times New Roman" w:eastAsia="仿宋_GB2312"/>
          <w:sz w:val="24"/>
          <w:szCs w:val="24"/>
        </w:rPr>
        <w:t>REITs</w:t>
      </w:r>
      <w:r>
        <w:rPr>
          <w:rFonts w:hint="eastAsia" w:ascii="仿宋_GB2312" w:hAnsi="仿宋" w:eastAsia="仿宋_GB2312"/>
          <w:sz w:val="24"/>
          <w:szCs w:val="24"/>
        </w:rPr>
        <w:t>业务开展，现授权我司</w:t>
      </w:r>
      <w:r>
        <w:rPr>
          <w:rFonts w:hint="eastAsia" w:ascii="仿宋_GB2312" w:hAnsi="仿宋" w:eastAsia="仿宋_GB2312"/>
          <w:sz w:val="24"/>
          <w:szCs w:val="24"/>
          <w:u w:val="single"/>
        </w:rPr>
        <w:t xml:space="preserve">           </w:t>
      </w:r>
      <w:r>
        <w:rPr>
          <w:rFonts w:hint="eastAsia" w:ascii="仿宋_GB2312" w:hAnsi="仿宋" w:eastAsia="仿宋_GB2312"/>
          <w:sz w:val="24"/>
          <w:szCs w:val="24"/>
        </w:rPr>
        <w:t>部门</w:t>
      </w:r>
      <w:r>
        <w:rPr>
          <w:rFonts w:hint="eastAsia" w:ascii="仿宋_GB2312" w:hAnsi="仿宋" w:eastAsia="仿宋_GB2312"/>
          <w:sz w:val="24"/>
          <w:szCs w:val="24"/>
          <w:u w:val="single"/>
        </w:rPr>
        <w:t xml:space="preserve">      </w:t>
      </w:r>
      <w:r>
        <w:rPr>
          <w:rFonts w:hint="eastAsia" w:ascii="仿宋_GB2312" w:hAnsi="仿宋" w:eastAsia="仿宋_GB2312"/>
          <w:sz w:val="24"/>
          <w:szCs w:val="24"/>
        </w:rPr>
        <w:t>（姓名）办理贵所</w:t>
      </w:r>
      <w:r>
        <w:rPr>
          <w:rFonts w:hint="eastAsia" w:ascii="Times New Roman" w:hAnsi="Times New Roman" w:eastAsia="仿宋_GB2312"/>
          <w:sz w:val="24"/>
          <w:szCs w:val="24"/>
        </w:rPr>
        <w:t>REITs</w:t>
      </w:r>
      <w:r>
        <w:rPr>
          <w:rFonts w:hint="eastAsia" w:ascii="仿宋_GB2312" w:hAnsi="仿宋" w:eastAsia="仿宋_GB2312"/>
          <w:sz w:val="24"/>
          <w:szCs w:val="24"/>
        </w:rPr>
        <w:t>询价平台发行人证书开通业务。在业务受理期间，该被授权人仅代表我司处理</w:t>
      </w:r>
      <w:r>
        <w:rPr>
          <w:rFonts w:hint="eastAsia" w:ascii="Times New Roman" w:hAnsi="Times New Roman" w:eastAsia="仿宋_GB2312"/>
          <w:sz w:val="24"/>
          <w:szCs w:val="24"/>
        </w:rPr>
        <w:t>REITs</w:t>
      </w:r>
      <w:r>
        <w:rPr>
          <w:rFonts w:hint="eastAsia" w:ascii="仿宋_GB2312" w:hAnsi="仿宋" w:eastAsia="仿宋_GB2312"/>
          <w:sz w:val="24"/>
          <w:szCs w:val="24"/>
        </w:rPr>
        <w:t>询价平台发行人证书开通业务相关事宜，其行为具有法律效力，我司予以认可并承担相应法律后果及法律责任。</w:t>
      </w:r>
    </w:p>
    <w:p w14:paraId="61377A88">
      <w:pPr>
        <w:spacing w:line="312" w:lineRule="auto"/>
        <w:ind w:firstLine="480" w:firstLineChars="200"/>
        <w:rPr>
          <w:rFonts w:hint="eastAsia" w:ascii="仿宋_GB2312" w:hAnsi="仿宋" w:eastAsia="仿宋_GB2312"/>
          <w:sz w:val="24"/>
          <w:szCs w:val="24"/>
        </w:rPr>
      </w:pPr>
      <w:r>
        <w:rPr>
          <w:rFonts w:hint="eastAsia" w:ascii="仿宋_GB2312" w:hAnsi="仿宋" w:eastAsia="仿宋_GB2312"/>
          <w:sz w:val="24"/>
          <w:szCs w:val="24"/>
        </w:rPr>
        <w:t>被授权人无权转让授权。特此授权。</w:t>
      </w:r>
    </w:p>
    <w:p w14:paraId="2864A5D3">
      <w:pPr>
        <w:spacing w:line="312" w:lineRule="auto"/>
        <w:ind w:firstLine="480" w:firstLineChars="200"/>
        <w:rPr>
          <w:rFonts w:hint="eastAsia" w:ascii="仿宋_GB2312" w:hAnsi="仿宋" w:eastAsia="仿宋_GB2312"/>
          <w:sz w:val="24"/>
          <w:szCs w:val="24"/>
        </w:rPr>
      </w:pPr>
    </w:p>
    <w:p w14:paraId="383A5124">
      <w:pPr>
        <w:spacing w:line="312" w:lineRule="auto"/>
        <w:ind w:firstLine="480" w:firstLineChars="200"/>
        <w:rPr>
          <w:rFonts w:hint="eastAsia" w:ascii="仿宋_GB2312" w:hAnsi="仿宋" w:eastAsia="仿宋_GB2312"/>
          <w:sz w:val="24"/>
          <w:szCs w:val="24"/>
        </w:rPr>
      </w:pPr>
      <w:r>
        <w:rPr>
          <w:rFonts w:hint="eastAsia" w:ascii="仿宋_GB2312" w:hAnsi="仿宋" w:eastAsia="仿宋_GB2312"/>
          <w:sz w:val="24"/>
          <w:szCs w:val="24"/>
        </w:rPr>
        <w:t>被授权人签名：</w:t>
      </w:r>
    </w:p>
    <w:p w14:paraId="3047A27A">
      <w:pPr>
        <w:spacing w:line="312" w:lineRule="auto"/>
        <w:ind w:firstLine="480" w:firstLineChars="200"/>
        <w:rPr>
          <w:rFonts w:hint="eastAsia" w:ascii="仿宋_GB2312" w:hAnsi="仿宋" w:eastAsia="仿宋_GB2312"/>
          <w:sz w:val="24"/>
          <w:szCs w:val="24"/>
        </w:rPr>
      </w:pPr>
      <w:r>
        <w:rPr>
          <w:rFonts w:hint="eastAsia" w:ascii="仿宋_GB2312" w:hAnsi="仿宋" w:eastAsia="仿宋_GB2312"/>
          <w:sz w:val="24"/>
          <w:szCs w:val="24"/>
        </w:rPr>
        <w:t>部门：        职务：</w:t>
      </w:r>
    </w:p>
    <w:p w14:paraId="4730F856">
      <w:pPr>
        <w:spacing w:line="312" w:lineRule="auto"/>
        <w:ind w:firstLine="480" w:firstLineChars="200"/>
        <w:rPr>
          <w:rFonts w:hint="eastAsia" w:ascii="仿宋_GB2312" w:hAnsi="仿宋" w:eastAsia="仿宋_GB2312"/>
          <w:sz w:val="24"/>
          <w:szCs w:val="24"/>
        </w:rPr>
      </w:pPr>
      <w:r>
        <w:rPr>
          <w:rFonts w:hint="eastAsia" w:ascii="仿宋_GB2312" w:hAnsi="仿宋" w:eastAsia="仿宋_GB2312"/>
          <w:sz w:val="24"/>
          <w:szCs w:val="24"/>
        </w:rPr>
        <w:t>身份证件号（请与身份证明一致）：</w:t>
      </w:r>
    </w:p>
    <w:p w14:paraId="3CB3E92A">
      <w:pPr>
        <w:spacing w:line="312" w:lineRule="auto"/>
        <w:ind w:firstLine="480" w:firstLineChars="200"/>
        <w:rPr>
          <w:rFonts w:hint="eastAsia" w:ascii="仿宋_GB2312" w:hAnsi="仿宋" w:eastAsia="仿宋_GB2312"/>
          <w:sz w:val="24"/>
          <w:szCs w:val="24"/>
        </w:rPr>
      </w:pPr>
      <w:r>
        <w:rPr>
          <w:rFonts w:hint="eastAsia" w:ascii="仿宋_GB2312" w:hAnsi="仿宋" w:eastAsia="仿宋_GB2312"/>
          <w:sz w:val="24"/>
          <w:szCs w:val="24"/>
        </w:rPr>
        <w:t>日期：   年  月  日</w:t>
      </w:r>
    </w:p>
    <w:p w14:paraId="5D04B5A4">
      <w:pPr>
        <w:spacing w:line="312" w:lineRule="auto"/>
        <w:ind w:firstLine="480" w:firstLineChars="200"/>
        <w:rPr>
          <w:rFonts w:hint="eastAsia" w:ascii="仿宋_GB2312" w:hAnsi="仿宋" w:eastAsia="仿宋_GB2312"/>
          <w:sz w:val="24"/>
          <w:szCs w:val="24"/>
        </w:rPr>
      </w:pPr>
    </w:p>
    <w:p w14:paraId="18B93610">
      <w:pPr>
        <w:spacing w:line="312" w:lineRule="auto"/>
        <w:ind w:firstLine="480" w:firstLineChars="200"/>
        <w:rPr>
          <w:rFonts w:hint="eastAsia" w:ascii="仿宋_GB2312" w:hAnsi="仿宋" w:eastAsia="仿宋_GB2312"/>
          <w:sz w:val="24"/>
          <w:szCs w:val="24"/>
        </w:rPr>
      </w:pPr>
      <w:r>
        <w:rPr>
          <w:rFonts w:hint="eastAsia" w:ascii="仿宋_GB2312" w:hAnsi="仿宋" w:eastAsia="仿宋_GB2312"/>
          <w:sz w:val="24"/>
          <w:szCs w:val="24"/>
          <w:u w:val="single"/>
        </w:rPr>
        <w:t xml:space="preserve">                </w:t>
      </w:r>
      <w:r>
        <w:rPr>
          <w:rFonts w:hint="eastAsia" w:ascii="仿宋_GB2312" w:hAnsi="仿宋" w:eastAsia="仿宋_GB2312"/>
          <w:sz w:val="24"/>
          <w:szCs w:val="24"/>
        </w:rPr>
        <w:t>公司盖章：</w:t>
      </w:r>
    </w:p>
    <w:p w14:paraId="145BC35B">
      <w:pPr>
        <w:spacing w:line="312" w:lineRule="auto"/>
        <w:ind w:firstLine="480" w:firstLineChars="200"/>
        <w:rPr>
          <w:rFonts w:hint="eastAsia" w:ascii="仿宋_GB2312" w:hAnsi="仿宋" w:eastAsia="仿宋_GB2312"/>
          <w:sz w:val="24"/>
          <w:szCs w:val="24"/>
        </w:rPr>
      </w:pPr>
      <w:r>
        <w:rPr>
          <w:rFonts w:hint="eastAsia" w:ascii="仿宋_GB2312" w:hAnsi="仿宋" w:eastAsia="仿宋_GB2312"/>
          <w:sz w:val="24"/>
          <w:szCs w:val="24"/>
        </w:rPr>
        <w:t>法定代表人：    （签字或盖章）</w:t>
      </w:r>
    </w:p>
    <w:p w14:paraId="1F622EBC">
      <w:pPr>
        <w:spacing w:line="312" w:lineRule="auto"/>
        <w:ind w:firstLine="480" w:firstLineChars="200"/>
        <w:rPr>
          <w:rFonts w:hint="eastAsia" w:ascii="仿宋_GB2312" w:hAnsi="仿宋" w:eastAsia="仿宋_GB2312"/>
          <w:sz w:val="24"/>
          <w:szCs w:val="24"/>
        </w:rPr>
      </w:pPr>
      <w:r>
        <w:rPr>
          <w:rFonts w:hint="eastAsia" w:ascii="仿宋_GB2312" w:hAnsi="仿宋" w:eastAsia="仿宋_GB2312"/>
          <w:sz w:val="24"/>
          <w:szCs w:val="24"/>
        </w:rPr>
        <w:t>授权委托日期：    年  月  日</w:t>
      </w:r>
    </w:p>
    <w:p w14:paraId="14A7B060">
      <w:pPr>
        <w:rPr>
          <w:rFonts w:hint="eastAsia" w:ascii="仿宋_GB2312" w:hAnsi="仿宋" w:eastAsia="仿宋_GB2312"/>
          <w:sz w:val="24"/>
          <w:szCs w:val="24"/>
        </w:rPr>
      </w:pPr>
    </w:p>
    <w:p w14:paraId="002610B2">
      <w:pPr>
        <w:spacing w:line="312" w:lineRule="auto"/>
        <w:jc w:val="right"/>
        <w:rPr>
          <w:rFonts w:hint="eastAsia" w:ascii="仿宋_GB2312" w:hAnsi="仿宋" w:eastAsia="仿宋_GB2312"/>
          <w:sz w:val="24"/>
          <w:szCs w:val="24"/>
        </w:rPr>
      </w:pPr>
    </w:p>
    <w:p w14:paraId="4F5B2A85">
      <w:pPr>
        <w:spacing w:line="360" w:lineRule="auto"/>
        <w:outlineLvl w:val="2"/>
        <w:rPr>
          <w:rFonts w:hint="eastAsia" w:ascii="宋体" w:hAnsi="宋体"/>
          <w:b/>
          <w:sz w:val="24"/>
          <w:szCs w:val="24"/>
        </w:rPr>
      </w:pPr>
      <w:bookmarkStart w:id="1299" w:name="_Toc25873"/>
      <w:bookmarkStart w:id="1300" w:name="_Toc65181442"/>
      <w:bookmarkStart w:id="1301" w:name="_Toc62990982"/>
      <w:r>
        <w:rPr>
          <w:rFonts w:ascii="宋体" w:hAnsi="宋体"/>
          <w:b/>
          <w:sz w:val="24"/>
          <w:szCs w:val="24"/>
        </w:rPr>
        <w:br w:type="page"/>
      </w:r>
      <w:bookmarkStart w:id="1302" w:name="_Toc1788036451"/>
      <w:bookmarkStart w:id="1303" w:name="_Toc1614566880"/>
      <w:bookmarkStart w:id="1304" w:name="_Toc1901559656"/>
      <w:bookmarkStart w:id="1305" w:name="_Toc197563756"/>
      <w:bookmarkStart w:id="1306" w:name="_Toc1344184749"/>
      <w:bookmarkStart w:id="1307" w:name="_Toc451246795"/>
      <w:bookmarkStart w:id="1308" w:name="_Toc70604245"/>
      <w:bookmarkStart w:id="1309" w:name="_Toc1179993521"/>
      <w:r>
        <w:rPr>
          <w:rFonts w:hint="eastAsia" w:ascii="宋体" w:hAnsi="宋体"/>
          <w:b/>
          <w:sz w:val="24"/>
          <w:szCs w:val="24"/>
        </w:rPr>
        <w:t>附件</w:t>
      </w:r>
      <w:r>
        <w:rPr>
          <w:rFonts w:hint="eastAsia" w:ascii="Times New Roman" w:hAnsi="Times New Roman"/>
          <w:b/>
          <w:sz w:val="24"/>
          <w:szCs w:val="24"/>
        </w:rPr>
        <w:t>1</w:t>
      </w:r>
      <w:r>
        <w:rPr>
          <w:rFonts w:hint="eastAsia" w:ascii="宋体" w:hAnsi="宋体"/>
          <w:b/>
          <w:sz w:val="24"/>
          <w:szCs w:val="24"/>
        </w:rPr>
        <w:t>-</w:t>
      </w:r>
      <w:r>
        <w:rPr>
          <w:rFonts w:hint="eastAsia" w:ascii="Times New Roman" w:hAnsi="Times New Roman"/>
          <w:b/>
          <w:sz w:val="24"/>
          <w:szCs w:val="24"/>
        </w:rPr>
        <w:t>2</w:t>
      </w:r>
      <w:r>
        <w:rPr>
          <w:rFonts w:hint="eastAsia" w:ascii="宋体" w:hAnsi="宋体"/>
          <w:b/>
          <w:sz w:val="24"/>
          <w:szCs w:val="24"/>
        </w:rPr>
        <w:t>：基金公司指定发行人的授权</w:t>
      </w:r>
      <w:bookmarkEnd w:id="1299"/>
      <w:bookmarkEnd w:id="1300"/>
      <w:bookmarkEnd w:id="1301"/>
      <w:bookmarkEnd w:id="1302"/>
      <w:bookmarkEnd w:id="1303"/>
      <w:bookmarkEnd w:id="1304"/>
      <w:bookmarkEnd w:id="1305"/>
      <w:bookmarkEnd w:id="1306"/>
      <w:bookmarkEnd w:id="1307"/>
      <w:bookmarkEnd w:id="1308"/>
      <w:bookmarkEnd w:id="1309"/>
    </w:p>
    <w:p w14:paraId="777B1073">
      <w:pPr>
        <w:spacing w:before="156" w:beforeLines="50" w:after="156" w:afterLines="50"/>
        <w:jc w:val="center"/>
        <w:rPr>
          <w:rFonts w:hint="eastAsia" w:ascii="宋体" w:hAnsi="宋体"/>
          <w:b/>
          <w:sz w:val="24"/>
          <w:szCs w:val="24"/>
        </w:rPr>
      </w:pPr>
      <w:r>
        <w:rPr>
          <w:rFonts w:hint="eastAsia" w:ascii="宋体" w:hAnsi="宋体"/>
          <w:b/>
          <w:sz w:val="24"/>
          <w:szCs w:val="24"/>
        </w:rPr>
        <w:t>关于指定</w:t>
      </w:r>
      <w:r>
        <w:rPr>
          <w:rFonts w:hint="eastAsia" w:ascii="宋体" w:hAnsi="宋体"/>
          <w:b/>
          <w:sz w:val="24"/>
          <w:szCs w:val="24"/>
          <w:u w:val="single"/>
        </w:rPr>
        <w:t xml:space="preserve">       </w:t>
      </w:r>
      <w:r>
        <w:rPr>
          <w:rFonts w:hint="eastAsia" w:ascii="宋体" w:hAnsi="宋体"/>
          <w:b/>
          <w:sz w:val="24"/>
          <w:szCs w:val="24"/>
        </w:rPr>
        <w:t>公司为</w:t>
      </w:r>
      <w:r>
        <w:rPr>
          <w:rFonts w:hint="eastAsia" w:ascii="宋体" w:hAnsi="宋体"/>
          <w:b/>
          <w:sz w:val="24"/>
          <w:szCs w:val="24"/>
          <w:u w:val="single"/>
        </w:rPr>
        <w:t xml:space="preserve"> （</w:t>
      </w:r>
      <w:r>
        <w:rPr>
          <w:rFonts w:hint="eastAsia" w:ascii="Times New Roman" w:hAnsi="Times New Roman"/>
          <w:b/>
          <w:sz w:val="24"/>
          <w:szCs w:val="24"/>
          <w:u w:val="single"/>
        </w:rPr>
        <w:t>REITs</w:t>
      </w:r>
      <w:r>
        <w:rPr>
          <w:rFonts w:hint="eastAsia" w:ascii="宋体" w:hAnsi="宋体"/>
          <w:b/>
          <w:sz w:val="24"/>
          <w:szCs w:val="24"/>
          <w:u w:val="single"/>
        </w:rPr>
        <w:t xml:space="preserve">全称） </w:t>
      </w:r>
      <w:r>
        <w:rPr>
          <w:rFonts w:hint="eastAsia" w:ascii="Times New Roman" w:hAnsi="Times New Roman"/>
          <w:b/>
          <w:sz w:val="24"/>
          <w:szCs w:val="24"/>
        </w:rPr>
        <w:t>REITs</w:t>
      </w:r>
      <w:r>
        <w:rPr>
          <w:rFonts w:hint="eastAsia" w:ascii="宋体" w:hAnsi="宋体"/>
          <w:b/>
          <w:sz w:val="24"/>
          <w:szCs w:val="24"/>
        </w:rPr>
        <w:t>询价平台发行人的授权</w:t>
      </w:r>
    </w:p>
    <w:p w14:paraId="4732F5BA">
      <w:pPr>
        <w:spacing w:line="312" w:lineRule="auto"/>
        <w:rPr>
          <w:rFonts w:hint="eastAsia" w:ascii="仿宋_GB2312" w:hAnsi="仿宋" w:eastAsia="仿宋_GB2312"/>
          <w:sz w:val="24"/>
          <w:szCs w:val="24"/>
        </w:rPr>
      </w:pPr>
      <w:r>
        <w:rPr>
          <w:rFonts w:hint="eastAsia" w:ascii="仿宋_GB2312" w:hAnsi="仿宋" w:eastAsia="仿宋_GB2312"/>
          <w:sz w:val="24"/>
          <w:szCs w:val="24"/>
          <w:u w:val="single"/>
        </w:rPr>
        <w:t xml:space="preserve">          </w:t>
      </w:r>
      <w:r>
        <w:rPr>
          <w:rFonts w:hint="eastAsia" w:ascii="仿宋_GB2312" w:hAnsi="仿宋" w:eastAsia="仿宋_GB2312"/>
          <w:sz w:val="24"/>
          <w:szCs w:val="24"/>
        </w:rPr>
        <w:t>公司：</w:t>
      </w:r>
    </w:p>
    <w:p w14:paraId="0909B46B">
      <w:pPr>
        <w:spacing w:line="312" w:lineRule="auto"/>
        <w:ind w:firstLine="480" w:firstLineChars="200"/>
        <w:rPr>
          <w:rFonts w:hint="eastAsia" w:ascii="仿宋_GB2312" w:hAnsi="仿宋" w:eastAsia="仿宋_GB2312"/>
          <w:sz w:val="24"/>
          <w:szCs w:val="24"/>
        </w:rPr>
      </w:pPr>
      <w:r>
        <w:rPr>
          <w:rFonts w:hint="eastAsia" w:ascii="仿宋_GB2312" w:hAnsi="仿宋" w:eastAsia="仿宋_GB2312"/>
          <w:sz w:val="24"/>
          <w:szCs w:val="24"/>
        </w:rPr>
        <w:t>为保障我司</w:t>
      </w:r>
      <w:r>
        <w:rPr>
          <w:rFonts w:hint="eastAsia" w:ascii="仿宋_GB2312" w:hAnsi="仿宋" w:eastAsia="仿宋_GB2312"/>
          <w:sz w:val="24"/>
          <w:szCs w:val="24"/>
          <w:u w:val="single"/>
        </w:rPr>
        <w:t xml:space="preserve"> （</w:t>
      </w:r>
      <w:r>
        <w:rPr>
          <w:rFonts w:hint="eastAsia" w:ascii="Times New Roman" w:hAnsi="Times New Roman" w:eastAsia="仿宋_GB2312"/>
          <w:sz w:val="24"/>
          <w:szCs w:val="24"/>
          <w:u w:val="single"/>
        </w:rPr>
        <w:t>REITs</w:t>
      </w:r>
      <w:r>
        <w:rPr>
          <w:rFonts w:hint="eastAsia" w:ascii="仿宋_GB2312" w:hAnsi="仿宋" w:eastAsia="仿宋_GB2312"/>
          <w:sz w:val="24"/>
          <w:szCs w:val="24"/>
          <w:u w:val="single"/>
        </w:rPr>
        <w:t xml:space="preserve">全称） </w:t>
      </w:r>
      <w:r>
        <w:rPr>
          <w:rFonts w:hint="eastAsia" w:ascii="仿宋_GB2312" w:hAnsi="仿宋" w:eastAsia="仿宋_GB2312"/>
          <w:sz w:val="24"/>
          <w:szCs w:val="24"/>
        </w:rPr>
        <w:t>（以下简称本基金）发售业务有序进行，根据《公开募集基础设施证券投资基金指引（试行）》</w:t>
      </w:r>
      <w:r>
        <w:rPr>
          <w:rFonts w:hint="eastAsia" w:ascii="仿宋_GB2312" w:hAnsi="仿宋" w:eastAsia="仿宋_GB2312" w:cs="宋体"/>
          <w:color w:val="000000"/>
          <w:kern w:val="0"/>
          <w:sz w:val="24"/>
        </w:rPr>
        <w:t>《中国证监会关于推出商业不动产投资信托基金试点的公告》</w:t>
      </w:r>
      <w:r>
        <w:rPr>
          <w:rFonts w:hint="eastAsia" w:ascii="仿宋_GB2312" w:hAnsi="仿宋" w:eastAsia="仿宋_GB2312"/>
          <w:sz w:val="24"/>
          <w:szCs w:val="24"/>
        </w:rPr>
        <w:t>及本基金基金合同相关要求，我司指定你公司为本基金在</w:t>
      </w:r>
      <w:r>
        <w:rPr>
          <w:rFonts w:hint="eastAsia" w:ascii="Times New Roman" w:hAnsi="Times New Roman" w:eastAsia="仿宋_GB2312"/>
          <w:sz w:val="24"/>
          <w:szCs w:val="24"/>
        </w:rPr>
        <w:t>REITs</w:t>
      </w:r>
      <w:r>
        <w:rPr>
          <w:rFonts w:hint="eastAsia" w:ascii="仿宋_GB2312" w:hAnsi="仿宋" w:eastAsia="仿宋_GB2312"/>
          <w:sz w:val="24"/>
          <w:szCs w:val="24"/>
        </w:rPr>
        <w:t>询价平台的发行人，办理本基金的网下投资者询价、认购业务。</w:t>
      </w:r>
    </w:p>
    <w:p w14:paraId="545B2A29">
      <w:pPr>
        <w:spacing w:line="312" w:lineRule="auto"/>
        <w:ind w:firstLine="480" w:firstLineChars="200"/>
        <w:rPr>
          <w:rFonts w:hint="eastAsia" w:ascii="仿宋_GB2312" w:hAnsi="仿宋" w:eastAsia="仿宋_GB2312"/>
          <w:sz w:val="24"/>
          <w:szCs w:val="24"/>
        </w:rPr>
      </w:pPr>
      <w:r>
        <w:rPr>
          <w:rFonts w:hint="eastAsia" w:ascii="仿宋_GB2312" w:hAnsi="仿宋" w:eastAsia="仿宋_GB2312"/>
          <w:sz w:val="24"/>
          <w:szCs w:val="24"/>
        </w:rPr>
        <w:t>特此授权。</w:t>
      </w:r>
    </w:p>
    <w:p w14:paraId="486D5710">
      <w:pPr>
        <w:spacing w:line="312" w:lineRule="auto"/>
        <w:rPr>
          <w:rFonts w:hint="eastAsia" w:ascii="仿宋_GB2312" w:hAnsi="仿宋" w:eastAsia="仿宋_GB2312"/>
          <w:sz w:val="24"/>
          <w:szCs w:val="24"/>
        </w:rPr>
      </w:pPr>
    </w:p>
    <w:p w14:paraId="25B1D76E">
      <w:pPr>
        <w:spacing w:line="312" w:lineRule="auto"/>
        <w:jc w:val="right"/>
        <w:rPr>
          <w:rFonts w:hint="eastAsia" w:ascii="仿宋_GB2312" w:hAnsi="仿宋" w:eastAsia="仿宋_GB2312"/>
          <w:sz w:val="24"/>
          <w:szCs w:val="24"/>
        </w:rPr>
      </w:pPr>
      <w:r>
        <w:rPr>
          <w:rFonts w:hint="eastAsia" w:ascii="仿宋_GB2312" w:hAnsi="仿宋" w:eastAsia="仿宋_GB2312"/>
          <w:sz w:val="24"/>
          <w:szCs w:val="24"/>
        </w:rPr>
        <w:t xml:space="preserve"> </w:t>
      </w:r>
      <w:r>
        <w:rPr>
          <w:rFonts w:hint="eastAsia" w:ascii="仿宋_GB2312" w:hAnsi="仿宋" w:eastAsia="仿宋_GB2312"/>
          <w:sz w:val="24"/>
          <w:szCs w:val="24"/>
          <w:u w:val="single"/>
        </w:rPr>
        <w:t xml:space="preserve">       </w:t>
      </w:r>
      <w:r>
        <w:rPr>
          <w:rFonts w:hint="eastAsia" w:ascii="仿宋_GB2312" w:hAnsi="仿宋" w:eastAsia="仿宋_GB2312"/>
          <w:sz w:val="24"/>
          <w:szCs w:val="24"/>
        </w:rPr>
        <w:t>基金管理有限公司（公章）</w:t>
      </w:r>
    </w:p>
    <w:p w14:paraId="32A26FE7">
      <w:pPr>
        <w:spacing w:line="312" w:lineRule="auto"/>
        <w:jc w:val="right"/>
        <w:rPr>
          <w:rFonts w:hint="eastAsia" w:ascii="仿宋_GB2312" w:hAnsi="仿宋" w:eastAsia="仿宋_GB2312"/>
          <w:sz w:val="24"/>
          <w:szCs w:val="24"/>
        </w:rPr>
      </w:pPr>
      <w:r>
        <w:rPr>
          <w:rFonts w:hint="eastAsia" w:ascii="仿宋_GB2312" w:hAnsi="仿宋" w:eastAsia="仿宋_GB2312"/>
          <w:sz w:val="24"/>
          <w:szCs w:val="24"/>
        </w:rPr>
        <w:t>法定代表人：    （签字或签章）</w:t>
      </w:r>
    </w:p>
    <w:p w14:paraId="1CABBBB3">
      <w:pPr>
        <w:spacing w:line="312" w:lineRule="auto"/>
        <w:jc w:val="right"/>
        <w:rPr>
          <w:rFonts w:hint="eastAsia" w:ascii="仿宋_GB2312" w:hAnsi="仿宋" w:eastAsia="仿宋_GB2312"/>
          <w:sz w:val="24"/>
          <w:szCs w:val="24"/>
        </w:rPr>
      </w:pPr>
      <w:r>
        <w:rPr>
          <w:rFonts w:hint="eastAsia" w:ascii="仿宋_GB2312" w:hAnsi="仿宋" w:eastAsia="仿宋_GB2312"/>
          <w:sz w:val="24"/>
          <w:szCs w:val="24"/>
        </w:rPr>
        <w:t>日期：    年  月  日</w:t>
      </w:r>
    </w:p>
    <w:p w14:paraId="034C8026">
      <w:pPr>
        <w:spacing w:line="312" w:lineRule="auto"/>
        <w:ind w:right="480"/>
        <w:rPr>
          <w:rFonts w:hint="eastAsia" w:ascii="仿宋_GB2312" w:hAnsi="仿宋" w:eastAsia="仿宋_GB2312"/>
          <w:b/>
          <w:sz w:val="24"/>
          <w:szCs w:val="24"/>
        </w:rPr>
      </w:pPr>
    </w:p>
    <w:p w14:paraId="28DCD52C">
      <w:pPr>
        <w:spacing w:line="360" w:lineRule="auto"/>
        <w:outlineLvl w:val="2"/>
        <w:rPr>
          <w:rFonts w:hint="eastAsia" w:ascii="宋体" w:hAnsi="宋体"/>
          <w:b/>
          <w:sz w:val="24"/>
          <w:szCs w:val="24"/>
        </w:rPr>
      </w:pPr>
      <w:bookmarkStart w:id="1310" w:name="_Toc62990983"/>
      <w:bookmarkStart w:id="1311" w:name="_Toc65181443"/>
      <w:bookmarkStart w:id="1312" w:name="_Toc29054"/>
      <w:r>
        <w:rPr>
          <w:rFonts w:ascii="宋体" w:hAnsi="宋体"/>
          <w:b/>
          <w:sz w:val="24"/>
          <w:szCs w:val="24"/>
        </w:rPr>
        <w:br w:type="page"/>
      </w:r>
      <w:bookmarkStart w:id="1313" w:name="_Toc1529973020"/>
      <w:bookmarkStart w:id="1314" w:name="_Toc940470427"/>
      <w:bookmarkStart w:id="1315" w:name="_Toc1981553305"/>
      <w:bookmarkStart w:id="1316" w:name="_Toc70604246"/>
      <w:bookmarkStart w:id="1317" w:name="_Toc265337014"/>
      <w:bookmarkStart w:id="1318" w:name="_Toc1834297678"/>
      <w:bookmarkStart w:id="1319" w:name="_Toc1047987729"/>
      <w:bookmarkStart w:id="1320" w:name="_Toc414963222"/>
      <w:r>
        <w:rPr>
          <w:rFonts w:hint="eastAsia" w:ascii="宋体" w:hAnsi="宋体"/>
          <w:b/>
          <w:sz w:val="24"/>
          <w:szCs w:val="24"/>
        </w:rPr>
        <w:t>附件</w:t>
      </w:r>
      <w:r>
        <w:rPr>
          <w:rFonts w:hint="eastAsia" w:ascii="Times New Roman" w:hAnsi="Times New Roman"/>
          <w:b/>
          <w:sz w:val="24"/>
          <w:szCs w:val="24"/>
        </w:rPr>
        <w:t>1</w:t>
      </w:r>
      <w:r>
        <w:rPr>
          <w:rFonts w:hint="eastAsia" w:ascii="宋体" w:hAnsi="宋体"/>
          <w:b/>
          <w:sz w:val="24"/>
          <w:szCs w:val="24"/>
        </w:rPr>
        <w:t>-</w:t>
      </w:r>
      <w:r>
        <w:rPr>
          <w:rFonts w:hint="eastAsia" w:ascii="Times New Roman" w:hAnsi="Times New Roman"/>
          <w:b/>
          <w:sz w:val="24"/>
          <w:szCs w:val="24"/>
        </w:rPr>
        <w:t>3</w:t>
      </w:r>
      <w:r>
        <w:rPr>
          <w:rFonts w:hint="eastAsia" w:ascii="宋体" w:hAnsi="宋体"/>
          <w:b/>
          <w:sz w:val="24"/>
          <w:szCs w:val="24"/>
        </w:rPr>
        <w:t>：网下机构投资者数字证书申请授权</w:t>
      </w:r>
      <w:bookmarkEnd w:id="1310"/>
      <w:bookmarkEnd w:id="1311"/>
      <w:bookmarkEnd w:id="1312"/>
      <w:bookmarkEnd w:id="1313"/>
      <w:bookmarkEnd w:id="1314"/>
      <w:bookmarkEnd w:id="1315"/>
      <w:bookmarkEnd w:id="1316"/>
      <w:bookmarkEnd w:id="1317"/>
      <w:bookmarkEnd w:id="1318"/>
      <w:bookmarkEnd w:id="1319"/>
      <w:bookmarkEnd w:id="1320"/>
    </w:p>
    <w:p w14:paraId="3AEAC8A3">
      <w:pPr>
        <w:spacing w:before="62" w:beforeLines="20"/>
        <w:jc w:val="center"/>
        <w:rPr>
          <w:rFonts w:hint="eastAsia" w:ascii="宋体" w:hAnsi="宋体"/>
          <w:b/>
          <w:sz w:val="24"/>
          <w:szCs w:val="24"/>
        </w:rPr>
      </w:pPr>
      <w:r>
        <w:rPr>
          <w:rFonts w:hint="eastAsia" w:ascii="宋体" w:hAnsi="宋体"/>
          <w:b/>
          <w:sz w:val="24"/>
          <w:szCs w:val="24"/>
        </w:rPr>
        <w:t>上交所</w:t>
      </w:r>
      <w:r>
        <w:rPr>
          <w:rFonts w:ascii="Times New Roman" w:hAnsi="Times New Roman"/>
          <w:b/>
          <w:sz w:val="24"/>
          <w:szCs w:val="24"/>
        </w:rPr>
        <w:t>REITs</w:t>
      </w:r>
      <w:r>
        <w:rPr>
          <w:rFonts w:ascii="宋体" w:hAnsi="宋体"/>
          <w:b/>
          <w:sz w:val="24"/>
          <w:szCs w:val="24"/>
        </w:rPr>
        <w:t>网下机构投资者</w:t>
      </w:r>
      <w:r>
        <w:rPr>
          <w:rFonts w:hint="eastAsia" w:ascii="宋体" w:hAnsi="宋体"/>
          <w:b/>
          <w:sz w:val="24"/>
          <w:szCs w:val="24"/>
        </w:rPr>
        <w:t>数字</w:t>
      </w:r>
      <w:r>
        <w:rPr>
          <w:rFonts w:ascii="宋体" w:hAnsi="宋体"/>
          <w:b/>
          <w:sz w:val="24"/>
          <w:szCs w:val="24"/>
        </w:rPr>
        <w:t>证书</w:t>
      </w:r>
      <w:r>
        <w:rPr>
          <w:rFonts w:hint="eastAsia" w:ascii="宋体" w:hAnsi="宋体"/>
          <w:b/>
          <w:sz w:val="24"/>
          <w:szCs w:val="24"/>
        </w:rPr>
        <w:t>申请</w:t>
      </w:r>
      <w:r>
        <w:rPr>
          <w:rFonts w:ascii="宋体" w:hAnsi="宋体"/>
          <w:b/>
          <w:sz w:val="24"/>
          <w:szCs w:val="24"/>
        </w:rPr>
        <w:t>授权书</w:t>
      </w:r>
    </w:p>
    <w:p w14:paraId="5C1FE2EA">
      <w:pPr>
        <w:spacing w:line="312" w:lineRule="auto"/>
        <w:rPr>
          <w:rFonts w:hint="eastAsia" w:ascii="仿宋_GB2312" w:hAnsi="宋体" w:eastAsia="仿宋_GB2312"/>
          <w:color w:val="000000"/>
          <w:kern w:val="0"/>
          <w:sz w:val="24"/>
          <w:szCs w:val="24"/>
        </w:rPr>
      </w:pPr>
      <w:r>
        <w:rPr>
          <w:rFonts w:hint="eastAsia" w:ascii="仿宋_GB2312" w:hAnsi="宋体" w:eastAsia="仿宋_GB2312"/>
          <w:color w:val="000000"/>
          <w:kern w:val="0"/>
          <w:sz w:val="24"/>
          <w:szCs w:val="24"/>
        </w:rPr>
        <w:t>上证所信息网络有限公司：</w:t>
      </w:r>
    </w:p>
    <w:p w14:paraId="4E5112B5">
      <w:pPr>
        <w:spacing w:line="312" w:lineRule="auto"/>
        <w:ind w:firstLine="480" w:firstLineChars="200"/>
        <w:rPr>
          <w:rFonts w:hint="eastAsia" w:ascii="仿宋_GB2312" w:hAnsi="宋体" w:eastAsia="仿宋_GB2312"/>
          <w:color w:val="000000"/>
          <w:kern w:val="0"/>
          <w:sz w:val="24"/>
          <w:szCs w:val="24"/>
        </w:rPr>
      </w:pPr>
      <w:r>
        <w:rPr>
          <w:rFonts w:hint="eastAsia" w:ascii="仿宋_GB2312" w:hAnsi="宋体" w:eastAsia="仿宋_GB2312"/>
          <w:color w:val="000000"/>
          <w:kern w:val="0"/>
          <w:sz w:val="24"/>
          <w:szCs w:val="24"/>
        </w:rPr>
        <w:t>因参与上交所</w:t>
      </w:r>
      <w:r>
        <w:rPr>
          <w:rFonts w:hint="eastAsia" w:ascii="Times New Roman" w:hAnsi="Times New Roman" w:eastAsia="仿宋_GB2312"/>
          <w:color w:val="000000"/>
          <w:kern w:val="0"/>
          <w:sz w:val="24"/>
          <w:szCs w:val="24"/>
        </w:rPr>
        <w:t>REITs</w:t>
      </w:r>
      <w:r>
        <w:rPr>
          <w:rFonts w:hint="eastAsia" w:ascii="仿宋_GB2312" w:hAnsi="宋体" w:eastAsia="仿宋_GB2312"/>
          <w:color w:val="000000"/>
          <w:kern w:val="0"/>
          <w:sz w:val="24"/>
          <w:szCs w:val="24"/>
        </w:rPr>
        <w:t>询价业务，本单位现授权</w:t>
      </w:r>
      <w:r>
        <w:rPr>
          <w:rFonts w:hint="eastAsia" w:ascii="Times New Roman" w:hAnsi="Times New Roman" w:eastAsia="仿宋_GB2312"/>
          <w:color w:val="000000"/>
          <w:kern w:val="0"/>
          <w:sz w:val="24"/>
          <w:szCs w:val="24"/>
        </w:rPr>
        <w:t>REITs</w:t>
      </w:r>
      <w:r>
        <w:rPr>
          <w:rFonts w:hint="eastAsia" w:ascii="仿宋_GB2312" w:hAnsi="宋体" w:eastAsia="仿宋_GB2312"/>
          <w:color w:val="000000"/>
          <w:kern w:val="0"/>
          <w:sz w:val="24"/>
          <w:szCs w:val="24"/>
        </w:rPr>
        <w:t>基金管理人（</w:t>
      </w:r>
      <w:r>
        <w:rPr>
          <w:rFonts w:hint="eastAsia" w:ascii="仿宋_GB2312" w:hAnsi="宋体" w:eastAsia="仿宋_GB2312"/>
          <w:color w:val="000000"/>
          <w:kern w:val="0"/>
          <w:sz w:val="24"/>
          <w:szCs w:val="24"/>
          <w:u w:val="single"/>
        </w:rPr>
        <w:t xml:space="preserve">              </w:t>
      </w:r>
      <w:r>
        <w:rPr>
          <w:rFonts w:hint="eastAsia" w:ascii="仿宋_GB2312" w:hAnsi="宋体" w:eastAsia="仿宋_GB2312"/>
          <w:color w:val="000000"/>
          <w:kern w:val="0"/>
          <w:sz w:val="24"/>
          <w:szCs w:val="24"/>
        </w:rPr>
        <w:t>）代为申请上交所</w:t>
      </w:r>
      <w:r>
        <w:rPr>
          <w:rFonts w:hint="eastAsia" w:ascii="Times New Roman" w:hAnsi="Times New Roman" w:eastAsia="仿宋_GB2312"/>
          <w:color w:val="000000"/>
          <w:kern w:val="0"/>
          <w:sz w:val="24"/>
          <w:szCs w:val="24"/>
        </w:rPr>
        <w:t>REITs</w:t>
      </w:r>
      <w:r>
        <w:rPr>
          <w:rFonts w:hint="eastAsia" w:ascii="仿宋_GB2312" w:hAnsi="宋体" w:eastAsia="仿宋_GB2312"/>
          <w:color w:val="000000"/>
          <w:kern w:val="0"/>
          <w:sz w:val="24"/>
          <w:szCs w:val="24"/>
        </w:rPr>
        <w:t>网下机构投资者数字证书：</w:t>
      </w:r>
    </w:p>
    <w:tbl>
      <w:tblPr>
        <w:tblStyle w:val="15"/>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2268"/>
        <w:gridCol w:w="6110"/>
      </w:tblGrid>
      <w:tr w14:paraId="368CD15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89" w:hRule="atLeast"/>
          <w:jc w:val="center"/>
        </w:trPr>
        <w:tc>
          <w:tcPr>
            <w:tcW w:w="2268" w:type="dxa"/>
            <w:vAlign w:val="center"/>
          </w:tcPr>
          <w:p w14:paraId="17479295">
            <w:pPr>
              <w:jc w:val="center"/>
              <w:rPr>
                <w:rFonts w:hint="eastAsia" w:ascii="仿宋_GB2312" w:hAnsi="宋体" w:eastAsia="仿宋_GB2312"/>
                <w:color w:val="000000"/>
                <w:kern w:val="0"/>
                <w:sz w:val="24"/>
                <w:szCs w:val="24"/>
              </w:rPr>
            </w:pPr>
            <w:r>
              <w:rPr>
                <w:rFonts w:hint="eastAsia" w:ascii="仿宋_GB2312" w:hAnsi="宋体" w:eastAsia="仿宋_GB2312"/>
                <w:color w:val="000000"/>
                <w:kern w:val="0"/>
                <w:sz w:val="24"/>
                <w:szCs w:val="24"/>
              </w:rPr>
              <w:t>机构名称</w:t>
            </w:r>
          </w:p>
        </w:tc>
        <w:tc>
          <w:tcPr>
            <w:tcW w:w="6110" w:type="dxa"/>
            <w:vAlign w:val="center"/>
          </w:tcPr>
          <w:p w14:paraId="2FCF1607">
            <w:pPr>
              <w:rPr>
                <w:rFonts w:hint="eastAsia" w:ascii="仿宋_GB2312" w:hAnsi="宋体" w:eastAsia="仿宋_GB2312"/>
                <w:color w:val="000000"/>
                <w:sz w:val="24"/>
                <w:szCs w:val="24"/>
              </w:rPr>
            </w:pPr>
          </w:p>
        </w:tc>
      </w:tr>
      <w:tr w14:paraId="0868AE0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89" w:hRule="atLeast"/>
          <w:jc w:val="center"/>
        </w:trPr>
        <w:tc>
          <w:tcPr>
            <w:tcW w:w="2268" w:type="dxa"/>
            <w:vAlign w:val="center"/>
          </w:tcPr>
          <w:p w14:paraId="5348361F">
            <w:pPr>
              <w:jc w:val="center"/>
              <w:rPr>
                <w:rFonts w:hint="eastAsia" w:ascii="仿宋_GB2312" w:hAnsi="宋体" w:eastAsia="仿宋_GB2312"/>
                <w:color w:val="000000"/>
                <w:kern w:val="0"/>
                <w:sz w:val="24"/>
                <w:szCs w:val="24"/>
              </w:rPr>
            </w:pPr>
            <w:r>
              <w:rPr>
                <w:rFonts w:hint="eastAsia" w:ascii="仿宋_GB2312" w:hAnsi="宋体" w:eastAsia="仿宋_GB2312"/>
                <w:color w:val="000000"/>
                <w:kern w:val="0"/>
                <w:sz w:val="24"/>
                <w:szCs w:val="24"/>
              </w:rPr>
              <w:t>机构固话(带区号)</w:t>
            </w:r>
          </w:p>
        </w:tc>
        <w:tc>
          <w:tcPr>
            <w:tcW w:w="6110" w:type="dxa"/>
            <w:vAlign w:val="center"/>
          </w:tcPr>
          <w:p w14:paraId="14512798">
            <w:pPr>
              <w:rPr>
                <w:rFonts w:hint="eastAsia" w:ascii="仿宋_GB2312" w:hAnsi="宋体" w:eastAsia="仿宋_GB2312"/>
                <w:color w:val="000000"/>
                <w:sz w:val="24"/>
                <w:szCs w:val="24"/>
              </w:rPr>
            </w:pPr>
          </w:p>
        </w:tc>
      </w:tr>
      <w:tr w14:paraId="19784E9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89" w:hRule="atLeast"/>
          <w:jc w:val="center"/>
        </w:trPr>
        <w:tc>
          <w:tcPr>
            <w:tcW w:w="2268" w:type="dxa"/>
            <w:vAlign w:val="center"/>
          </w:tcPr>
          <w:p w14:paraId="32E880FB">
            <w:pPr>
              <w:jc w:val="center"/>
              <w:rPr>
                <w:rFonts w:hint="eastAsia" w:ascii="仿宋_GB2312" w:hAnsi="宋体" w:eastAsia="仿宋_GB2312"/>
                <w:color w:val="000000"/>
                <w:kern w:val="0"/>
                <w:sz w:val="24"/>
                <w:szCs w:val="24"/>
              </w:rPr>
            </w:pPr>
            <w:r>
              <w:rPr>
                <w:rFonts w:hint="eastAsia" w:ascii="仿宋_GB2312" w:hAnsi="宋体" w:eastAsia="仿宋_GB2312"/>
                <w:color w:val="000000"/>
                <w:kern w:val="0"/>
                <w:sz w:val="24"/>
                <w:szCs w:val="24"/>
              </w:rPr>
              <w:t>联系人姓名</w:t>
            </w:r>
          </w:p>
        </w:tc>
        <w:tc>
          <w:tcPr>
            <w:tcW w:w="6110" w:type="dxa"/>
            <w:vAlign w:val="center"/>
          </w:tcPr>
          <w:p w14:paraId="1CA8F97F">
            <w:pPr>
              <w:rPr>
                <w:rFonts w:hint="eastAsia" w:ascii="仿宋_GB2312" w:hAnsi="宋体" w:eastAsia="仿宋_GB2312"/>
                <w:color w:val="000000"/>
                <w:sz w:val="24"/>
                <w:szCs w:val="24"/>
              </w:rPr>
            </w:pPr>
          </w:p>
        </w:tc>
      </w:tr>
      <w:tr w14:paraId="502527C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89" w:hRule="atLeast"/>
          <w:jc w:val="center"/>
        </w:trPr>
        <w:tc>
          <w:tcPr>
            <w:tcW w:w="2268" w:type="dxa"/>
            <w:vAlign w:val="center"/>
          </w:tcPr>
          <w:p w14:paraId="376B94FA">
            <w:pPr>
              <w:jc w:val="center"/>
              <w:rPr>
                <w:rFonts w:hint="eastAsia" w:ascii="仿宋_GB2312" w:hAnsi="宋体" w:eastAsia="仿宋_GB2312"/>
                <w:color w:val="000000"/>
                <w:kern w:val="0"/>
                <w:sz w:val="24"/>
                <w:szCs w:val="24"/>
              </w:rPr>
            </w:pPr>
            <w:r>
              <w:rPr>
                <w:rFonts w:hint="eastAsia" w:ascii="仿宋_GB2312" w:hAnsi="宋体" w:eastAsia="仿宋_GB2312"/>
                <w:color w:val="000000"/>
                <w:kern w:val="0"/>
                <w:sz w:val="24"/>
                <w:szCs w:val="24"/>
              </w:rPr>
              <w:t>法定代表人</w:t>
            </w:r>
          </w:p>
        </w:tc>
        <w:tc>
          <w:tcPr>
            <w:tcW w:w="6110" w:type="dxa"/>
            <w:vAlign w:val="center"/>
          </w:tcPr>
          <w:p w14:paraId="353F1569">
            <w:pPr>
              <w:rPr>
                <w:rFonts w:hint="eastAsia" w:ascii="仿宋_GB2312" w:hAnsi="宋体" w:eastAsia="仿宋_GB2312"/>
                <w:color w:val="000000"/>
                <w:sz w:val="24"/>
                <w:szCs w:val="24"/>
              </w:rPr>
            </w:pPr>
          </w:p>
        </w:tc>
      </w:tr>
      <w:tr w14:paraId="7E0C955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89" w:hRule="atLeast"/>
          <w:jc w:val="center"/>
        </w:trPr>
        <w:tc>
          <w:tcPr>
            <w:tcW w:w="2268" w:type="dxa"/>
            <w:vAlign w:val="center"/>
          </w:tcPr>
          <w:p w14:paraId="3C73AD79">
            <w:pPr>
              <w:jc w:val="center"/>
              <w:rPr>
                <w:rFonts w:hint="eastAsia" w:ascii="仿宋_GB2312" w:hAnsi="宋体" w:eastAsia="仿宋_GB2312"/>
                <w:color w:val="000000"/>
                <w:kern w:val="0"/>
                <w:sz w:val="24"/>
                <w:szCs w:val="24"/>
              </w:rPr>
            </w:pPr>
            <w:r>
              <w:rPr>
                <w:rFonts w:hint="eastAsia" w:ascii="仿宋_GB2312" w:hAnsi="宋体" w:eastAsia="仿宋_GB2312"/>
                <w:color w:val="000000"/>
                <w:kern w:val="0"/>
                <w:sz w:val="24"/>
                <w:szCs w:val="24"/>
              </w:rPr>
              <w:t>机构联系</w:t>
            </w:r>
            <w:r>
              <w:rPr>
                <w:rFonts w:hint="eastAsia" w:ascii="Times New Roman" w:hAnsi="Times New Roman" w:eastAsia="仿宋_GB2312"/>
                <w:color w:val="000000"/>
                <w:kern w:val="0"/>
                <w:sz w:val="24"/>
                <w:szCs w:val="24"/>
              </w:rPr>
              <w:t>email</w:t>
            </w:r>
          </w:p>
        </w:tc>
        <w:tc>
          <w:tcPr>
            <w:tcW w:w="6110" w:type="dxa"/>
            <w:vAlign w:val="center"/>
          </w:tcPr>
          <w:p w14:paraId="3CD2CCEE">
            <w:pPr>
              <w:rPr>
                <w:rFonts w:hint="eastAsia" w:ascii="仿宋_GB2312" w:hAnsi="宋体" w:eastAsia="仿宋_GB2312"/>
                <w:color w:val="000000"/>
                <w:sz w:val="24"/>
                <w:szCs w:val="24"/>
              </w:rPr>
            </w:pPr>
          </w:p>
        </w:tc>
      </w:tr>
      <w:tr w14:paraId="0399C78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89" w:hRule="atLeast"/>
          <w:jc w:val="center"/>
        </w:trPr>
        <w:tc>
          <w:tcPr>
            <w:tcW w:w="2268" w:type="dxa"/>
            <w:vAlign w:val="center"/>
          </w:tcPr>
          <w:p w14:paraId="43CACE87">
            <w:pPr>
              <w:jc w:val="center"/>
              <w:rPr>
                <w:rFonts w:hint="eastAsia" w:ascii="仿宋_GB2312" w:hAnsi="宋体" w:eastAsia="仿宋_GB2312"/>
                <w:color w:val="000000"/>
                <w:kern w:val="0"/>
                <w:sz w:val="24"/>
                <w:szCs w:val="24"/>
              </w:rPr>
            </w:pPr>
            <w:r>
              <w:rPr>
                <w:rFonts w:hint="eastAsia" w:ascii="仿宋_GB2312" w:hAnsi="宋体" w:eastAsia="仿宋_GB2312"/>
                <w:color w:val="000000"/>
                <w:kern w:val="0"/>
                <w:sz w:val="24"/>
                <w:szCs w:val="24"/>
              </w:rPr>
              <w:t>证件类型</w:t>
            </w:r>
          </w:p>
        </w:tc>
        <w:tc>
          <w:tcPr>
            <w:tcW w:w="6110" w:type="dxa"/>
            <w:vAlign w:val="center"/>
          </w:tcPr>
          <w:p w14:paraId="5661DE4B">
            <w:pPr>
              <w:rPr>
                <w:rFonts w:hint="eastAsia" w:ascii="仿宋_GB2312" w:hAnsi="宋体" w:eastAsia="仿宋_GB2312"/>
                <w:color w:val="000000"/>
                <w:sz w:val="24"/>
                <w:szCs w:val="24"/>
              </w:rPr>
            </w:pPr>
            <w:r>
              <w:rPr>
                <w:rFonts w:hint="eastAsia" w:ascii="仿宋_GB2312" w:hAnsi="宋体" w:eastAsia="仿宋_GB2312"/>
                <w:color w:val="000000"/>
                <w:sz w:val="24"/>
                <w:szCs w:val="24"/>
              </w:rPr>
              <w:t>□</w:t>
            </w:r>
            <w:r>
              <w:rPr>
                <w:rFonts w:hint="eastAsia" w:ascii="仿宋_GB2312" w:hAnsi="宋体" w:eastAsia="仿宋_GB2312"/>
                <w:color w:val="000000"/>
                <w:kern w:val="0"/>
                <w:sz w:val="24"/>
                <w:szCs w:val="24"/>
              </w:rPr>
              <w:t xml:space="preserve">统一社会信用代码证    </w:t>
            </w:r>
            <w:r>
              <w:rPr>
                <w:rFonts w:hint="eastAsia" w:ascii="仿宋_GB2312" w:hAnsi="宋体" w:eastAsia="仿宋_GB2312"/>
                <w:color w:val="000000"/>
                <w:sz w:val="24"/>
                <w:szCs w:val="24"/>
              </w:rPr>
              <w:t>□</w:t>
            </w:r>
            <w:r>
              <w:rPr>
                <w:rFonts w:hint="eastAsia" w:ascii="Times New Roman" w:hAnsi="Times New Roman" w:eastAsia="仿宋_GB2312"/>
                <w:color w:val="000000"/>
                <w:kern w:val="0"/>
                <w:sz w:val="24"/>
                <w:szCs w:val="24"/>
              </w:rPr>
              <w:t>QF</w:t>
            </w:r>
            <w:r>
              <w:rPr>
                <w:rFonts w:hint="eastAsia" w:ascii="仿宋_GB2312" w:hAnsi="宋体" w:eastAsia="仿宋_GB2312"/>
                <w:color w:val="000000"/>
                <w:kern w:val="0"/>
                <w:sz w:val="24"/>
                <w:szCs w:val="24"/>
              </w:rPr>
              <w:t xml:space="preserve">号    </w:t>
            </w:r>
            <w:r>
              <w:rPr>
                <w:rFonts w:hint="eastAsia" w:ascii="仿宋_GB2312" w:hAnsi="宋体" w:eastAsia="仿宋_GB2312"/>
                <w:color w:val="000000"/>
                <w:sz w:val="24"/>
                <w:szCs w:val="24"/>
              </w:rPr>
              <w:t>□</w:t>
            </w:r>
            <w:r>
              <w:rPr>
                <w:rFonts w:hint="eastAsia" w:ascii="仿宋_GB2312" w:hAnsi="宋体" w:eastAsia="仿宋_GB2312"/>
                <w:color w:val="000000"/>
                <w:kern w:val="0"/>
                <w:sz w:val="24"/>
                <w:szCs w:val="24"/>
              </w:rPr>
              <w:t>其他</w:t>
            </w:r>
          </w:p>
        </w:tc>
      </w:tr>
      <w:tr w14:paraId="2F78A93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89" w:hRule="atLeast"/>
          <w:jc w:val="center"/>
        </w:trPr>
        <w:tc>
          <w:tcPr>
            <w:tcW w:w="2268" w:type="dxa"/>
            <w:vAlign w:val="center"/>
          </w:tcPr>
          <w:p w14:paraId="3D8754B0">
            <w:pPr>
              <w:jc w:val="center"/>
              <w:rPr>
                <w:rFonts w:hint="eastAsia" w:ascii="仿宋_GB2312" w:hAnsi="宋体" w:eastAsia="仿宋_GB2312"/>
                <w:color w:val="000000"/>
                <w:kern w:val="0"/>
                <w:sz w:val="24"/>
                <w:szCs w:val="24"/>
              </w:rPr>
            </w:pPr>
            <w:r>
              <w:rPr>
                <w:rFonts w:hint="eastAsia" w:ascii="仿宋_GB2312" w:hAnsi="宋体" w:eastAsia="仿宋_GB2312"/>
                <w:color w:val="000000"/>
                <w:kern w:val="0"/>
                <w:sz w:val="24"/>
                <w:szCs w:val="24"/>
              </w:rPr>
              <w:t>证件号码</w:t>
            </w:r>
          </w:p>
        </w:tc>
        <w:tc>
          <w:tcPr>
            <w:tcW w:w="6110" w:type="dxa"/>
            <w:vAlign w:val="center"/>
          </w:tcPr>
          <w:p w14:paraId="0BC8BFF4">
            <w:pPr>
              <w:rPr>
                <w:rFonts w:hint="eastAsia" w:ascii="仿宋_GB2312" w:hAnsi="宋体" w:eastAsia="仿宋_GB2312"/>
                <w:color w:val="000000"/>
                <w:sz w:val="24"/>
                <w:szCs w:val="24"/>
              </w:rPr>
            </w:pPr>
          </w:p>
        </w:tc>
      </w:tr>
      <w:tr w14:paraId="082AB4D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89" w:hRule="atLeast"/>
          <w:jc w:val="center"/>
        </w:trPr>
        <w:tc>
          <w:tcPr>
            <w:tcW w:w="2268" w:type="dxa"/>
            <w:vAlign w:val="center"/>
          </w:tcPr>
          <w:p w14:paraId="430077F3">
            <w:pPr>
              <w:jc w:val="center"/>
              <w:rPr>
                <w:rFonts w:hint="eastAsia" w:ascii="仿宋_GB2312" w:hAnsi="宋体" w:eastAsia="仿宋_GB2312"/>
                <w:color w:val="000000"/>
                <w:kern w:val="0"/>
                <w:sz w:val="24"/>
                <w:szCs w:val="24"/>
              </w:rPr>
            </w:pPr>
            <w:r>
              <w:rPr>
                <w:rFonts w:hint="eastAsia" w:ascii="仿宋_GB2312" w:hAnsi="宋体" w:eastAsia="仿宋_GB2312"/>
                <w:color w:val="000000"/>
                <w:kern w:val="0"/>
                <w:sz w:val="24"/>
                <w:szCs w:val="24"/>
              </w:rPr>
              <w:t>机构注册地址</w:t>
            </w:r>
          </w:p>
        </w:tc>
        <w:tc>
          <w:tcPr>
            <w:tcW w:w="6110" w:type="dxa"/>
            <w:vAlign w:val="center"/>
          </w:tcPr>
          <w:p w14:paraId="04067E5F">
            <w:pPr>
              <w:rPr>
                <w:rFonts w:hint="eastAsia" w:ascii="仿宋_GB2312" w:hAnsi="宋体" w:eastAsia="仿宋_GB2312"/>
                <w:color w:val="000000"/>
                <w:sz w:val="24"/>
                <w:szCs w:val="24"/>
              </w:rPr>
            </w:pPr>
          </w:p>
        </w:tc>
      </w:tr>
      <w:tr w14:paraId="073EBE8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89" w:hRule="atLeast"/>
          <w:jc w:val="center"/>
        </w:trPr>
        <w:tc>
          <w:tcPr>
            <w:tcW w:w="2268" w:type="dxa"/>
            <w:vAlign w:val="center"/>
          </w:tcPr>
          <w:p w14:paraId="69695E85">
            <w:pPr>
              <w:jc w:val="center"/>
              <w:rPr>
                <w:rFonts w:hint="eastAsia" w:ascii="仿宋_GB2312" w:hAnsi="宋体" w:eastAsia="仿宋_GB2312"/>
                <w:color w:val="000000"/>
                <w:kern w:val="0"/>
                <w:sz w:val="24"/>
                <w:szCs w:val="24"/>
              </w:rPr>
            </w:pPr>
            <w:r>
              <w:rPr>
                <w:rFonts w:hint="eastAsia" w:ascii="仿宋_GB2312" w:hAnsi="宋体" w:eastAsia="仿宋_GB2312"/>
                <w:color w:val="000000"/>
                <w:kern w:val="0"/>
                <w:sz w:val="24"/>
                <w:szCs w:val="24"/>
              </w:rPr>
              <w:t>联系人手机</w:t>
            </w:r>
          </w:p>
        </w:tc>
        <w:tc>
          <w:tcPr>
            <w:tcW w:w="6110" w:type="dxa"/>
            <w:vAlign w:val="center"/>
          </w:tcPr>
          <w:p w14:paraId="0A5C0529">
            <w:pPr>
              <w:rPr>
                <w:rFonts w:hint="eastAsia" w:ascii="仿宋_GB2312" w:hAnsi="宋体" w:eastAsia="仿宋_GB2312"/>
                <w:color w:val="000000"/>
                <w:sz w:val="24"/>
                <w:szCs w:val="24"/>
              </w:rPr>
            </w:pPr>
          </w:p>
        </w:tc>
      </w:tr>
      <w:tr w14:paraId="6E3D7BD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76" w:hRule="atLeast"/>
          <w:jc w:val="center"/>
        </w:trPr>
        <w:tc>
          <w:tcPr>
            <w:tcW w:w="2268" w:type="dxa"/>
            <w:vAlign w:val="center"/>
          </w:tcPr>
          <w:p w14:paraId="0D1F0EB8">
            <w:pPr>
              <w:jc w:val="center"/>
              <w:rPr>
                <w:rFonts w:hint="eastAsia" w:ascii="仿宋_GB2312" w:hAnsi="宋体" w:eastAsia="仿宋_GB2312"/>
                <w:color w:val="000000"/>
                <w:kern w:val="0"/>
                <w:sz w:val="24"/>
                <w:szCs w:val="24"/>
              </w:rPr>
            </w:pPr>
            <w:r>
              <w:rPr>
                <w:rFonts w:hint="eastAsia" w:ascii="仿宋_GB2312" w:hAnsi="宋体" w:eastAsia="仿宋_GB2312"/>
                <w:color w:val="000000"/>
                <w:kern w:val="0"/>
                <w:sz w:val="24"/>
                <w:szCs w:val="24"/>
              </w:rPr>
              <w:t>机构类型</w:t>
            </w:r>
          </w:p>
        </w:tc>
        <w:tc>
          <w:tcPr>
            <w:tcW w:w="6110" w:type="dxa"/>
          </w:tcPr>
          <w:p w14:paraId="7B8450A1">
            <w:pPr>
              <w:spacing w:line="400" w:lineRule="exact"/>
              <w:rPr>
                <w:rFonts w:hint="eastAsia" w:ascii="仿宋_GB2312" w:hAnsi="宋体" w:eastAsia="仿宋_GB2312"/>
                <w:color w:val="000000"/>
                <w:kern w:val="0"/>
                <w:sz w:val="24"/>
                <w:szCs w:val="24"/>
              </w:rPr>
            </w:pPr>
            <w:r>
              <w:rPr>
                <w:rFonts w:hint="eastAsia" w:ascii="仿宋_GB2312" w:hAnsi="宋体" w:eastAsia="仿宋_GB2312"/>
                <w:color w:val="000000"/>
                <w:kern w:val="0"/>
                <w:sz w:val="24"/>
                <w:szCs w:val="24"/>
              </w:rPr>
              <w:t>□证券公司           □证券公司资产管理子公司</w:t>
            </w:r>
          </w:p>
          <w:p w14:paraId="1E161BA3">
            <w:pPr>
              <w:spacing w:line="400" w:lineRule="exact"/>
              <w:rPr>
                <w:rFonts w:hint="eastAsia" w:ascii="仿宋_GB2312" w:hAnsi="宋体" w:eastAsia="仿宋_GB2312"/>
                <w:color w:val="000000"/>
                <w:kern w:val="0"/>
                <w:sz w:val="24"/>
                <w:szCs w:val="24"/>
              </w:rPr>
            </w:pPr>
            <w:r>
              <w:rPr>
                <w:rFonts w:hint="eastAsia" w:ascii="仿宋_GB2312" w:hAnsi="宋体" w:eastAsia="仿宋_GB2312"/>
                <w:color w:val="000000"/>
                <w:kern w:val="0"/>
                <w:sz w:val="24"/>
                <w:szCs w:val="24"/>
              </w:rPr>
              <w:t>□基金管理公司       □基金管理公司资产管理子公司</w:t>
            </w:r>
          </w:p>
          <w:p w14:paraId="512F0C76">
            <w:pPr>
              <w:spacing w:line="400" w:lineRule="exact"/>
              <w:rPr>
                <w:rFonts w:hint="eastAsia" w:ascii="仿宋_GB2312" w:hAnsi="宋体" w:eastAsia="仿宋_GB2312"/>
                <w:color w:val="000000"/>
                <w:kern w:val="0"/>
                <w:sz w:val="24"/>
                <w:szCs w:val="24"/>
              </w:rPr>
            </w:pPr>
            <w:r>
              <w:rPr>
                <w:rFonts w:hint="eastAsia" w:ascii="仿宋_GB2312" w:hAnsi="宋体" w:eastAsia="仿宋_GB2312"/>
                <w:color w:val="000000"/>
                <w:kern w:val="0"/>
                <w:sz w:val="24"/>
                <w:szCs w:val="24"/>
              </w:rPr>
              <w:t>□保险公司           □保险公司资产管理子公司</w:t>
            </w:r>
          </w:p>
          <w:p w14:paraId="14FDF950">
            <w:pPr>
              <w:spacing w:line="400" w:lineRule="exact"/>
              <w:rPr>
                <w:rFonts w:hint="eastAsia" w:ascii="仿宋_GB2312" w:hAnsi="宋体" w:eastAsia="仿宋_GB2312"/>
                <w:color w:val="000000"/>
                <w:kern w:val="0"/>
                <w:sz w:val="24"/>
                <w:szCs w:val="24"/>
              </w:rPr>
            </w:pPr>
            <w:r>
              <w:rPr>
                <w:rFonts w:hint="eastAsia" w:ascii="仿宋_GB2312" w:hAnsi="宋体" w:eastAsia="仿宋_GB2312"/>
                <w:color w:val="000000"/>
                <w:kern w:val="0"/>
                <w:sz w:val="24"/>
                <w:szCs w:val="24"/>
              </w:rPr>
              <w:t>□商业银行           □政策性银行</w:t>
            </w:r>
          </w:p>
          <w:p w14:paraId="6E5241DC">
            <w:pPr>
              <w:spacing w:line="400" w:lineRule="exact"/>
              <w:rPr>
                <w:rFonts w:hint="eastAsia" w:ascii="仿宋_GB2312" w:hAnsi="宋体" w:eastAsia="仿宋_GB2312"/>
                <w:color w:val="000000"/>
                <w:kern w:val="0"/>
                <w:sz w:val="24"/>
                <w:szCs w:val="24"/>
              </w:rPr>
            </w:pPr>
            <w:r>
              <w:rPr>
                <w:rFonts w:hint="eastAsia" w:ascii="仿宋_GB2312" w:hAnsi="宋体" w:eastAsia="仿宋_GB2312"/>
                <w:color w:val="000000"/>
                <w:kern w:val="0"/>
                <w:sz w:val="24"/>
                <w:szCs w:val="24"/>
              </w:rPr>
              <w:t>□理财公司           □期货公司</w:t>
            </w:r>
          </w:p>
          <w:p w14:paraId="64B57FEB">
            <w:pPr>
              <w:spacing w:line="400" w:lineRule="exact"/>
              <w:rPr>
                <w:rFonts w:hint="eastAsia" w:ascii="仿宋_GB2312" w:hAnsi="宋体" w:eastAsia="仿宋_GB2312"/>
                <w:color w:val="000000"/>
                <w:kern w:val="0"/>
                <w:sz w:val="24"/>
                <w:szCs w:val="24"/>
              </w:rPr>
            </w:pPr>
            <w:r>
              <w:rPr>
                <w:rFonts w:hint="eastAsia" w:ascii="仿宋_GB2312" w:hAnsi="宋体" w:eastAsia="仿宋_GB2312"/>
                <w:color w:val="000000"/>
                <w:kern w:val="0"/>
                <w:sz w:val="24"/>
                <w:szCs w:val="24"/>
              </w:rPr>
              <w:t>□信托公司           □财务公司</w:t>
            </w:r>
          </w:p>
          <w:p w14:paraId="21F942E6">
            <w:pPr>
              <w:spacing w:line="400" w:lineRule="exact"/>
              <w:rPr>
                <w:rFonts w:hint="eastAsia" w:ascii="仿宋_GB2312" w:hAnsi="宋体" w:eastAsia="仿宋_GB2312"/>
                <w:color w:val="000000"/>
                <w:kern w:val="0"/>
                <w:sz w:val="24"/>
                <w:szCs w:val="24"/>
              </w:rPr>
            </w:pPr>
            <w:r>
              <w:rPr>
                <w:rFonts w:hint="eastAsia" w:ascii="仿宋_GB2312" w:hAnsi="宋体" w:eastAsia="仿宋_GB2312"/>
                <w:color w:val="000000"/>
                <w:kern w:val="0"/>
                <w:sz w:val="24"/>
                <w:szCs w:val="24"/>
              </w:rPr>
              <w:t>□合格境外投资者     □私募基金管理人</w:t>
            </w:r>
          </w:p>
          <w:p w14:paraId="728833F0">
            <w:pPr>
              <w:spacing w:line="400" w:lineRule="exact"/>
              <w:rPr>
                <w:rFonts w:hint="eastAsia" w:ascii="仿宋_GB2312" w:hAnsi="宋体" w:eastAsia="仿宋_GB2312"/>
                <w:color w:val="000000"/>
                <w:sz w:val="24"/>
                <w:szCs w:val="24"/>
              </w:rPr>
            </w:pPr>
            <w:r>
              <w:rPr>
                <w:rFonts w:hint="eastAsia" w:ascii="仿宋_GB2312" w:hAnsi="宋体" w:eastAsia="仿宋_GB2312"/>
                <w:color w:val="000000"/>
                <w:kern w:val="0"/>
                <w:sz w:val="24"/>
                <w:szCs w:val="24"/>
              </w:rPr>
              <w:t>□其他中国证监会认可的专业机构投资者</w:t>
            </w:r>
          </w:p>
        </w:tc>
      </w:tr>
    </w:tbl>
    <w:p w14:paraId="47C4D879">
      <w:pPr>
        <w:spacing w:line="312" w:lineRule="auto"/>
        <w:ind w:firstLine="480" w:firstLineChars="200"/>
        <w:rPr>
          <w:rFonts w:hint="eastAsia" w:ascii="仿宋_GB2312" w:hAnsi="宋体" w:eastAsia="仿宋_GB2312"/>
          <w:color w:val="000000"/>
          <w:kern w:val="0"/>
          <w:sz w:val="24"/>
          <w:szCs w:val="24"/>
        </w:rPr>
      </w:pPr>
      <w:r>
        <w:rPr>
          <w:rFonts w:hint="eastAsia" w:ascii="仿宋_GB2312" w:hAnsi="宋体" w:eastAsia="仿宋_GB2312"/>
          <w:color w:val="000000"/>
          <w:kern w:val="0"/>
          <w:sz w:val="24"/>
          <w:szCs w:val="24"/>
        </w:rPr>
        <w:t>本单位将妥善保管证书与证书密码(</w:t>
      </w:r>
      <w:r>
        <w:rPr>
          <w:rFonts w:hint="eastAsia" w:ascii="Times New Roman" w:hAnsi="Times New Roman" w:eastAsia="仿宋_GB2312"/>
          <w:color w:val="000000"/>
          <w:kern w:val="0"/>
          <w:sz w:val="24"/>
          <w:szCs w:val="24"/>
        </w:rPr>
        <w:t>PIN</w:t>
      </w:r>
      <w:r>
        <w:rPr>
          <w:rFonts w:hint="eastAsia" w:ascii="仿宋_GB2312" w:hAnsi="宋体" w:eastAsia="仿宋_GB2312"/>
          <w:color w:val="000000"/>
          <w:kern w:val="0"/>
          <w:sz w:val="24"/>
          <w:szCs w:val="24"/>
        </w:rPr>
        <w:t>码)，避免他人未经本单位授权而使用本单位证书，当相信或怀疑密钥泄漏或被他人冒用时，本单位将提出证书注销申请。</w:t>
      </w:r>
    </w:p>
    <w:p w14:paraId="65B16D0D">
      <w:pPr>
        <w:spacing w:line="312" w:lineRule="auto"/>
        <w:ind w:firstLine="480" w:firstLineChars="200"/>
        <w:rPr>
          <w:rFonts w:hint="eastAsia" w:ascii="仿宋_GB2312" w:hAnsi="宋体" w:eastAsia="仿宋_GB2312"/>
          <w:color w:val="000000"/>
          <w:kern w:val="0"/>
          <w:sz w:val="24"/>
          <w:szCs w:val="24"/>
        </w:rPr>
      </w:pPr>
      <w:r>
        <w:rPr>
          <w:rFonts w:hint="eastAsia" w:ascii="仿宋_GB2312" w:hAnsi="宋体" w:eastAsia="仿宋_GB2312"/>
          <w:color w:val="000000"/>
          <w:kern w:val="0"/>
          <w:sz w:val="24"/>
          <w:szCs w:val="24"/>
        </w:rPr>
        <w:t>如果本单位将证书用于上交所</w:t>
      </w:r>
      <w:r>
        <w:rPr>
          <w:rFonts w:hint="eastAsia" w:ascii="Times New Roman" w:hAnsi="Times New Roman" w:eastAsia="仿宋_GB2312"/>
          <w:color w:val="000000"/>
          <w:kern w:val="0"/>
          <w:sz w:val="24"/>
          <w:szCs w:val="24"/>
        </w:rPr>
        <w:t>REITs</w:t>
      </w:r>
      <w:r>
        <w:rPr>
          <w:rFonts w:hint="eastAsia" w:ascii="仿宋_GB2312" w:hAnsi="宋体" w:eastAsia="仿宋_GB2312"/>
          <w:color w:val="000000"/>
          <w:kern w:val="0"/>
          <w:sz w:val="24"/>
          <w:szCs w:val="24"/>
        </w:rPr>
        <w:t>询价平台以外的其他应用或</w:t>
      </w:r>
      <w:r>
        <w:rPr>
          <w:rFonts w:hint="eastAsia" w:ascii="Times New Roman" w:hAnsi="Times New Roman" w:eastAsia="仿宋_GB2312"/>
          <w:color w:val="000000"/>
          <w:kern w:val="0"/>
          <w:sz w:val="24"/>
          <w:szCs w:val="24"/>
        </w:rPr>
        <w:t>CA</w:t>
      </w:r>
      <w:r>
        <w:rPr>
          <w:rFonts w:hint="eastAsia" w:ascii="仿宋_GB2312" w:hAnsi="宋体" w:eastAsia="仿宋_GB2312"/>
          <w:color w:val="000000"/>
          <w:kern w:val="0"/>
          <w:sz w:val="24"/>
          <w:szCs w:val="24"/>
        </w:rPr>
        <w:t>中心发现证书的安全性不能得到保证时，</w:t>
      </w:r>
      <w:r>
        <w:rPr>
          <w:rFonts w:hint="eastAsia" w:ascii="Times New Roman" w:hAnsi="Times New Roman" w:eastAsia="仿宋_GB2312"/>
          <w:color w:val="000000"/>
          <w:kern w:val="0"/>
          <w:sz w:val="24"/>
          <w:szCs w:val="24"/>
        </w:rPr>
        <w:t>CA</w:t>
      </w:r>
      <w:r>
        <w:rPr>
          <w:rFonts w:hint="eastAsia" w:ascii="仿宋_GB2312" w:hAnsi="宋体" w:eastAsia="仿宋_GB2312"/>
          <w:color w:val="000000"/>
          <w:kern w:val="0"/>
          <w:sz w:val="24"/>
          <w:szCs w:val="24"/>
        </w:rPr>
        <w:t>中心有权吊销用户的数字证书。</w:t>
      </w:r>
    </w:p>
    <w:p w14:paraId="62B1766B">
      <w:pPr>
        <w:wordWrap w:val="0"/>
        <w:spacing w:line="312" w:lineRule="auto"/>
        <w:ind w:firstLine="420"/>
        <w:jc w:val="right"/>
        <w:rPr>
          <w:rFonts w:hint="eastAsia" w:ascii="仿宋_GB2312" w:hAnsi="宋体" w:eastAsia="仿宋_GB2312"/>
          <w:color w:val="000000"/>
          <w:kern w:val="0"/>
          <w:sz w:val="24"/>
          <w:szCs w:val="24"/>
        </w:rPr>
      </w:pPr>
      <w:r>
        <w:rPr>
          <w:rFonts w:hint="eastAsia" w:ascii="仿宋_GB2312" w:hAnsi="宋体" w:eastAsia="仿宋_GB2312"/>
          <w:color w:val="000000"/>
          <w:kern w:val="0"/>
          <w:sz w:val="24"/>
          <w:szCs w:val="24"/>
        </w:rPr>
        <w:t xml:space="preserve">申请机构公章:                   </w:t>
      </w:r>
    </w:p>
    <w:p w14:paraId="4D18D9E3">
      <w:pPr>
        <w:spacing w:line="312" w:lineRule="auto"/>
        <w:ind w:firstLine="420"/>
        <w:jc w:val="right"/>
        <w:rPr>
          <w:rFonts w:hint="eastAsia" w:ascii="仿宋_GB2312" w:hAnsi="宋体" w:eastAsia="仿宋_GB2312"/>
          <w:color w:val="000000"/>
          <w:kern w:val="0"/>
          <w:sz w:val="24"/>
          <w:szCs w:val="24"/>
        </w:rPr>
      </w:pPr>
      <w:r>
        <w:rPr>
          <w:rFonts w:hint="eastAsia" w:ascii="仿宋_GB2312" w:hAnsi="宋体" w:eastAsia="仿宋_GB2312"/>
          <w:color w:val="000000"/>
          <w:kern w:val="0"/>
          <w:sz w:val="24"/>
          <w:szCs w:val="24"/>
        </w:rPr>
        <w:t>法定代表人：</w:t>
      </w:r>
      <w:r>
        <w:rPr>
          <w:rFonts w:hint="eastAsia" w:ascii="仿宋_GB2312" w:hAnsi="仿宋" w:eastAsia="仿宋_GB2312"/>
          <w:sz w:val="24"/>
          <w:szCs w:val="24"/>
        </w:rPr>
        <w:t xml:space="preserve">    （签字或签章）</w:t>
      </w:r>
    </w:p>
    <w:p w14:paraId="4D6BAC56">
      <w:pPr>
        <w:spacing w:line="312" w:lineRule="auto"/>
        <w:ind w:firstLine="105"/>
        <w:jc w:val="right"/>
        <w:rPr>
          <w:rFonts w:hint="eastAsia" w:ascii="仿宋_GB2312" w:hAnsi="宋体" w:eastAsia="仿宋_GB2312"/>
          <w:color w:val="000000"/>
          <w:kern w:val="0"/>
          <w:sz w:val="24"/>
          <w:szCs w:val="24"/>
        </w:rPr>
      </w:pPr>
      <w:r>
        <w:rPr>
          <w:rFonts w:hint="eastAsia" w:ascii="仿宋_GB2312" w:hAnsi="宋体" w:eastAsia="仿宋_GB2312"/>
          <w:color w:val="000000"/>
          <w:kern w:val="0"/>
          <w:sz w:val="24"/>
          <w:szCs w:val="24"/>
        </w:rPr>
        <w:t xml:space="preserve">      年   月   日 </w:t>
      </w:r>
    </w:p>
    <w:p w14:paraId="36BF3509">
      <w:pPr>
        <w:spacing w:line="312" w:lineRule="auto"/>
        <w:ind w:firstLine="105"/>
        <w:jc w:val="right"/>
        <w:rPr>
          <w:rFonts w:hint="eastAsia" w:ascii="仿宋_GB2312" w:hAnsi="宋体" w:eastAsia="仿宋_GB2312"/>
          <w:color w:val="000000"/>
          <w:kern w:val="0"/>
          <w:sz w:val="24"/>
          <w:szCs w:val="24"/>
        </w:rPr>
      </w:pPr>
    </w:p>
    <w:p w14:paraId="60627348">
      <w:pPr>
        <w:spacing w:line="312" w:lineRule="auto"/>
        <w:ind w:firstLine="105"/>
        <w:jc w:val="right"/>
        <w:rPr>
          <w:rFonts w:hint="eastAsia" w:ascii="仿宋_GB2312" w:hAnsi="宋体" w:eastAsia="仿宋_GB2312"/>
          <w:color w:val="000000"/>
          <w:kern w:val="0"/>
          <w:sz w:val="24"/>
          <w:szCs w:val="24"/>
        </w:rPr>
      </w:pPr>
    </w:p>
    <w:p w14:paraId="3BED8944">
      <w:pPr>
        <w:spacing w:line="312" w:lineRule="auto"/>
        <w:rPr>
          <w:rFonts w:hint="eastAsia" w:ascii="仿宋_GB2312" w:hAnsi="宋体" w:eastAsia="仿宋_GB2312"/>
          <w:color w:val="000000"/>
          <w:kern w:val="0"/>
          <w:sz w:val="24"/>
          <w:szCs w:val="24"/>
        </w:rPr>
      </w:pPr>
      <w:r>
        <w:rPr>
          <w:rFonts w:hint="eastAsia" w:ascii="仿宋_GB2312" w:hAnsi="宋体" w:eastAsia="仿宋_GB2312"/>
          <w:color w:val="000000"/>
          <w:kern w:val="0"/>
          <w:sz w:val="24"/>
          <w:szCs w:val="24"/>
        </w:rPr>
        <w:t>================ 以下由</w:t>
      </w:r>
      <w:r>
        <w:rPr>
          <w:rFonts w:hint="eastAsia" w:ascii="Times New Roman" w:hAnsi="Times New Roman" w:eastAsia="仿宋_GB2312"/>
          <w:color w:val="000000"/>
          <w:kern w:val="0"/>
          <w:sz w:val="24"/>
          <w:szCs w:val="24"/>
        </w:rPr>
        <w:t>REITs</w:t>
      </w:r>
      <w:r>
        <w:rPr>
          <w:rFonts w:hint="eastAsia" w:ascii="仿宋_GB2312" w:hAnsi="宋体" w:eastAsia="仿宋_GB2312"/>
          <w:color w:val="000000"/>
          <w:kern w:val="0"/>
          <w:sz w:val="24"/>
          <w:szCs w:val="24"/>
        </w:rPr>
        <w:t>基金管理人填写 ====================</w:t>
      </w:r>
    </w:p>
    <w:p w14:paraId="22B7D610">
      <w:pPr>
        <w:spacing w:line="312" w:lineRule="auto"/>
        <w:rPr>
          <w:rFonts w:hint="eastAsia" w:ascii="仿宋_GB2312" w:hAnsi="宋体" w:eastAsia="仿宋_GB2312"/>
          <w:color w:val="000000"/>
          <w:kern w:val="0"/>
          <w:sz w:val="24"/>
          <w:szCs w:val="24"/>
        </w:rPr>
      </w:pPr>
      <w:r>
        <w:rPr>
          <w:rFonts w:hint="eastAsia" w:ascii="仿宋_GB2312" w:hAnsi="宋体" w:eastAsia="仿宋_GB2312"/>
          <w:color w:val="000000"/>
          <w:kern w:val="0"/>
          <w:sz w:val="24"/>
          <w:szCs w:val="24"/>
        </w:rPr>
        <w:t xml:space="preserve">    经我单位审核，该机构符合参加</w:t>
      </w:r>
      <w:r>
        <w:rPr>
          <w:rFonts w:hint="eastAsia" w:ascii="Times New Roman" w:hAnsi="Times New Roman" w:eastAsia="仿宋_GB2312"/>
          <w:color w:val="000000"/>
          <w:kern w:val="0"/>
          <w:sz w:val="24"/>
          <w:szCs w:val="24"/>
        </w:rPr>
        <w:t>REITs</w:t>
      </w:r>
      <w:r>
        <w:rPr>
          <w:rFonts w:hint="eastAsia" w:ascii="仿宋_GB2312" w:hAnsi="宋体" w:eastAsia="仿宋_GB2312"/>
          <w:color w:val="000000"/>
          <w:kern w:val="0"/>
          <w:sz w:val="24"/>
          <w:szCs w:val="24"/>
        </w:rPr>
        <w:t>询价的相关资格要求，请予以办理上交所</w:t>
      </w:r>
      <w:r>
        <w:rPr>
          <w:rFonts w:hint="eastAsia" w:ascii="Times New Roman" w:hAnsi="Times New Roman" w:eastAsia="仿宋_GB2312"/>
          <w:color w:val="000000"/>
          <w:kern w:val="0"/>
          <w:sz w:val="24"/>
          <w:szCs w:val="24"/>
        </w:rPr>
        <w:t>REITs</w:t>
      </w:r>
      <w:r>
        <w:rPr>
          <w:rFonts w:hint="eastAsia" w:ascii="仿宋_GB2312" w:hAnsi="宋体" w:eastAsia="仿宋_GB2312"/>
          <w:color w:val="000000"/>
          <w:kern w:val="0"/>
          <w:sz w:val="24"/>
          <w:szCs w:val="24"/>
        </w:rPr>
        <w:t>网下机构投资者证书。</w:t>
      </w:r>
    </w:p>
    <w:p w14:paraId="019BEDEC">
      <w:pPr>
        <w:spacing w:line="312" w:lineRule="auto"/>
        <w:jc w:val="right"/>
        <w:rPr>
          <w:rFonts w:hint="eastAsia" w:ascii="仿宋_GB2312" w:hAnsi="宋体" w:eastAsia="仿宋_GB2312"/>
          <w:color w:val="000000"/>
          <w:kern w:val="0"/>
          <w:sz w:val="24"/>
          <w:szCs w:val="24"/>
        </w:rPr>
      </w:pPr>
    </w:p>
    <w:p w14:paraId="56031C7F">
      <w:pPr>
        <w:spacing w:line="312" w:lineRule="auto"/>
        <w:jc w:val="right"/>
        <w:rPr>
          <w:rFonts w:hint="eastAsia" w:ascii="仿宋_GB2312" w:hAnsi="宋体" w:eastAsia="仿宋_GB2312"/>
          <w:color w:val="000000"/>
          <w:kern w:val="0"/>
          <w:sz w:val="24"/>
          <w:szCs w:val="24"/>
        </w:rPr>
      </w:pPr>
    </w:p>
    <w:p w14:paraId="506922F5">
      <w:pPr>
        <w:spacing w:line="312" w:lineRule="auto"/>
        <w:jc w:val="right"/>
        <w:rPr>
          <w:rFonts w:hint="eastAsia" w:ascii="仿宋_GB2312" w:hAnsi="宋体" w:eastAsia="仿宋_GB2312"/>
          <w:color w:val="000000"/>
          <w:kern w:val="0"/>
          <w:sz w:val="24"/>
          <w:szCs w:val="24"/>
        </w:rPr>
      </w:pPr>
      <w:r>
        <w:rPr>
          <w:rFonts w:hint="eastAsia" w:ascii="仿宋_GB2312" w:hAnsi="宋体" w:eastAsia="仿宋_GB2312"/>
          <w:color w:val="000000"/>
          <w:kern w:val="0"/>
          <w:sz w:val="24"/>
          <w:szCs w:val="24"/>
        </w:rPr>
        <w:t>经办人签字:                  年   月   日</w:t>
      </w:r>
    </w:p>
    <w:p w14:paraId="6C6EE8BE">
      <w:pPr>
        <w:wordWrap w:val="0"/>
        <w:spacing w:line="312" w:lineRule="auto"/>
        <w:jc w:val="center"/>
        <w:rPr>
          <w:rFonts w:hint="eastAsia" w:ascii="仿宋_GB2312" w:hAnsi="宋体" w:eastAsia="仿宋_GB2312"/>
          <w:color w:val="000000"/>
          <w:kern w:val="0"/>
          <w:sz w:val="24"/>
          <w:szCs w:val="24"/>
        </w:rPr>
      </w:pPr>
      <w:r>
        <w:rPr>
          <w:rFonts w:hint="eastAsia" w:ascii="仿宋_GB2312" w:hAnsi="宋体" w:eastAsia="仿宋_GB2312"/>
          <w:color w:val="000000"/>
          <w:kern w:val="0"/>
          <w:sz w:val="24"/>
          <w:szCs w:val="24"/>
        </w:rPr>
        <w:t xml:space="preserve">              </w:t>
      </w:r>
      <w:r>
        <w:rPr>
          <w:rFonts w:hint="eastAsia" w:ascii="Times New Roman" w:hAnsi="Times New Roman" w:eastAsia="仿宋_GB2312"/>
          <w:color w:val="000000"/>
          <w:kern w:val="0"/>
          <w:sz w:val="24"/>
          <w:szCs w:val="24"/>
        </w:rPr>
        <w:t>REITs</w:t>
      </w:r>
      <w:r>
        <w:rPr>
          <w:rFonts w:hint="eastAsia" w:ascii="仿宋_GB2312" w:hAnsi="宋体" w:eastAsia="仿宋_GB2312"/>
          <w:color w:val="000000"/>
          <w:kern w:val="0"/>
          <w:sz w:val="24"/>
          <w:szCs w:val="24"/>
        </w:rPr>
        <w:t xml:space="preserve">基金管理人盖章：    </w:t>
      </w:r>
    </w:p>
    <w:p w14:paraId="75E3B5C2">
      <w:pPr>
        <w:jc w:val="left"/>
        <w:rPr>
          <w:rFonts w:hint="eastAsia" w:ascii="仿宋_GB2312" w:hAnsi="宋体" w:eastAsia="仿宋_GB2312"/>
          <w:color w:val="000000"/>
          <w:kern w:val="0"/>
          <w:sz w:val="24"/>
          <w:szCs w:val="24"/>
        </w:rPr>
      </w:pPr>
      <w:r>
        <w:rPr>
          <w:rFonts w:hint="eastAsia" w:ascii="仿宋_GB2312" w:hAnsi="宋体" w:eastAsia="仿宋_GB2312"/>
          <w:color w:val="000000"/>
          <w:kern w:val="0"/>
          <w:sz w:val="24"/>
          <w:szCs w:val="24"/>
        </w:rPr>
        <w:br w:type="page"/>
      </w:r>
    </w:p>
    <w:p w14:paraId="3BC0D3AE">
      <w:pPr>
        <w:spacing w:line="360" w:lineRule="auto"/>
        <w:outlineLvl w:val="2"/>
        <w:rPr>
          <w:rFonts w:hint="eastAsia" w:ascii="宋体" w:hAnsi="宋体"/>
          <w:b/>
          <w:sz w:val="24"/>
          <w:szCs w:val="24"/>
        </w:rPr>
      </w:pPr>
      <w:bookmarkStart w:id="1321" w:name="_Toc65181444"/>
      <w:bookmarkStart w:id="1322" w:name="_Toc62990984"/>
      <w:bookmarkStart w:id="1323" w:name="_Toc18299"/>
      <w:bookmarkStart w:id="1324" w:name="_Toc1656086901"/>
      <w:bookmarkStart w:id="1325" w:name="_Toc1399218633"/>
      <w:bookmarkStart w:id="1326" w:name="_Toc62349318"/>
      <w:bookmarkStart w:id="1327" w:name="_Toc13259191"/>
      <w:bookmarkStart w:id="1328" w:name="_Toc678671180"/>
      <w:bookmarkStart w:id="1329" w:name="_Toc1819096286"/>
      <w:bookmarkStart w:id="1330" w:name="_Toc70604247"/>
      <w:bookmarkStart w:id="1331" w:name="_Toc1425748505"/>
      <w:r>
        <w:rPr>
          <w:rFonts w:hint="eastAsia" w:ascii="宋体" w:hAnsi="宋体"/>
          <w:b/>
          <w:sz w:val="24"/>
          <w:szCs w:val="24"/>
        </w:rPr>
        <w:t>附件</w:t>
      </w:r>
      <w:r>
        <w:rPr>
          <w:rFonts w:hint="eastAsia" w:ascii="Times New Roman" w:hAnsi="Times New Roman"/>
          <w:b/>
          <w:sz w:val="24"/>
          <w:szCs w:val="24"/>
        </w:rPr>
        <w:t>1</w:t>
      </w:r>
      <w:r>
        <w:rPr>
          <w:rFonts w:hint="eastAsia" w:ascii="宋体" w:hAnsi="宋体"/>
          <w:b/>
          <w:sz w:val="24"/>
          <w:szCs w:val="24"/>
        </w:rPr>
        <w:t>-</w:t>
      </w:r>
      <w:r>
        <w:rPr>
          <w:rFonts w:hint="eastAsia" w:ascii="Times New Roman" w:hAnsi="Times New Roman"/>
          <w:b/>
          <w:sz w:val="24"/>
          <w:szCs w:val="24"/>
        </w:rPr>
        <w:t>4</w:t>
      </w:r>
      <w:r>
        <w:rPr>
          <w:rFonts w:hint="eastAsia" w:ascii="宋体" w:hAnsi="宋体"/>
          <w:b/>
          <w:sz w:val="24"/>
          <w:szCs w:val="24"/>
        </w:rPr>
        <w:t>：</w:t>
      </w:r>
      <w:bookmarkEnd w:id="1321"/>
      <w:bookmarkEnd w:id="1322"/>
      <w:bookmarkEnd w:id="1323"/>
      <w:r>
        <w:rPr>
          <w:rFonts w:hint="eastAsia" w:ascii="宋体" w:hAnsi="宋体"/>
          <w:b/>
          <w:sz w:val="24"/>
          <w:szCs w:val="24"/>
        </w:rPr>
        <w:t>基金管理人代网下机构投资者申请数字证书的承诺</w:t>
      </w:r>
      <w:bookmarkEnd w:id="1324"/>
      <w:bookmarkEnd w:id="1325"/>
      <w:bookmarkEnd w:id="1326"/>
      <w:bookmarkEnd w:id="1327"/>
      <w:bookmarkEnd w:id="1328"/>
      <w:bookmarkEnd w:id="1329"/>
      <w:bookmarkEnd w:id="1330"/>
      <w:bookmarkEnd w:id="1331"/>
    </w:p>
    <w:p w14:paraId="6F858BF5">
      <w:pPr>
        <w:jc w:val="center"/>
        <w:rPr>
          <w:rFonts w:hint="eastAsia" w:ascii="宋体" w:hAnsi="宋体"/>
          <w:b/>
          <w:sz w:val="24"/>
          <w:szCs w:val="24"/>
        </w:rPr>
      </w:pPr>
      <w:r>
        <w:rPr>
          <w:rFonts w:hint="eastAsia" w:ascii="宋体" w:hAnsi="宋体"/>
          <w:b/>
          <w:sz w:val="24"/>
          <w:szCs w:val="24"/>
        </w:rPr>
        <w:t>上交所</w:t>
      </w:r>
      <w:r>
        <w:rPr>
          <w:rFonts w:ascii="Times New Roman" w:hAnsi="Times New Roman"/>
          <w:b/>
          <w:sz w:val="24"/>
          <w:szCs w:val="24"/>
        </w:rPr>
        <w:t>REITs</w:t>
      </w:r>
      <w:r>
        <w:rPr>
          <w:rFonts w:ascii="宋体" w:hAnsi="宋体"/>
          <w:b/>
          <w:sz w:val="24"/>
          <w:szCs w:val="24"/>
        </w:rPr>
        <w:t>网下机构投资者</w:t>
      </w:r>
      <w:r>
        <w:rPr>
          <w:rFonts w:hint="eastAsia" w:ascii="宋体" w:hAnsi="宋体"/>
          <w:b/>
          <w:sz w:val="24"/>
          <w:szCs w:val="24"/>
        </w:rPr>
        <w:t>数字证书申请承诺书</w:t>
      </w:r>
    </w:p>
    <w:p w14:paraId="7157165C">
      <w:pPr>
        <w:spacing w:before="156" w:beforeLines="50" w:line="312" w:lineRule="auto"/>
        <w:rPr>
          <w:rFonts w:hint="eastAsia" w:ascii="仿宋_GB2312" w:hAnsi="宋体" w:eastAsia="仿宋_GB2312"/>
          <w:sz w:val="24"/>
          <w:szCs w:val="24"/>
          <w:u w:val="single"/>
        </w:rPr>
      </w:pPr>
      <w:r>
        <w:rPr>
          <w:rFonts w:hint="eastAsia" w:ascii="仿宋_GB2312" w:hAnsi="宋体" w:eastAsia="仿宋_GB2312"/>
          <w:sz w:val="24"/>
          <w:szCs w:val="24"/>
        </w:rPr>
        <w:t>基金管理人名称：</w:t>
      </w:r>
      <w:r>
        <w:rPr>
          <w:rFonts w:hint="eastAsia" w:ascii="仿宋_GB2312" w:hAnsi="宋体" w:eastAsia="仿宋_GB2312"/>
          <w:sz w:val="24"/>
          <w:szCs w:val="24"/>
          <w:u w:val="single"/>
        </w:rPr>
        <w:t xml:space="preserve">                          </w:t>
      </w:r>
    </w:p>
    <w:p w14:paraId="3501B80A">
      <w:pPr>
        <w:spacing w:line="312" w:lineRule="auto"/>
        <w:ind w:firstLine="480" w:firstLineChars="200"/>
        <w:rPr>
          <w:rFonts w:hint="eastAsia" w:ascii="仿宋_GB2312" w:hAnsi="宋体" w:eastAsia="仿宋_GB2312"/>
          <w:sz w:val="24"/>
          <w:szCs w:val="24"/>
        </w:rPr>
      </w:pPr>
      <w:r>
        <w:rPr>
          <w:rFonts w:hint="eastAsia" w:ascii="仿宋_GB2312" w:hAnsi="宋体" w:eastAsia="仿宋_GB2312"/>
          <w:sz w:val="24"/>
          <w:szCs w:val="24"/>
        </w:rPr>
        <w:t>为确保</w:t>
      </w:r>
      <w:r>
        <w:rPr>
          <w:rFonts w:hint="eastAsia" w:ascii="Times New Roman" w:hAnsi="Times New Roman" w:eastAsia="仿宋_GB2312"/>
          <w:sz w:val="24"/>
          <w:szCs w:val="24"/>
        </w:rPr>
        <w:t>REITs</w:t>
      </w:r>
      <w:r>
        <w:rPr>
          <w:rFonts w:hint="eastAsia" w:ascii="仿宋_GB2312" w:hAnsi="宋体" w:eastAsia="仿宋_GB2312"/>
          <w:sz w:val="24"/>
          <w:szCs w:val="24"/>
        </w:rPr>
        <w:t>网下发售安全顺利进行，本基金管理人承诺：</w:t>
      </w:r>
    </w:p>
    <w:p w14:paraId="1DFE31C6">
      <w:pPr>
        <w:spacing w:line="312" w:lineRule="auto"/>
        <w:rPr>
          <w:rFonts w:hint="eastAsia" w:ascii="仿宋_GB2312" w:hAnsi="宋体" w:eastAsia="仿宋_GB2312"/>
          <w:sz w:val="24"/>
          <w:szCs w:val="24"/>
        </w:rPr>
      </w:pPr>
      <w:r>
        <w:rPr>
          <w:rFonts w:hint="eastAsia" w:ascii="Times New Roman" w:hAnsi="Times New Roman" w:eastAsia="仿宋_GB2312"/>
          <w:sz w:val="24"/>
          <w:szCs w:val="24"/>
        </w:rPr>
        <w:t>1</w:t>
      </w:r>
      <w:r>
        <w:rPr>
          <w:rFonts w:hint="eastAsia" w:ascii="仿宋_GB2312" w:hAnsi="宋体" w:eastAsia="仿宋_GB2312"/>
          <w:sz w:val="24"/>
          <w:szCs w:val="24"/>
        </w:rPr>
        <w:t>、制订相应业务流程，负责受理</w:t>
      </w:r>
      <w:r>
        <w:rPr>
          <w:rFonts w:hint="eastAsia" w:ascii="Times New Roman" w:hAnsi="Times New Roman" w:eastAsia="仿宋_GB2312"/>
          <w:sz w:val="24"/>
          <w:szCs w:val="24"/>
        </w:rPr>
        <w:t>REITs</w:t>
      </w:r>
      <w:r>
        <w:rPr>
          <w:rFonts w:hint="eastAsia" w:ascii="仿宋_GB2312" w:hAnsi="宋体" w:eastAsia="仿宋_GB2312"/>
          <w:sz w:val="24"/>
          <w:szCs w:val="24"/>
        </w:rPr>
        <w:t>网下机构投资者数字证书（简称证书）申请、审核</w:t>
      </w:r>
      <w:r>
        <w:rPr>
          <w:rFonts w:hint="eastAsia" w:ascii="Times New Roman" w:hAnsi="Times New Roman" w:eastAsia="仿宋_GB2312"/>
          <w:sz w:val="24"/>
          <w:szCs w:val="24"/>
        </w:rPr>
        <w:t>REITs</w:t>
      </w:r>
      <w:r>
        <w:rPr>
          <w:rFonts w:hint="eastAsia" w:ascii="仿宋_GB2312" w:hAnsi="宋体" w:eastAsia="仿宋_GB2312"/>
          <w:sz w:val="24"/>
          <w:szCs w:val="24"/>
        </w:rPr>
        <w:t>网下机构投资者资格并负责向其发放证书。</w:t>
      </w:r>
    </w:p>
    <w:p w14:paraId="3BC8401D">
      <w:pPr>
        <w:spacing w:line="312" w:lineRule="auto"/>
        <w:rPr>
          <w:rFonts w:hint="eastAsia" w:ascii="仿宋_GB2312" w:hAnsi="宋体" w:eastAsia="仿宋_GB2312"/>
          <w:sz w:val="24"/>
          <w:szCs w:val="24"/>
        </w:rPr>
      </w:pPr>
      <w:r>
        <w:rPr>
          <w:rFonts w:hint="eastAsia" w:ascii="Times New Roman" w:hAnsi="Times New Roman" w:eastAsia="仿宋_GB2312"/>
          <w:sz w:val="24"/>
          <w:szCs w:val="24"/>
        </w:rPr>
        <w:t>2</w:t>
      </w:r>
      <w:r>
        <w:rPr>
          <w:rFonts w:hint="eastAsia" w:ascii="仿宋_GB2312" w:hAnsi="宋体" w:eastAsia="仿宋_GB2312"/>
          <w:sz w:val="24"/>
          <w:szCs w:val="24"/>
        </w:rPr>
        <w:t>、为</w:t>
      </w:r>
      <w:r>
        <w:rPr>
          <w:rFonts w:hint="eastAsia" w:ascii="Times New Roman" w:hAnsi="Times New Roman" w:eastAsia="仿宋_GB2312"/>
          <w:sz w:val="24"/>
          <w:szCs w:val="24"/>
        </w:rPr>
        <w:t>REITs</w:t>
      </w:r>
      <w:r>
        <w:rPr>
          <w:rFonts w:hint="eastAsia" w:ascii="仿宋_GB2312" w:hAnsi="宋体" w:eastAsia="仿宋_GB2312"/>
          <w:sz w:val="24"/>
          <w:szCs w:val="24"/>
        </w:rPr>
        <w:t>网下机构投资者办理证书申请、注销等提供业务、流程支持。</w:t>
      </w:r>
    </w:p>
    <w:p w14:paraId="0C506172">
      <w:pPr>
        <w:spacing w:line="312" w:lineRule="auto"/>
        <w:rPr>
          <w:rFonts w:hint="eastAsia" w:ascii="仿宋_GB2312" w:hAnsi="宋体" w:eastAsia="仿宋_GB2312"/>
          <w:sz w:val="24"/>
          <w:szCs w:val="24"/>
        </w:rPr>
      </w:pPr>
      <w:r>
        <w:rPr>
          <w:rFonts w:hint="eastAsia" w:ascii="Times New Roman" w:hAnsi="Times New Roman" w:eastAsia="仿宋_GB2312"/>
          <w:sz w:val="24"/>
          <w:szCs w:val="24"/>
        </w:rPr>
        <w:t>3</w:t>
      </w:r>
      <w:r>
        <w:rPr>
          <w:rFonts w:hint="eastAsia" w:ascii="仿宋_GB2312" w:hAnsi="宋体" w:eastAsia="仿宋_GB2312"/>
          <w:sz w:val="24"/>
          <w:szCs w:val="24"/>
        </w:rPr>
        <w:t>、申请证书时提交给</w:t>
      </w:r>
      <w:r>
        <w:rPr>
          <w:rFonts w:hint="eastAsia" w:ascii="Times New Roman" w:hAnsi="Times New Roman" w:eastAsia="仿宋_GB2312"/>
          <w:sz w:val="24"/>
          <w:szCs w:val="24"/>
        </w:rPr>
        <w:t>CA</w:t>
      </w:r>
      <w:r>
        <w:rPr>
          <w:rFonts w:hint="eastAsia" w:ascii="仿宋_GB2312" w:hAnsi="宋体" w:eastAsia="仿宋_GB2312"/>
          <w:sz w:val="24"/>
          <w:szCs w:val="24"/>
        </w:rPr>
        <w:t>中心的申请材料真实、准确。</w:t>
      </w:r>
    </w:p>
    <w:p w14:paraId="02B6FBC7">
      <w:pPr>
        <w:spacing w:line="312" w:lineRule="auto"/>
        <w:rPr>
          <w:rFonts w:hint="eastAsia" w:ascii="仿宋_GB2312" w:hAnsi="宋体" w:eastAsia="仿宋_GB2312"/>
          <w:sz w:val="24"/>
          <w:szCs w:val="24"/>
        </w:rPr>
      </w:pPr>
      <w:r>
        <w:rPr>
          <w:rFonts w:hint="eastAsia" w:ascii="Times New Roman" w:hAnsi="Times New Roman" w:eastAsia="仿宋_GB2312"/>
          <w:sz w:val="24"/>
          <w:szCs w:val="24"/>
        </w:rPr>
        <w:t>4</w:t>
      </w:r>
      <w:r>
        <w:rPr>
          <w:rFonts w:hint="eastAsia" w:ascii="仿宋_GB2312" w:hAnsi="宋体" w:eastAsia="仿宋_GB2312"/>
          <w:sz w:val="24"/>
          <w:szCs w:val="24"/>
        </w:rPr>
        <w:t>、妥善保管从</w:t>
      </w:r>
      <w:r>
        <w:rPr>
          <w:rFonts w:hint="eastAsia" w:ascii="Times New Roman" w:hAnsi="Times New Roman" w:eastAsia="仿宋_GB2312"/>
          <w:sz w:val="24"/>
          <w:szCs w:val="24"/>
        </w:rPr>
        <w:t>CA</w:t>
      </w:r>
      <w:r>
        <w:rPr>
          <w:rFonts w:hint="eastAsia" w:ascii="仿宋_GB2312" w:hAnsi="宋体" w:eastAsia="仿宋_GB2312"/>
          <w:sz w:val="24"/>
          <w:szCs w:val="24"/>
        </w:rPr>
        <w:t>中心领取的证书和密码信封，当相信或怀疑密钥泄漏或被他人冒用等情形，及时向</w:t>
      </w:r>
      <w:r>
        <w:rPr>
          <w:rFonts w:hint="eastAsia" w:ascii="Times New Roman" w:hAnsi="Times New Roman" w:eastAsia="仿宋_GB2312"/>
          <w:sz w:val="24"/>
          <w:szCs w:val="24"/>
        </w:rPr>
        <w:t>CA</w:t>
      </w:r>
      <w:r>
        <w:rPr>
          <w:rFonts w:hint="eastAsia" w:ascii="仿宋_GB2312" w:hAnsi="宋体" w:eastAsia="仿宋_GB2312"/>
          <w:sz w:val="24"/>
          <w:szCs w:val="24"/>
        </w:rPr>
        <w:t>中心提出证书注销申请。</w:t>
      </w:r>
    </w:p>
    <w:p w14:paraId="40E5BEF6">
      <w:pPr>
        <w:spacing w:line="312" w:lineRule="auto"/>
        <w:rPr>
          <w:rFonts w:hint="eastAsia" w:ascii="仿宋_GB2312" w:hAnsi="宋体" w:eastAsia="仿宋_GB2312"/>
          <w:sz w:val="24"/>
          <w:szCs w:val="24"/>
        </w:rPr>
      </w:pPr>
      <w:r>
        <w:rPr>
          <w:rFonts w:hint="eastAsia" w:ascii="Times New Roman" w:hAnsi="Times New Roman" w:eastAsia="仿宋_GB2312"/>
          <w:sz w:val="24"/>
          <w:szCs w:val="24"/>
        </w:rPr>
        <w:t>5</w:t>
      </w:r>
      <w:r>
        <w:rPr>
          <w:rFonts w:hint="eastAsia" w:ascii="仿宋_GB2312" w:hAnsi="宋体" w:eastAsia="仿宋_GB2312"/>
          <w:sz w:val="24"/>
          <w:szCs w:val="24"/>
        </w:rPr>
        <w:t>、证书发放给用户时，对用户进行身份审核并详细记录用户身份信息，同时告知用户：</w:t>
      </w:r>
    </w:p>
    <w:p w14:paraId="48DBA9A7">
      <w:pPr>
        <w:spacing w:line="312" w:lineRule="auto"/>
        <w:rPr>
          <w:rFonts w:hint="eastAsia" w:ascii="仿宋_GB2312" w:hAnsi="宋体" w:eastAsia="仿宋_GB2312"/>
          <w:sz w:val="24"/>
          <w:szCs w:val="24"/>
        </w:rPr>
      </w:pPr>
      <w:r>
        <w:rPr>
          <w:rFonts w:hint="eastAsia" w:ascii="仿宋_GB2312" w:hAnsi="宋体" w:eastAsia="仿宋_GB2312"/>
          <w:sz w:val="24"/>
          <w:szCs w:val="24"/>
        </w:rPr>
        <w:t xml:space="preserve">  </w:t>
      </w:r>
      <w:r>
        <w:rPr>
          <w:rFonts w:hint="eastAsia" w:ascii="Times New Roman" w:hAnsi="Times New Roman" w:eastAsia="仿宋_GB2312"/>
          <w:sz w:val="24"/>
          <w:szCs w:val="24"/>
        </w:rPr>
        <w:t>1</w:t>
      </w:r>
      <w:r>
        <w:rPr>
          <w:rFonts w:hint="eastAsia" w:ascii="仿宋_GB2312" w:hAnsi="宋体" w:eastAsia="仿宋_GB2312"/>
          <w:sz w:val="24"/>
          <w:szCs w:val="24"/>
        </w:rPr>
        <w:t>）妥善保存其私钥和证书，避免他人未经本人授权而使用本人证书情形的发生，当相信或怀疑密钥泄漏或被他人冒用等情形，用户应提出证书注销申请。</w:t>
      </w:r>
    </w:p>
    <w:p w14:paraId="2E0844AF">
      <w:pPr>
        <w:spacing w:line="312" w:lineRule="auto"/>
        <w:rPr>
          <w:rFonts w:hint="eastAsia" w:ascii="仿宋_GB2312" w:hAnsi="宋体" w:eastAsia="仿宋_GB2312"/>
          <w:sz w:val="24"/>
          <w:szCs w:val="24"/>
        </w:rPr>
      </w:pPr>
      <w:r>
        <w:rPr>
          <w:rFonts w:hint="eastAsia" w:ascii="仿宋_GB2312" w:hAnsi="宋体" w:eastAsia="仿宋_GB2312"/>
          <w:sz w:val="24"/>
          <w:szCs w:val="24"/>
        </w:rPr>
        <w:t xml:space="preserve">  </w:t>
      </w:r>
      <w:r>
        <w:rPr>
          <w:rFonts w:hint="eastAsia" w:ascii="Times New Roman" w:hAnsi="Times New Roman" w:eastAsia="仿宋_GB2312"/>
          <w:sz w:val="24"/>
          <w:szCs w:val="24"/>
        </w:rPr>
        <w:t>2</w:t>
      </w:r>
      <w:r>
        <w:rPr>
          <w:rFonts w:hint="eastAsia" w:ascii="仿宋_GB2312" w:hAnsi="宋体" w:eastAsia="仿宋_GB2312"/>
          <w:sz w:val="24"/>
          <w:szCs w:val="24"/>
        </w:rPr>
        <w:t>）如果用户将证书用于上交所</w:t>
      </w:r>
      <w:r>
        <w:rPr>
          <w:rFonts w:hint="eastAsia" w:ascii="Times New Roman" w:hAnsi="Times New Roman" w:eastAsia="仿宋_GB2312"/>
          <w:sz w:val="24"/>
          <w:szCs w:val="24"/>
        </w:rPr>
        <w:t>REITs</w:t>
      </w:r>
      <w:r>
        <w:rPr>
          <w:rFonts w:hint="eastAsia" w:ascii="仿宋_GB2312" w:hAnsi="宋体" w:eastAsia="仿宋_GB2312"/>
          <w:sz w:val="24"/>
          <w:szCs w:val="24"/>
        </w:rPr>
        <w:t>询价平台以外的其他应用时，</w:t>
      </w:r>
      <w:r>
        <w:rPr>
          <w:rFonts w:hint="eastAsia" w:ascii="Times New Roman" w:hAnsi="Times New Roman" w:eastAsia="仿宋_GB2312"/>
          <w:sz w:val="24"/>
          <w:szCs w:val="24"/>
        </w:rPr>
        <w:t>CA</w:t>
      </w:r>
      <w:r>
        <w:rPr>
          <w:rFonts w:hint="eastAsia" w:ascii="仿宋_GB2312" w:hAnsi="宋体" w:eastAsia="仿宋_GB2312"/>
          <w:sz w:val="24"/>
          <w:szCs w:val="24"/>
        </w:rPr>
        <w:t>中心有权吊销用户的证书。</w:t>
      </w:r>
    </w:p>
    <w:p w14:paraId="0E3FBF53">
      <w:pPr>
        <w:spacing w:line="312" w:lineRule="auto"/>
        <w:rPr>
          <w:rFonts w:hint="eastAsia" w:ascii="仿宋_GB2312" w:hAnsi="宋体" w:eastAsia="仿宋_GB2312"/>
          <w:sz w:val="24"/>
          <w:szCs w:val="24"/>
        </w:rPr>
      </w:pPr>
      <w:r>
        <w:rPr>
          <w:rFonts w:hint="eastAsia" w:ascii="仿宋_GB2312" w:hAnsi="宋体" w:eastAsia="仿宋_GB2312"/>
          <w:sz w:val="24"/>
          <w:szCs w:val="24"/>
        </w:rPr>
        <w:t xml:space="preserve">  </w:t>
      </w:r>
      <w:r>
        <w:rPr>
          <w:rFonts w:hint="eastAsia" w:ascii="Times New Roman" w:hAnsi="Times New Roman" w:eastAsia="仿宋_GB2312"/>
          <w:sz w:val="24"/>
          <w:szCs w:val="24"/>
        </w:rPr>
        <w:t>3</w:t>
      </w:r>
      <w:r>
        <w:rPr>
          <w:rFonts w:hint="eastAsia" w:ascii="仿宋_GB2312" w:hAnsi="宋体" w:eastAsia="仿宋_GB2312"/>
          <w:sz w:val="24"/>
          <w:szCs w:val="24"/>
        </w:rPr>
        <w:t>）</w:t>
      </w:r>
      <w:r>
        <w:rPr>
          <w:rFonts w:hint="eastAsia" w:ascii="Times New Roman" w:hAnsi="Times New Roman" w:eastAsia="仿宋_GB2312"/>
          <w:sz w:val="24"/>
          <w:szCs w:val="24"/>
        </w:rPr>
        <w:t>CA</w:t>
      </w:r>
      <w:r>
        <w:rPr>
          <w:rFonts w:hint="eastAsia" w:ascii="仿宋_GB2312" w:hAnsi="宋体" w:eastAsia="仿宋_GB2312"/>
          <w:sz w:val="24"/>
          <w:szCs w:val="24"/>
        </w:rPr>
        <w:t>中心在发现证书的安全性不能得到保证时，</w:t>
      </w:r>
      <w:r>
        <w:rPr>
          <w:rFonts w:hint="eastAsia" w:ascii="Times New Roman" w:hAnsi="Times New Roman" w:eastAsia="仿宋_GB2312"/>
          <w:sz w:val="24"/>
          <w:szCs w:val="24"/>
        </w:rPr>
        <w:t>CA</w:t>
      </w:r>
      <w:r>
        <w:rPr>
          <w:rFonts w:hint="eastAsia" w:ascii="仿宋_GB2312" w:hAnsi="宋体" w:eastAsia="仿宋_GB2312"/>
          <w:sz w:val="24"/>
          <w:szCs w:val="24"/>
        </w:rPr>
        <w:t>中心有权吊销用户的证书。</w:t>
      </w:r>
    </w:p>
    <w:p w14:paraId="3E9B8D26">
      <w:pPr>
        <w:wordWrap w:val="0"/>
        <w:spacing w:line="312" w:lineRule="auto"/>
        <w:jc w:val="right"/>
        <w:rPr>
          <w:rFonts w:hint="eastAsia" w:ascii="仿宋_GB2312" w:hAnsi="宋体" w:eastAsia="仿宋_GB2312"/>
          <w:sz w:val="24"/>
          <w:szCs w:val="24"/>
        </w:rPr>
      </w:pPr>
      <w:r>
        <w:rPr>
          <w:rFonts w:hint="eastAsia" w:ascii="仿宋_GB2312" w:hAnsi="宋体" w:eastAsia="仿宋_GB2312"/>
          <w:sz w:val="24"/>
          <w:szCs w:val="24"/>
        </w:rPr>
        <w:t xml:space="preserve">承诺机构盖章：           </w:t>
      </w:r>
    </w:p>
    <w:p w14:paraId="7082B4E8">
      <w:pPr>
        <w:wordWrap w:val="0"/>
        <w:spacing w:line="312" w:lineRule="auto"/>
        <w:jc w:val="right"/>
        <w:rPr>
          <w:rFonts w:hint="eastAsia" w:ascii="仿宋_GB2312" w:hAnsi="宋体" w:eastAsia="仿宋_GB2312"/>
          <w:sz w:val="24"/>
          <w:szCs w:val="24"/>
        </w:rPr>
      </w:pPr>
      <w:r>
        <w:rPr>
          <w:rFonts w:hint="eastAsia" w:ascii="仿宋_GB2312" w:hAnsi="宋体" w:eastAsia="仿宋_GB2312"/>
          <w:sz w:val="24"/>
          <w:szCs w:val="24"/>
        </w:rPr>
        <w:t>年   月  日</w:t>
      </w:r>
    </w:p>
    <w:p w14:paraId="61631AC5">
      <w:pPr>
        <w:rPr>
          <w:rFonts w:hint="eastAsia" w:ascii="仿宋_GB2312" w:hAnsi="宋体" w:eastAsia="仿宋_GB2312"/>
          <w:b/>
          <w:sz w:val="24"/>
          <w:szCs w:val="24"/>
        </w:rPr>
      </w:pPr>
    </w:p>
    <w:p w14:paraId="3206E663">
      <w:pPr>
        <w:spacing w:line="360" w:lineRule="auto"/>
        <w:outlineLvl w:val="2"/>
        <w:rPr>
          <w:rFonts w:hint="eastAsia" w:ascii="宋体" w:hAnsi="宋体"/>
          <w:b/>
          <w:sz w:val="24"/>
          <w:szCs w:val="24"/>
        </w:rPr>
      </w:pPr>
      <w:bookmarkStart w:id="1332" w:name="_Toc62990985"/>
      <w:bookmarkStart w:id="1333" w:name="_Toc65181445"/>
      <w:bookmarkStart w:id="1334" w:name="_Toc16867"/>
      <w:bookmarkStart w:id="1335" w:name="_Toc62737498"/>
      <w:r>
        <w:rPr>
          <w:rFonts w:ascii="宋体" w:hAnsi="宋体"/>
          <w:b/>
          <w:sz w:val="24"/>
        </w:rPr>
        <w:br w:type="page"/>
      </w:r>
      <w:bookmarkStart w:id="1336" w:name="_Toc1059298864"/>
      <w:bookmarkStart w:id="1337" w:name="_Toc924656770"/>
      <w:bookmarkStart w:id="1338" w:name="_Toc1750593046"/>
      <w:bookmarkStart w:id="1339" w:name="_Toc1930217775"/>
      <w:bookmarkStart w:id="1340" w:name="_Toc70604248"/>
      <w:bookmarkStart w:id="1341" w:name="_Toc433898091"/>
      <w:bookmarkStart w:id="1342" w:name="_Toc1357573076"/>
      <w:bookmarkStart w:id="1343" w:name="_Toc550651909"/>
      <w:r>
        <w:rPr>
          <w:rFonts w:hint="eastAsia" w:ascii="宋体" w:hAnsi="宋体"/>
          <w:b/>
          <w:sz w:val="24"/>
          <w:szCs w:val="24"/>
        </w:rPr>
        <w:t>附件</w:t>
      </w:r>
      <w:r>
        <w:rPr>
          <w:rFonts w:hint="eastAsia" w:ascii="Times New Roman" w:hAnsi="Times New Roman"/>
          <w:b/>
          <w:sz w:val="24"/>
          <w:szCs w:val="24"/>
        </w:rPr>
        <w:t>1</w:t>
      </w:r>
      <w:r>
        <w:rPr>
          <w:rFonts w:hint="eastAsia" w:ascii="宋体" w:hAnsi="宋体"/>
          <w:b/>
          <w:sz w:val="24"/>
          <w:szCs w:val="24"/>
        </w:rPr>
        <w:t>-</w:t>
      </w:r>
      <w:r>
        <w:rPr>
          <w:rFonts w:hint="eastAsia" w:ascii="Times New Roman" w:hAnsi="Times New Roman"/>
          <w:b/>
          <w:sz w:val="24"/>
          <w:szCs w:val="24"/>
        </w:rPr>
        <w:t>5</w:t>
      </w:r>
      <w:r>
        <w:rPr>
          <w:rFonts w:hint="eastAsia" w:ascii="宋体" w:hAnsi="宋体"/>
          <w:b/>
          <w:sz w:val="24"/>
          <w:szCs w:val="24"/>
        </w:rPr>
        <w:t>：</w:t>
      </w:r>
      <w:r>
        <w:rPr>
          <w:rFonts w:hint="eastAsia" w:ascii="Times New Roman" w:hAnsi="Times New Roman"/>
          <w:b/>
          <w:sz w:val="24"/>
          <w:szCs w:val="24"/>
        </w:rPr>
        <w:t>REITs</w:t>
      </w:r>
      <w:bookmarkEnd w:id="1332"/>
      <w:bookmarkEnd w:id="1333"/>
      <w:bookmarkEnd w:id="1334"/>
      <w:bookmarkEnd w:id="1335"/>
      <w:r>
        <w:rPr>
          <w:rFonts w:hint="eastAsia" w:ascii="宋体" w:hAnsi="宋体"/>
          <w:b/>
          <w:sz w:val="24"/>
          <w:szCs w:val="24"/>
        </w:rPr>
        <w:t>全天候环境测试申请表</w:t>
      </w:r>
      <w:bookmarkEnd w:id="1336"/>
      <w:bookmarkEnd w:id="1337"/>
      <w:bookmarkEnd w:id="1338"/>
      <w:bookmarkEnd w:id="1339"/>
      <w:bookmarkEnd w:id="1340"/>
      <w:bookmarkEnd w:id="1341"/>
      <w:bookmarkEnd w:id="1342"/>
      <w:bookmarkEnd w:id="1343"/>
    </w:p>
    <w:tbl>
      <w:tblPr>
        <w:tblStyle w:val="15"/>
        <w:tblW w:w="852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14"/>
        <w:gridCol w:w="877"/>
        <w:gridCol w:w="1228"/>
        <w:gridCol w:w="2978"/>
        <w:gridCol w:w="1931"/>
      </w:tblGrid>
      <w:tr w14:paraId="076490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8528" w:type="dxa"/>
            <w:gridSpan w:val="5"/>
            <w:shd w:val="clear" w:color="auto" w:fill="E6E6E6"/>
            <w:vAlign w:val="center"/>
          </w:tcPr>
          <w:p w14:paraId="4DC1303E">
            <w:pPr>
              <w:jc w:val="center"/>
              <w:rPr>
                <w:rFonts w:hint="eastAsia" w:ascii="Times New Roman" w:hAnsi="Times New Roman" w:eastAsia="仿宋_GB2312"/>
                <w:b/>
                <w:sz w:val="24"/>
                <w:szCs w:val="24"/>
              </w:rPr>
            </w:pPr>
            <w:r>
              <w:rPr>
                <w:rFonts w:ascii="Times New Roman" w:hAnsi="Times New Roman" w:eastAsia="仿宋_GB2312"/>
                <w:b/>
                <w:sz w:val="24"/>
                <w:szCs w:val="24"/>
              </w:rPr>
              <w:t>REITs</w:t>
            </w:r>
            <w:r>
              <w:rPr>
                <w:rFonts w:hint="eastAsia" w:ascii="Times New Roman" w:hAnsi="Times New Roman" w:eastAsia="仿宋_GB2312"/>
                <w:b/>
                <w:sz w:val="24"/>
                <w:szCs w:val="24"/>
              </w:rPr>
              <w:t>基本信息</w:t>
            </w:r>
          </w:p>
        </w:tc>
      </w:tr>
      <w:tr w14:paraId="1BFD60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2391" w:type="dxa"/>
            <w:gridSpan w:val="2"/>
            <w:vAlign w:val="center"/>
          </w:tcPr>
          <w:p w14:paraId="38184B68">
            <w:pPr>
              <w:rPr>
                <w:rFonts w:hint="eastAsia" w:ascii="Times New Roman" w:hAnsi="Times New Roman" w:eastAsia="仿宋_GB2312"/>
                <w:color w:val="000000"/>
                <w:sz w:val="24"/>
                <w:szCs w:val="24"/>
              </w:rPr>
            </w:pPr>
            <w:r>
              <w:rPr>
                <w:rFonts w:hint="eastAsia" w:ascii="Times New Roman" w:hAnsi="Times New Roman" w:eastAsia="仿宋_GB2312"/>
                <w:color w:val="000000"/>
                <w:sz w:val="24"/>
                <w:szCs w:val="24"/>
              </w:rPr>
              <w:t>基金管理人名称</w:t>
            </w:r>
          </w:p>
        </w:tc>
        <w:tc>
          <w:tcPr>
            <w:tcW w:w="6137" w:type="dxa"/>
            <w:gridSpan w:val="3"/>
            <w:vAlign w:val="center"/>
          </w:tcPr>
          <w:p w14:paraId="1711ABED">
            <w:pPr>
              <w:rPr>
                <w:rFonts w:hint="eastAsia" w:ascii="Times New Roman" w:hAnsi="Times New Roman" w:eastAsia="仿宋_GB2312"/>
                <w:color w:val="000000"/>
                <w:sz w:val="24"/>
                <w:szCs w:val="24"/>
              </w:rPr>
            </w:pPr>
          </w:p>
        </w:tc>
      </w:tr>
      <w:tr w14:paraId="2FC78E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2391" w:type="dxa"/>
            <w:gridSpan w:val="2"/>
            <w:vAlign w:val="center"/>
          </w:tcPr>
          <w:p w14:paraId="625C26A6">
            <w:pPr>
              <w:rPr>
                <w:rFonts w:hint="eastAsia" w:ascii="Times New Roman" w:hAnsi="Times New Roman" w:eastAsia="仿宋_GB2312"/>
                <w:color w:val="000000"/>
                <w:sz w:val="24"/>
                <w:szCs w:val="24"/>
              </w:rPr>
            </w:pPr>
            <w:r>
              <w:rPr>
                <w:rFonts w:ascii="Times New Roman" w:hAnsi="Times New Roman" w:eastAsia="仿宋_GB2312"/>
                <w:color w:val="000000"/>
                <w:sz w:val="24"/>
                <w:szCs w:val="24"/>
              </w:rPr>
              <w:t>REITs</w:t>
            </w:r>
            <w:r>
              <w:rPr>
                <w:rFonts w:hint="eastAsia" w:ascii="Times New Roman" w:hAnsi="Times New Roman" w:eastAsia="仿宋_GB2312"/>
                <w:color w:val="000000"/>
                <w:sz w:val="24"/>
                <w:szCs w:val="24"/>
              </w:rPr>
              <w:t>全称</w:t>
            </w:r>
          </w:p>
        </w:tc>
        <w:tc>
          <w:tcPr>
            <w:tcW w:w="6137" w:type="dxa"/>
            <w:gridSpan w:val="3"/>
            <w:vAlign w:val="center"/>
          </w:tcPr>
          <w:p w14:paraId="04439569">
            <w:pPr>
              <w:rPr>
                <w:rFonts w:hint="eastAsia" w:ascii="Times New Roman" w:hAnsi="Times New Roman" w:eastAsia="仿宋_GB2312"/>
                <w:color w:val="000000"/>
                <w:sz w:val="24"/>
                <w:szCs w:val="24"/>
              </w:rPr>
            </w:pPr>
          </w:p>
        </w:tc>
      </w:tr>
      <w:tr w14:paraId="681E40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8528" w:type="dxa"/>
            <w:gridSpan w:val="5"/>
            <w:shd w:val="clear" w:color="auto" w:fill="E6E6E6"/>
            <w:vAlign w:val="center"/>
          </w:tcPr>
          <w:p w14:paraId="15A7F993">
            <w:pPr>
              <w:jc w:val="center"/>
              <w:rPr>
                <w:rFonts w:hint="eastAsia" w:ascii="Times New Roman" w:hAnsi="Times New Roman" w:eastAsia="仿宋_GB2312"/>
                <w:b/>
                <w:sz w:val="24"/>
                <w:szCs w:val="24"/>
              </w:rPr>
            </w:pPr>
            <w:r>
              <w:rPr>
                <w:rFonts w:hint="eastAsia" w:ascii="Times New Roman" w:hAnsi="Times New Roman" w:eastAsia="仿宋_GB2312"/>
                <w:b/>
                <w:sz w:val="24"/>
                <w:szCs w:val="24"/>
              </w:rPr>
              <w:t>测试信息</w:t>
            </w:r>
          </w:p>
        </w:tc>
      </w:tr>
      <w:tr w14:paraId="459B3F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2391" w:type="dxa"/>
            <w:gridSpan w:val="2"/>
            <w:tcBorders>
              <w:bottom w:val="single" w:color="auto" w:sz="4" w:space="0"/>
            </w:tcBorders>
            <w:vAlign w:val="center"/>
          </w:tcPr>
          <w:p w14:paraId="6B924037">
            <w:pPr>
              <w:rPr>
                <w:rFonts w:hint="eastAsia" w:ascii="Times New Roman" w:hAnsi="Times New Roman" w:eastAsia="仿宋_GB2312"/>
                <w:color w:val="000000"/>
                <w:sz w:val="24"/>
                <w:szCs w:val="24"/>
              </w:rPr>
            </w:pPr>
            <w:r>
              <w:rPr>
                <w:rFonts w:hint="eastAsia" w:ascii="Times New Roman" w:hAnsi="Times New Roman" w:eastAsia="仿宋_GB2312"/>
                <w:color w:val="000000"/>
                <w:sz w:val="24"/>
                <w:szCs w:val="24"/>
              </w:rPr>
              <w:t>拟申请测试日期</w:t>
            </w:r>
          </w:p>
        </w:tc>
        <w:tc>
          <w:tcPr>
            <w:tcW w:w="6137" w:type="dxa"/>
            <w:gridSpan w:val="3"/>
            <w:tcBorders>
              <w:bottom w:val="single" w:color="auto" w:sz="4" w:space="0"/>
            </w:tcBorders>
            <w:vAlign w:val="center"/>
          </w:tcPr>
          <w:p w14:paraId="64B66DB2">
            <w:pPr>
              <w:rPr>
                <w:rFonts w:hint="eastAsia" w:ascii="Times New Roman" w:hAnsi="Times New Roman" w:eastAsia="仿宋_GB2312"/>
                <w:color w:val="000000"/>
                <w:sz w:val="24"/>
                <w:szCs w:val="24"/>
              </w:rPr>
            </w:pPr>
            <w:r>
              <w:rPr>
                <w:rFonts w:hint="eastAsia" w:ascii="Times New Roman" w:hAnsi="Times New Roman" w:eastAsia="仿宋_GB2312"/>
                <w:color w:val="000000"/>
                <w:sz w:val="24"/>
                <w:szCs w:val="24"/>
              </w:rPr>
              <w:t>年   月    日 至     年   月    日</w:t>
            </w:r>
          </w:p>
        </w:tc>
      </w:tr>
      <w:tr w14:paraId="5C8977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2391" w:type="dxa"/>
            <w:gridSpan w:val="2"/>
            <w:tcBorders>
              <w:bottom w:val="single" w:color="auto" w:sz="4" w:space="0"/>
            </w:tcBorders>
            <w:vAlign w:val="center"/>
          </w:tcPr>
          <w:p w14:paraId="6FD732B3">
            <w:pPr>
              <w:rPr>
                <w:rFonts w:hint="eastAsia" w:ascii="Times New Roman" w:hAnsi="Times New Roman" w:eastAsia="仿宋_GB2312"/>
                <w:color w:val="000000"/>
                <w:sz w:val="24"/>
                <w:szCs w:val="24"/>
              </w:rPr>
            </w:pPr>
            <w:r>
              <w:rPr>
                <w:rFonts w:hint="eastAsia" w:ascii="Times New Roman" w:hAnsi="Times New Roman" w:eastAsia="仿宋_GB2312"/>
                <w:color w:val="000000"/>
                <w:sz w:val="24"/>
                <w:szCs w:val="24"/>
              </w:rPr>
              <w:t>测试内容</w:t>
            </w:r>
          </w:p>
        </w:tc>
        <w:tc>
          <w:tcPr>
            <w:tcW w:w="6137" w:type="dxa"/>
            <w:gridSpan w:val="3"/>
            <w:tcBorders>
              <w:bottom w:val="single" w:color="auto" w:sz="4" w:space="0"/>
            </w:tcBorders>
            <w:vAlign w:val="center"/>
          </w:tcPr>
          <w:p w14:paraId="2DC0E7CD">
            <w:pPr>
              <w:rPr>
                <w:rFonts w:hint="eastAsia" w:ascii="Times New Roman" w:hAnsi="Times New Roman" w:eastAsia="仿宋_GB2312"/>
                <w:color w:val="000000"/>
                <w:sz w:val="24"/>
                <w:szCs w:val="24"/>
              </w:rPr>
            </w:pPr>
          </w:p>
        </w:tc>
      </w:tr>
      <w:tr w14:paraId="3B6E15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8528" w:type="dxa"/>
            <w:gridSpan w:val="5"/>
            <w:shd w:val="clear" w:color="auto" w:fill="E6E6E6"/>
            <w:vAlign w:val="center"/>
          </w:tcPr>
          <w:p w14:paraId="20AD8257">
            <w:pPr>
              <w:jc w:val="center"/>
              <w:rPr>
                <w:rFonts w:hint="eastAsia" w:ascii="Times New Roman" w:hAnsi="Times New Roman" w:eastAsia="仿宋_GB2312"/>
                <w:b/>
                <w:sz w:val="24"/>
                <w:szCs w:val="24"/>
              </w:rPr>
            </w:pPr>
            <w:r>
              <w:rPr>
                <w:rFonts w:hint="eastAsia" w:ascii="Times New Roman" w:hAnsi="Times New Roman" w:eastAsia="仿宋_GB2312"/>
                <w:b/>
                <w:sz w:val="24"/>
                <w:szCs w:val="24"/>
              </w:rPr>
              <w:t>参加测试人员名单</w:t>
            </w:r>
          </w:p>
        </w:tc>
      </w:tr>
      <w:tr w14:paraId="4BDDC1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514" w:type="dxa"/>
            <w:vAlign w:val="center"/>
          </w:tcPr>
          <w:p w14:paraId="09417D8A">
            <w:pPr>
              <w:rPr>
                <w:rFonts w:hint="eastAsia" w:ascii="Times New Roman" w:hAnsi="Times New Roman" w:eastAsia="仿宋_GB2312"/>
                <w:color w:val="000000"/>
                <w:sz w:val="24"/>
                <w:szCs w:val="24"/>
              </w:rPr>
            </w:pPr>
            <w:r>
              <w:rPr>
                <w:rFonts w:hint="eastAsia" w:ascii="Times New Roman" w:hAnsi="Times New Roman" w:eastAsia="仿宋_GB2312"/>
                <w:color w:val="000000"/>
                <w:sz w:val="24"/>
                <w:szCs w:val="24"/>
              </w:rPr>
              <w:t>姓名</w:t>
            </w:r>
          </w:p>
        </w:tc>
        <w:tc>
          <w:tcPr>
            <w:tcW w:w="2105" w:type="dxa"/>
            <w:gridSpan w:val="2"/>
            <w:vAlign w:val="center"/>
          </w:tcPr>
          <w:p w14:paraId="3079D0C1">
            <w:pPr>
              <w:rPr>
                <w:rFonts w:hint="eastAsia" w:ascii="Times New Roman" w:hAnsi="Times New Roman" w:eastAsia="仿宋_GB2312"/>
                <w:color w:val="000000"/>
                <w:sz w:val="24"/>
                <w:szCs w:val="24"/>
              </w:rPr>
            </w:pPr>
            <w:r>
              <w:rPr>
                <w:rFonts w:hint="eastAsia" w:ascii="Times New Roman" w:hAnsi="Times New Roman" w:eastAsia="仿宋_GB2312"/>
                <w:color w:val="000000"/>
                <w:sz w:val="24"/>
                <w:szCs w:val="24"/>
              </w:rPr>
              <w:t>单位</w:t>
            </w:r>
          </w:p>
        </w:tc>
        <w:tc>
          <w:tcPr>
            <w:tcW w:w="2978" w:type="dxa"/>
            <w:vAlign w:val="center"/>
          </w:tcPr>
          <w:p w14:paraId="4C4A49BD">
            <w:pPr>
              <w:rPr>
                <w:rFonts w:hint="eastAsia" w:ascii="Times New Roman" w:hAnsi="Times New Roman" w:eastAsia="仿宋_GB2312"/>
                <w:color w:val="000000"/>
                <w:sz w:val="24"/>
                <w:szCs w:val="24"/>
              </w:rPr>
            </w:pPr>
            <w:r>
              <w:rPr>
                <w:rFonts w:hint="eastAsia" w:ascii="Times New Roman" w:hAnsi="Times New Roman" w:eastAsia="仿宋_GB2312"/>
                <w:color w:val="000000"/>
                <w:sz w:val="24"/>
                <w:szCs w:val="24"/>
              </w:rPr>
              <w:t>电话及手机</w:t>
            </w:r>
          </w:p>
        </w:tc>
        <w:tc>
          <w:tcPr>
            <w:tcW w:w="1931" w:type="dxa"/>
            <w:vAlign w:val="center"/>
          </w:tcPr>
          <w:p w14:paraId="58FBB864">
            <w:pPr>
              <w:rPr>
                <w:rFonts w:hint="eastAsia" w:ascii="Times New Roman" w:hAnsi="Times New Roman" w:eastAsia="仿宋_GB2312"/>
                <w:color w:val="000000"/>
                <w:sz w:val="24"/>
                <w:szCs w:val="24"/>
              </w:rPr>
            </w:pPr>
            <w:r>
              <w:rPr>
                <w:rFonts w:hint="eastAsia" w:ascii="Times New Roman" w:hAnsi="Times New Roman" w:eastAsia="仿宋_GB2312"/>
                <w:color w:val="000000"/>
                <w:sz w:val="24"/>
                <w:szCs w:val="24"/>
              </w:rPr>
              <w:t>电子邮件</w:t>
            </w:r>
          </w:p>
        </w:tc>
      </w:tr>
      <w:tr w14:paraId="4F946B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514" w:type="dxa"/>
            <w:vAlign w:val="center"/>
          </w:tcPr>
          <w:p w14:paraId="154C7851">
            <w:pPr>
              <w:jc w:val="center"/>
              <w:rPr>
                <w:rFonts w:hint="eastAsia" w:ascii="Times New Roman" w:hAnsi="Times New Roman" w:eastAsia="仿宋_GB2312"/>
                <w:sz w:val="24"/>
                <w:szCs w:val="24"/>
              </w:rPr>
            </w:pPr>
          </w:p>
        </w:tc>
        <w:tc>
          <w:tcPr>
            <w:tcW w:w="2105" w:type="dxa"/>
            <w:gridSpan w:val="2"/>
            <w:vAlign w:val="center"/>
          </w:tcPr>
          <w:p w14:paraId="31B085C1">
            <w:pPr>
              <w:jc w:val="center"/>
              <w:rPr>
                <w:rFonts w:hint="eastAsia" w:ascii="Times New Roman" w:hAnsi="Times New Roman" w:eastAsia="仿宋_GB2312"/>
                <w:sz w:val="24"/>
                <w:szCs w:val="24"/>
              </w:rPr>
            </w:pPr>
          </w:p>
        </w:tc>
        <w:tc>
          <w:tcPr>
            <w:tcW w:w="2978" w:type="dxa"/>
            <w:vAlign w:val="center"/>
          </w:tcPr>
          <w:p w14:paraId="5C081E25">
            <w:pPr>
              <w:jc w:val="center"/>
              <w:rPr>
                <w:rFonts w:hint="eastAsia" w:ascii="Times New Roman" w:hAnsi="Times New Roman" w:eastAsia="仿宋_GB2312"/>
                <w:sz w:val="24"/>
                <w:szCs w:val="24"/>
              </w:rPr>
            </w:pPr>
          </w:p>
        </w:tc>
        <w:tc>
          <w:tcPr>
            <w:tcW w:w="1931" w:type="dxa"/>
            <w:vAlign w:val="center"/>
          </w:tcPr>
          <w:p w14:paraId="3E7953E6">
            <w:pPr>
              <w:jc w:val="center"/>
              <w:rPr>
                <w:rFonts w:hint="eastAsia" w:ascii="Times New Roman" w:hAnsi="Times New Roman" w:eastAsia="仿宋_GB2312"/>
                <w:sz w:val="24"/>
                <w:szCs w:val="24"/>
              </w:rPr>
            </w:pPr>
          </w:p>
        </w:tc>
      </w:tr>
      <w:tr w14:paraId="199034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514" w:type="dxa"/>
            <w:vAlign w:val="center"/>
          </w:tcPr>
          <w:p w14:paraId="0BFE61D6">
            <w:pPr>
              <w:jc w:val="center"/>
              <w:rPr>
                <w:rFonts w:hint="eastAsia" w:ascii="Times New Roman" w:hAnsi="Times New Roman" w:eastAsia="仿宋_GB2312"/>
                <w:sz w:val="24"/>
                <w:szCs w:val="24"/>
              </w:rPr>
            </w:pPr>
          </w:p>
        </w:tc>
        <w:tc>
          <w:tcPr>
            <w:tcW w:w="2105" w:type="dxa"/>
            <w:gridSpan w:val="2"/>
            <w:vAlign w:val="center"/>
          </w:tcPr>
          <w:p w14:paraId="38FBFB53">
            <w:pPr>
              <w:jc w:val="center"/>
              <w:rPr>
                <w:rFonts w:hint="eastAsia" w:ascii="Times New Roman" w:hAnsi="Times New Roman" w:eastAsia="仿宋_GB2312"/>
                <w:sz w:val="24"/>
                <w:szCs w:val="24"/>
              </w:rPr>
            </w:pPr>
          </w:p>
        </w:tc>
        <w:tc>
          <w:tcPr>
            <w:tcW w:w="2978" w:type="dxa"/>
            <w:vAlign w:val="center"/>
          </w:tcPr>
          <w:p w14:paraId="35E57BEA">
            <w:pPr>
              <w:jc w:val="center"/>
              <w:rPr>
                <w:rFonts w:hint="eastAsia" w:ascii="Times New Roman" w:hAnsi="Times New Roman" w:eastAsia="仿宋_GB2312"/>
                <w:sz w:val="24"/>
                <w:szCs w:val="24"/>
              </w:rPr>
            </w:pPr>
          </w:p>
        </w:tc>
        <w:tc>
          <w:tcPr>
            <w:tcW w:w="1931" w:type="dxa"/>
            <w:vAlign w:val="center"/>
          </w:tcPr>
          <w:p w14:paraId="3FCF94E7">
            <w:pPr>
              <w:jc w:val="center"/>
              <w:rPr>
                <w:rFonts w:hint="eastAsia" w:ascii="Times New Roman" w:hAnsi="Times New Roman" w:eastAsia="仿宋_GB2312"/>
                <w:sz w:val="24"/>
                <w:szCs w:val="24"/>
              </w:rPr>
            </w:pPr>
          </w:p>
        </w:tc>
      </w:tr>
    </w:tbl>
    <w:p w14:paraId="4C294078">
      <w:pPr>
        <w:rPr>
          <w:rFonts w:hint="eastAsia" w:ascii="黑体" w:hAnsi="黑体" w:eastAsia="黑体"/>
          <w:b/>
          <w:sz w:val="24"/>
        </w:rPr>
      </w:pPr>
    </w:p>
    <w:p w14:paraId="659B1774">
      <w:pPr>
        <w:spacing w:line="360" w:lineRule="auto"/>
        <w:outlineLvl w:val="2"/>
        <w:rPr>
          <w:rFonts w:hint="eastAsia" w:ascii="宋体" w:hAnsi="宋体"/>
          <w:b/>
          <w:sz w:val="24"/>
        </w:rPr>
      </w:pPr>
      <w:bookmarkStart w:id="1344" w:name="_Toc21248"/>
      <w:bookmarkStart w:id="1345" w:name="_Toc65181446"/>
      <w:bookmarkStart w:id="1346" w:name="_Toc62990986"/>
      <w:r>
        <w:rPr>
          <w:rFonts w:ascii="宋体" w:hAnsi="宋体"/>
          <w:b/>
          <w:sz w:val="24"/>
        </w:rPr>
        <w:br w:type="page"/>
      </w:r>
      <w:bookmarkStart w:id="1347" w:name="_Toc2083587939"/>
      <w:bookmarkStart w:id="1348" w:name="_Toc70604249"/>
      <w:bookmarkStart w:id="1349" w:name="_Toc64760297"/>
      <w:bookmarkStart w:id="1350" w:name="_Toc1343493479"/>
      <w:bookmarkStart w:id="1351" w:name="_Toc1328505186"/>
      <w:bookmarkStart w:id="1352" w:name="_Toc1025521871"/>
      <w:bookmarkStart w:id="1353" w:name="_Toc657067569"/>
      <w:bookmarkStart w:id="1354" w:name="_Toc1418600730"/>
      <w:r>
        <w:rPr>
          <w:rFonts w:hint="eastAsia" w:ascii="宋体" w:hAnsi="宋体"/>
          <w:b/>
          <w:sz w:val="24"/>
        </w:rPr>
        <w:t>附件</w:t>
      </w:r>
      <w:r>
        <w:rPr>
          <w:rFonts w:hint="eastAsia" w:ascii="Times New Roman" w:hAnsi="Times New Roman"/>
          <w:b/>
          <w:sz w:val="24"/>
        </w:rPr>
        <w:t>1</w:t>
      </w:r>
      <w:r>
        <w:rPr>
          <w:rFonts w:hint="eastAsia" w:ascii="宋体" w:hAnsi="宋体"/>
          <w:b/>
          <w:sz w:val="24"/>
        </w:rPr>
        <w:t>-</w:t>
      </w:r>
      <w:r>
        <w:rPr>
          <w:rFonts w:hint="eastAsia" w:ascii="Times New Roman" w:hAnsi="Times New Roman"/>
          <w:b/>
          <w:sz w:val="24"/>
        </w:rPr>
        <w:t>6</w:t>
      </w:r>
      <w:r>
        <w:rPr>
          <w:rFonts w:hint="eastAsia" w:ascii="宋体" w:hAnsi="宋体"/>
          <w:b/>
          <w:sz w:val="24"/>
        </w:rPr>
        <w:t>：</w:t>
      </w:r>
      <w:r>
        <w:rPr>
          <w:rFonts w:hint="eastAsia" w:ascii="Times New Roman" w:hAnsi="Times New Roman"/>
          <w:b/>
          <w:sz w:val="24"/>
        </w:rPr>
        <w:t>REITs</w:t>
      </w:r>
      <w:r>
        <w:rPr>
          <w:rFonts w:hint="eastAsia" w:ascii="宋体" w:hAnsi="宋体"/>
          <w:b/>
          <w:sz w:val="24"/>
        </w:rPr>
        <w:t>全天候环境测试反馈表</w:t>
      </w:r>
      <w:bookmarkEnd w:id="1344"/>
      <w:bookmarkEnd w:id="1345"/>
      <w:bookmarkEnd w:id="1346"/>
      <w:bookmarkEnd w:id="1347"/>
      <w:bookmarkEnd w:id="1348"/>
      <w:bookmarkEnd w:id="1349"/>
      <w:bookmarkEnd w:id="1350"/>
      <w:bookmarkEnd w:id="1351"/>
      <w:bookmarkEnd w:id="1352"/>
      <w:bookmarkEnd w:id="1353"/>
      <w:bookmarkEnd w:id="1354"/>
    </w:p>
    <w:tbl>
      <w:tblPr>
        <w:tblStyle w:val="15"/>
        <w:tblW w:w="853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35"/>
      </w:tblGrid>
      <w:tr w14:paraId="65A97F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1" w:hRule="atLeast"/>
          <w:jc w:val="center"/>
        </w:trPr>
        <w:tc>
          <w:tcPr>
            <w:tcW w:w="8535" w:type="dxa"/>
            <w:tcBorders>
              <w:top w:val="single" w:color="auto" w:sz="4" w:space="0"/>
              <w:left w:val="single" w:color="auto" w:sz="4" w:space="0"/>
              <w:bottom w:val="single" w:color="auto" w:sz="4" w:space="0"/>
              <w:right w:val="single" w:color="auto" w:sz="4" w:space="0"/>
            </w:tcBorders>
            <w:shd w:val="clear" w:color="auto" w:fill="D9D9D9"/>
            <w:vAlign w:val="center"/>
          </w:tcPr>
          <w:p w14:paraId="09DFB182">
            <w:pPr>
              <w:jc w:val="center"/>
              <w:rPr>
                <w:rFonts w:hint="eastAsia" w:ascii="仿宋_GB2312" w:hAnsi="黑体" w:eastAsia="仿宋_GB2312"/>
                <w:bCs/>
                <w:sz w:val="24"/>
                <w:szCs w:val="24"/>
              </w:rPr>
            </w:pPr>
            <w:r>
              <w:rPr>
                <w:rFonts w:hint="eastAsia" w:ascii="Times New Roman" w:hAnsi="Times New Roman" w:eastAsia="仿宋_GB2312"/>
                <w:b/>
                <w:sz w:val="24"/>
                <w:szCs w:val="24"/>
              </w:rPr>
              <w:t>REITs</w:t>
            </w:r>
            <w:r>
              <w:rPr>
                <w:rFonts w:hint="eastAsia" w:ascii="仿宋_GB2312" w:hAnsi="黑体" w:eastAsia="仿宋_GB2312"/>
                <w:b/>
                <w:sz w:val="24"/>
                <w:szCs w:val="24"/>
              </w:rPr>
              <w:t>全天候环境测试反馈表</w:t>
            </w:r>
          </w:p>
        </w:tc>
      </w:tr>
      <w:tr w14:paraId="79E72E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3" w:hRule="atLeast"/>
          <w:jc w:val="center"/>
        </w:trPr>
        <w:tc>
          <w:tcPr>
            <w:tcW w:w="8535" w:type="dxa"/>
            <w:tcBorders>
              <w:top w:val="single" w:color="auto" w:sz="4" w:space="0"/>
              <w:left w:val="single" w:color="auto" w:sz="4" w:space="0"/>
              <w:bottom w:val="single" w:color="auto" w:sz="4" w:space="0"/>
              <w:right w:val="single" w:color="auto" w:sz="4" w:space="0"/>
            </w:tcBorders>
            <w:vAlign w:val="center"/>
          </w:tcPr>
          <w:p w14:paraId="327CD43E">
            <w:pPr>
              <w:adjustRightInd w:val="0"/>
              <w:snapToGrid w:val="0"/>
              <w:rPr>
                <w:rFonts w:hint="eastAsia" w:ascii="仿宋_GB2312" w:hAnsi="宋体" w:eastAsia="仿宋_GB2312"/>
                <w:color w:val="000000"/>
                <w:sz w:val="24"/>
                <w:szCs w:val="24"/>
              </w:rPr>
            </w:pPr>
            <w:r>
              <w:rPr>
                <w:rFonts w:hint="eastAsia" w:ascii="仿宋_GB2312" w:hAnsi="宋体" w:eastAsia="仿宋_GB2312"/>
                <w:color w:val="000000"/>
                <w:sz w:val="24"/>
                <w:szCs w:val="24"/>
              </w:rPr>
              <w:t>填表日期：</w:t>
            </w:r>
          </w:p>
        </w:tc>
      </w:tr>
      <w:tr w14:paraId="2B3D94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jc w:val="center"/>
        </w:trPr>
        <w:tc>
          <w:tcPr>
            <w:tcW w:w="8535" w:type="dxa"/>
            <w:tcBorders>
              <w:top w:val="single" w:color="auto" w:sz="4" w:space="0"/>
              <w:left w:val="single" w:color="auto" w:sz="4" w:space="0"/>
              <w:bottom w:val="single" w:color="auto" w:sz="4" w:space="0"/>
              <w:right w:val="single" w:color="auto" w:sz="4" w:space="0"/>
            </w:tcBorders>
            <w:vAlign w:val="center"/>
          </w:tcPr>
          <w:p w14:paraId="34E75F3E">
            <w:pPr>
              <w:adjustRightInd w:val="0"/>
              <w:snapToGrid w:val="0"/>
              <w:rPr>
                <w:rFonts w:hint="eastAsia" w:ascii="仿宋_GB2312" w:hAnsi="宋体" w:eastAsia="仿宋_GB2312"/>
                <w:color w:val="000000"/>
                <w:sz w:val="24"/>
                <w:szCs w:val="24"/>
              </w:rPr>
            </w:pPr>
            <w:r>
              <w:rPr>
                <w:rFonts w:hint="eastAsia" w:ascii="仿宋_GB2312" w:hAnsi="宋体" w:eastAsia="仿宋_GB2312"/>
                <w:color w:val="000000"/>
                <w:sz w:val="24"/>
                <w:szCs w:val="24"/>
              </w:rPr>
              <w:t xml:space="preserve">参测单位名称： </w:t>
            </w:r>
          </w:p>
        </w:tc>
      </w:tr>
      <w:tr w14:paraId="21F114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35" w:type="dxa"/>
            <w:tcBorders>
              <w:top w:val="single" w:color="auto" w:sz="4" w:space="0"/>
              <w:left w:val="single" w:color="auto" w:sz="4" w:space="0"/>
              <w:bottom w:val="single" w:color="auto" w:sz="4" w:space="0"/>
              <w:right w:val="single" w:color="auto" w:sz="4" w:space="0"/>
            </w:tcBorders>
          </w:tcPr>
          <w:p w14:paraId="74704D4E">
            <w:pPr>
              <w:spacing w:after="62" w:afterLines="20" w:line="360" w:lineRule="exact"/>
              <w:rPr>
                <w:rFonts w:hint="eastAsia" w:ascii="仿宋_GB2312" w:hAnsi="宋体" w:eastAsia="仿宋_GB2312"/>
                <w:color w:val="000000"/>
                <w:sz w:val="24"/>
                <w:szCs w:val="24"/>
              </w:rPr>
            </w:pPr>
            <w:r>
              <w:rPr>
                <w:rFonts w:hint="eastAsia" w:ascii="仿宋_GB2312" w:hAnsi="宋体" w:eastAsia="仿宋_GB2312"/>
                <w:b/>
                <w:sz w:val="24"/>
                <w:szCs w:val="24"/>
              </w:rPr>
              <w:t>一、测试情况说明</w:t>
            </w:r>
          </w:p>
          <w:p w14:paraId="13528DAB">
            <w:pPr>
              <w:spacing w:after="62" w:afterLines="20" w:line="360" w:lineRule="exact"/>
              <w:rPr>
                <w:rFonts w:hint="eastAsia" w:ascii="仿宋_GB2312" w:hAnsi="宋体" w:eastAsia="仿宋_GB2312"/>
                <w:color w:val="000000"/>
                <w:sz w:val="24"/>
                <w:szCs w:val="24"/>
              </w:rPr>
            </w:pPr>
            <w:r>
              <w:rPr>
                <w:rFonts w:hint="eastAsia" w:ascii="Times New Roman" w:hAnsi="Times New Roman" w:eastAsia="仿宋_GB2312"/>
                <w:color w:val="000000"/>
                <w:sz w:val="24"/>
                <w:szCs w:val="24"/>
              </w:rPr>
              <w:t>1</w:t>
            </w:r>
            <w:r>
              <w:rPr>
                <w:rFonts w:hint="eastAsia" w:ascii="仿宋_GB2312" w:hAnsi="宋体" w:eastAsia="仿宋_GB2312"/>
                <w:color w:val="000000"/>
                <w:sz w:val="24"/>
                <w:szCs w:val="24"/>
              </w:rPr>
              <w:t>、认购测试（券商端）</w:t>
            </w:r>
          </w:p>
          <w:p w14:paraId="611194FD">
            <w:pPr>
              <w:numPr>
                <w:ilvl w:val="0"/>
                <w:numId w:val="67"/>
              </w:numPr>
              <w:spacing w:after="62" w:afterLines="20" w:line="360" w:lineRule="exact"/>
              <w:rPr>
                <w:rFonts w:hint="eastAsia" w:ascii="仿宋_GB2312" w:hAnsi="宋体" w:eastAsia="仿宋_GB2312"/>
                <w:color w:val="000000"/>
                <w:sz w:val="24"/>
                <w:szCs w:val="24"/>
              </w:rPr>
            </w:pPr>
            <w:r>
              <w:rPr>
                <w:rFonts w:hint="eastAsia" w:ascii="仿宋_GB2312" w:hAnsi="宋体" w:eastAsia="仿宋_GB2312"/>
                <w:color w:val="000000"/>
                <w:sz w:val="24"/>
                <w:szCs w:val="24"/>
              </w:rPr>
              <w:t>认购            □正常   □异常   □未测   □无需处理</w:t>
            </w:r>
          </w:p>
          <w:p w14:paraId="7A8D8CC4">
            <w:pPr>
              <w:spacing w:after="62" w:afterLines="20" w:line="360" w:lineRule="exact"/>
              <w:rPr>
                <w:rFonts w:hint="eastAsia" w:ascii="仿宋_GB2312" w:hAnsi="宋体" w:eastAsia="仿宋_GB2312"/>
                <w:color w:val="000000"/>
                <w:sz w:val="24"/>
                <w:szCs w:val="24"/>
              </w:rPr>
            </w:pPr>
            <w:r>
              <w:rPr>
                <w:rFonts w:hint="eastAsia" w:ascii="Times New Roman" w:hAnsi="Times New Roman" w:eastAsia="仿宋_GB2312"/>
                <w:color w:val="000000"/>
                <w:sz w:val="24"/>
                <w:szCs w:val="24"/>
              </w:rPr>
              <w:t>2</w:t>
            </w:r>
            <w:r>
              <w:rPr>
                <w:rFonts w:hint="eastAsia" w:ascii="仿宋_GB2312" w:hAnsi="宋体" w:eastAsia="仿宋_GB2312"/>
                <w:color w:val="000000"/>
                <w:sz w:val="24"/>
                <w:szCs w:val="24"/>
              </w:rPr>
              <w:t>、上市流通测试</w:t>
            </w:r>
          </w:p>
          <w:p w14:paraId="235E39C2">
            <w:pPr>
              <w:numPr>
                <w:ilvl w:val="0"/>
                <w:numId w:val="68"/>
              </w:numPr>
              <w:spacing w:after="62" w:afterLines="20" w:line="360" w:lineRule="exact"/>
              <w:rPr>
                <w:rFonts w:hint="eastAsia" w:ascii="仿宋_GB2312" w:hAnsi="宋体" w:eastAsia="仿宋_GB2312"/>
                <w:color w:val="000000"/>
                <w:sz w:val="24"/>
                <w:szCs w:val="24"/>
              </w:rPr>
            </w:pPr>
            <w:r>
              <w:rPr>
                <w:rFonts w:hint="eastAsia" w:ascii="仿宋_GB2312" w:hAnsi="宋体" w:eastAsia="仿宋_GB2312"/>
                <w:color w:val="000000"/>
                <w:sz w:val="24"/>
                <w:szCs w:val="24"/>
              </w:rPr>
              <w:t>买入            □正常   □异常   □未测   □无需处理</w:t>
            </w:r>
          </w:p>
          <w:p w14:paraId="70DA995F">
            <w:pPr>
              <w:numPr>
                <w:ilvl w:val="0"/>
                <w:numId w:val="68"/>
              </w:numPr>
              <w:spacing w:after="62" w:afterLines="20" w:line="360" w:lineRule="exact"/>
              <w:rPr>
                <w:rFonts w:hint="eastAsia" w:ascii="仿宋_GB2312" w:hAnsi="宋体" w:eastAsia="仿宋_GB2312"/>
                <w:color w:val="000000"/>
                <w:sz w:val="24"/>
                <w:szCs w:val="24"/>
              </w:rPr>
            </w:pPr>
            <w:r>
              <w:rPr>
                <w:rFonts w:hint="eastAsia" w:ascii="仿宋_GB2312" w:hAnsi="宋体" w:eastAsia="仿宋_GB2312"/>
                <w:color w:val="000000"/>
                <w:sz w:val="24"/>
                <w:szCs w:val="24"/>
              </w:rPr>
              <w:t>卖出            □正常   □异常   □未测   □无需处理</w:t>
            </w:r>
          </w:p>
          <w:p w14:paraId="0D3ABFCF">
            <w:pPr>
              <w:spacing w:after="62" w:afterLines="20" w:line="360" w:lineRule="exact"/>
              <w:ind w:right="240"/>
              <w:rPr>
                <w:rFonts w:hint="eastAsia" w:ascii="仿宋_GB2312" w:hAnsi="宋体" w:eastAsia="仿宋_GB2312"/>
                <w:color w:val="000000"/>
                <w:sz w:val="24"/>
                <w:szCs w:val="24"/>
              </w:rPr>
            </w:pPr>
            <w:r>
              <w:rPr>
                <w:rFonts w:hint="eastAsia" w:ascii="Times New Roman" w:hAnsi="Times New Roman" w:eastAsia="仿宋_GB2312"/>
                <w:color w:val="000000"/>
                <w:sz w:val="24"/>
                <w:szCs w:val="24"/>
              </w:rPr>
              <w:t>3</w:t>
            </w:r>
            <w:r>
              <w:rPr>
                <w:rFonts w:hint="eastAsia" w:ascii="仿宋_GB2312" w:hAnsi="宋体" w:eastAsia="仿宋_GB2312"/>
                <w:color w:val="000000"/>
                <w:sz w:val="24"/>
                <w:szCs w:val="24"/>
              </w:rPr>
              <w:t>、转托管测试</w:t>
            </w:r>
          </w:p>
          <w:p w14:paraId="21DD2A10">
            <w:pPr>
              <w:numPr>
                <w:ilvl w:val="0"/>
                <w:numId w:val="69"/>
              </w:numPr>
              <w:spacing w:after="62" w:afterLines="20" w:line="360" w:lineRule="exact"/>
              <w:rPr>
                <w:rFonts w:hint="eastAsia" w:ascii="仿宋_GB2312" w:hAnsi="宋体" w:eastAsia="仿宋_GB2312"/>
                <w:sz w:val="24"/>
                <w:szCs w:val="24"/>
              </w:rPr>
            </w:pPr>
            <w:r>
              <w:rPr>
                <w:rFonts w:hint="eastAsia" w:ascii="仿宋_GB2312" w:hAnsi="宋体" w:eastAsia="仿宋_GB2312"/>
                <w:sz w:val="24"/>
                <w:szCs w:val="24"/>
              </w:rPr>
              <w:t xml:space="preserve">场内份额转托管场外     </w:t>
            </w:r>
            <w:r>
              <w:rPr>
                <w:rFonts w:hint="eastAsia" w:ascii="仿宋_GB2312" w:hAnsi="宋体" w:eastAsia="仿宋_GB2312"/>
                <w:color w:val="000000"/>
                <w:sz w:val="24"/>
                <w:szCs w:val="24"/>
              </w:rPr>
              <w:t>□正常   □异常   □未测   □无需处理</w:t>
            </w:r>
          </w:p>
          <w:p w14:paraId="3CA374B1">
            <w:pPr>
              <w:spacing w:after="62" w:afterLines="20" w:line="360" w:lineRule="exact"/>
              <w:rPr>
                <w:rFonts w:hint="eastAsia" w:ascii="仿宋_GB2312" w:hAnsi="宋体" w:eastAsia="仿宋_GB2312"/>
                <w:sz w:val="24"/>
                <w:szCs w:val="24"/>
              </w:rPr>
            </w:pPr>
            <w:r>
              <w:rPr>
                <w:rFonts w:hint="eastAsia" w:ascii="Times New Roman" w:hAnsi="Times New Roman" w:eastAsia="仿宋_GB2312"/>
                <w:sz w:val="24"/>
                <w:szCs w:val="24"/>
              </w:rPr>
              <w:t>4</w:t>
            </w:r>
            <w:r>
              <w:rPr>
                <w:rFonts w:hint="eastAsia" w:ascii="仿宋_GB2312" w:hAnsi="宋体" w:eastAsia="仿宋_GB2312"/>
                <w:sz w:val="24"/>
                <w:szCs w:val="24"/>
              </w:rPr>
              <w:t>、其他</w:t>
            </w:r>
          </w:p>
          <w:p w14:paraId="65C06BB6">
            <w:pPr>
              <w:spacing w:after="62" w:afterLines="20" w:line="360" w:lineRule="exact"/>
              <w:rPr>
                <w:rFonts w:hint="eastAsia" w:ascii="仿宋_GB2312" w:hAnsi="宋体" w:eastAsia="仿宋_GB2312"/>
                <w:sz w:val="24"/>
                <w:szCs w:val="24"/>
                <w:u w:val="single"/>
              </w:rPr>
            </w:pPr>
            <w:r>
              <w:rPr>
                <w:rFonts w:hint="eastAsia" w:ascii="仿宋_GB2312" w:hAnsi="宋体" w:eastAsia="仿宋_GB2312"/>
                <w:sz w:val="24"/>
                <w:szCs w:val="24"/>
              </w:rPr>
              <w:t xml:space="preserve"> </w:t>
            </w:r>
            <w:r>
              <w:rPr>
                <w:rFonts w:hint="eastAsia" w:ascii="仿宋_GB2312" w:hAnsi="宋体" w:eastAsia="仿宋_GB2312"/>
                <w:sz w:val="24"/>
                <w:szCs w:val="24"/>
                <w:u w:val="single"/>
              </w:rPr>
              <w:t xml:space="preserve">     （根据测试内容补充）                                           </w:t>
            </w:r>
          </w:p>
        </w:tc>
      </w:tr>
      <w:tr w14:paraId="33DF86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35" w:type="dxa"/>
            <w:tcBorders>
              <w:top w:val="single" w:color="auto" w:sz="4" w:space="0"/>
              <w:left w:val="single" w:color="auto" w:sz="4" w:space="0"/>
              <w:bottom w:val="single" w:color="auto" w:sz="4" w:space="0"/>
              <w:right w:val="single" w:color="auto" w:sz="4" w:space="0"/>
            </w:tcBorders>
          </w:tcPr>
          <w:p w14:paraId="38BC08C9">
            <w:pPr>
              <w:rPr>
                <w:rFonts w:hint="eastAsia" w:ascii="仿宋_GB2312" w:hAnsi="宋体" w:eastAsia="仿宋_GB2312"/>
                <w:b/>
                <w:color w:val="000000"/>
                <w:sz w:val="24"/>
                <w:szCs w:val="24"/>
              </w:rPr>
            </w:pPr>
            <w:r>
              <w:rPr>
                <w:rFonts w:hint="eastAsia" w:ascii="仿宋_GB2312" w:hAnsi="宋体" w:eastAsia="仿宋_GB2312"/>
                <w:b/>
                <w:color w:val="000000"/>
                <w:sz w:val="24"/>
                <w:szCs w:val="24"/>
              </w:rPr>
              <w:t>二、测试过程中问题情况详细描述</w:t>
            </w:r>
          </w:p>
          <w:p w14:paraId="20A9CE34">
            <w:pPr>
              <w:numPr>
                <w:ilvl w:val="0"/>
                <w:numId w:val="70"/>
              </w:numPr>
              <w:rPr>
                <w:rFonts w:hint="eastAsia" w:ascii="仿宋_GB2312" w:hAnsi="宋体" w:eastAsia="仿宋_GB2312"/>
                <w:color w:val="000000"/>
                <w:sz w:val="24"/>
                <w:szCs w:val="24"/>
              </w:rPr>
            </w:pPr>
          </w:p>
          <w:p w14:paraId="2D5869CC">
            <w:pPr>
              <w:numPr>
                <w:ilvl w:val="0"/>
                <w:numId w:val="70"/>
              </w:numPr>
              <w:rPr>
                <w:rFonts w:hint="eastAsia" w:ascii="仿宋_GB2312" w:hAnsi="宋体" w:eastAsia="仿宋_GB2312"/>
                <w:color w:val="000000"/>
                <w:sz w:val="24"/>
                <w:szCs w:val="24"/>
              </w:rPr>
            </w:pPr>
          </w:p>
        </w:tc>
      </w:tr>
      <w:tr w14:paraId="4E39D7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6" w:hRule="atLeast"/>
          <w:jc w:val="center"/>
        </w:trPr>
        <w:tc>
          <w:tcPr>
            <w:tcW w:w="8535" w:type="dxa"/>
            <w:tcBorders>
              <w:top w:val="single" w:color="auto" w:sz="4" w:space="0"/>
              <w:left w:val="single" w:color="auto" w:sz="4" w:space="0"/>
              <w:bottom w:val="single" w:color="auto" w:sz="4" w:space="0"/>
              <w:right w:val="single" w:color="auto" w:sz="4" w:space="0"/>
            </w:tcBorders>
          </w:tcPr>
          <w:p w14:paraId="21447D69">
            <w:pPr>
              <w:rPr>
                <w:rFonts w:hint="eastAsia" w:ascii="仿宋_GB2312" w:hAnsi="宋体" w:eastAsia="仿宋_GB2312"/>
                <w:b/>
                <w:bCs/>
                <w:color w:val="000000"/>
                <w:sz w:val="24"/>
                <w:szCs w:val="24"/>
              </w:rPr>
            </w:pPr>
          </w:p>
          <w:p w14:paraId="5B8BEB6D">
            <w:pPr>
              <w:rPr>
                <w:rFonts w:hint="eastAsia" w:ascii="仿宋_GB2312" w:hAnsi="宋体" w:eastAsia="仿宋_GB2312"/>
                <w:b/>
                <w:bCs/>
                <w:color w:val="000000"/>
                <w:sz w:val="24"/>
                <w:szCs w:val="24"/>
              </w:rPr>
            </w:pPr>
            <w:r>
              <w:rPr>
                <w:rFonts w:hint="eastAsia" w:ascii="仿宋_GB2312" w:hAnsi="宋体" w:eastAsia="仿宋_GB2312"/>
                <w:b/>
                <w:bCs/>
                <w:color w:val="000000"/>
                <w:sz w:val="24"/>
                <w:szCs w:val="24"/>
              </w:rPr>
              <w:t xml:space="preserve">测试负责人：                联系电话： </w:t>
            </w:r>
          </w:p>
          <w:p w14:paraId="21D39CFA">
            <w:pPr>
              <w:rPr>
                <w:rFonts w:hint="eastAsia" w:ascii="仿宋_GB2312" w:hAnsi="宋体" w:eastAsia="仿宋_GB2312"/>
                <w:b/>
                <w:bCs/>
                <w:color w:val="000000"/>
                <w:sz w:val="24"/>
                <w:szCs w:val="24"/>
              </w:rPr>
            </w:pPr>
          </w:p>
        </w:tc>
      </w:tr>
    </w:tbl>
    <w:p w14:paraId="1C04519A">
      <w:pPr>
        <w:rPr>
          <w:rFonts w:hint="eastAsia" w:ascii="宋体" w:hAnsi="宋体"/>
          <w:sz w:val="28"/>
          <w:szCs w:val="28"/>
        </w:rPr>
      </w:pPr>
    </w:p>
    <w:p w14:paraId="6CBB4B1F">
      <w:pPr>
        <w:spacing w:line="360" w:lineRule="auto"/>
        <w:outlineLvl w:val="2"/>
        <w:rPr>
          <w:rFonts w:hint="eastAsia" w:ascii="宋体" w:hAnsi="宋体"/>
          <w:b/>
          <w:sz w:val="24"/>
        </w:rPr>
      </w:pPr>
      <w:bookmarkStart w:id="1355" w:name="_Toc38896642"/>
      <w:bookmarkEnd w:id="1355"/>
      <w:bookmarkStart w:id="1356" w:name="_Toc65181447"/>
      <w:bookmarkStart w:id="1357" w:name="_Toc62990989"/>
      <w:bookmarkStart w:id="1358" w:name="_Toc32349"/>
      <w:r>
        <w:rPr>
          <w:rFonts w:ascii="宋体" w:hAnsi="宋体"/>
          <w:b/>
          <w:sz w:val="24"/>
        </w:rPr>
        <w:br w:type="page"/>
      </w:r>
      <w:bookmarkStart w:id="1359" w:name="_Toc1628114242"/>
      <w:bookmarkStart w:id="1360" w:name="_Toc1529725136"/>
      <w:bookmarkStart w:id="1361" w:name="_Toc363565980"/>
      <w:bookmarkStart w:id="1362" w:name="_Toc70604250"/>
      <w:bookmarkStart w:id="1363" w:name="_Toc491052730"/>
      <w:bookmarkStart w:id="1364" w:name="_Toc724248448"/>
      <w:bookmarkStart w:id="1365" w:name="_Toc882997510"/>
      <w:bookmarkStart w:id="1366" w:name="_Toc505638593"/>
      <w:r>
        <w:rPr>
          <w:rFonts w:hint="eastAsia" w:ascii="宋体" w:hAnsi="宋体"/>
          <w:b/>
          <w:sz w:val="24"/>
        </w:rPr>
        <w:t>附件</w:t>
      </w:r>
      <w:r>
        <w:rPr>
          <w:rFonts w:hint="eastAsia" w:ascii="Times New Roman" w:hAnsi="Times New Roman"/>
          <w:b/>
          <w:sz w:val="24"/>
        </w:rPr>
        <w:t>1</w:t>
      </w:r>
      <w:r>
        <w:rPr>
          <w:rFonts w:hint="eastAsia" w:ascii="宋体" w:hAnsi="宋体"/>
          <w:b/>
          <w:sz w:val="24"/>
        </w:rPr>
        <w:t>-</w:t>
      </w:r>
      <w:r>
        <w:rPr>
          <w:rFonts w:hint="eastAsia" w:ascii="Times New Roman" w:hAnsi="Times New Roman"/>
          <w:b/>
          <w:sz w:val="24"/>
        </w:rPr>
        <w:t>7</w:t>
      </w:r>
      <w:r>
        <w:rPr>
          <w:rFonts w:hint="eastAsia" w:ascii="宋体" w:hAnsi="宋体"/>
          <w:b/>
          <w:sz w:val="24"/>
        </w:rPr>
        <w:t>：代码、简称申请函</w:t>
      </w:r>
      <w:bookmarkEnd w:id="1356"/>
      <w:bookmarkEnd w:id="1357"/>
      <w:bookmarkEnd w:id="1358"/>
      <w:bookmarkEnd w:id="1359"/>
      <w:bookmarkEnd w:id="1360"/>
      <w:bookmarkEnd w:id="1361"/>
      <w:bookmarkEnd w:id="1362"/>
      <w:bookmarkEnd w:id="1363"/>
      <w:bookmarkEnd w:id="1364"/>
      <w:bookmarkEnd w:id="1365"/>
      <w:bookmarkEnd w:id="1366"/>
    </w:p>
    <w:p w14:paraId="683DDDB8">
      <w:pPr>
        <w:jc w:val="center"/>
        <w:rPr>
          <w:rFonts w:hint="eastAsia" w:ascii="宋体" w:hAnsi="宋体"/>
          <w:b/>
          <w:sz w:val="24"/>
        </w:rPr>
      </w:pPr>
      <w:r>
        <w:rPr>
          <w:rFonts w:hint="eastAsia" w:ascii="宋体" w:hAnsi="宋体"/>
          <w:b/>
          <w:sz w:val="24"/>
        </w:rPr>
        <w:t>关于申请</w:t>
      </w:r>
      <w:r>
        <w:rPr>
          <w:rFonts w:hint="eastAsia" w:ascii="宋体" w:hAnsi="宋体"/>
          <w:b/>
          <w:sz w:val="24"/>
          <w:u w:val="single"/>
        </w:rPr>
        <w:t>（</w:t>
      </w:r>
      <w:r>
        <w:rPr>
          <w:rFonts w:hint="eastAsia" w:ascii="Times New Roman" w:hAnsi="Times New Roman"/>
          <w:b/>
          <w:sz w:val="24"/>
          <w:u w:val="single"/>
        </w:rPr>
        <w:t>REITs</w:t>
      </w:r>
      <w:r>
        <w:rPr>
          <w:rFonts w:hint="eastAsia" w:ascii="宋体" w:hAnsi="宋体"/>
          <w:b/>
          <w:sz w:val="24"/>
          <w:u w:val="single"/>
        </w:rPr>
        <w:t>全称）</w:t>
      </w:r>
      <w:r>
        <w:rPr>
          <w:rFonts w:hint="eastAsia" w:ascii="宋体" w:hAnsi="宋体"/>
          <w:b/>
          <w:sz w:val="24"/>
        </w:rPr>
        <w:t>的场内基金简称及基金代码的函</w:t>
      </w:r>
    </w:p>
    <w:p w14:paraId="286FC69E">
      <w:pPr>
        <w:spacing w:line="312" w:lineRule="auto"/>
        <w:jc w:val="center"/>
        <w:rPr>
          <w:rFonts w:hint="eastAsia" w:ascii="Times New Roman" w:hAnsi="Times New Roman" w:eastAsia="仿宋_GB2312"/>
          <w:sz w:val="24"/>
          <w:szCs w:val="24"/>
        </w:rPr>
      </w:pPr>
      <w:r>
        <w:rPr>
          <w:rFonts w:hint="eastAsia" w:ascii="Times New Roman" w:hAnsi="Times New Roman" w:eastAsia="仿宋_GB2312"/>
          <w:sz w:val="24"/>
          <w:szCs w:val="24"/>
        </w:rPr>
        <w:t>（基金公司文号）</w:t>
      </w:r>
    </w:p>
    <w:p w14:paraId="63236F04">
      <w:pPr>
        <w:spacing w:line="312" w:lineRule="auto"/>
        <w:rPr>
          <w:rFonts w:hint="eastAsia" w:ascii="Times New Roman" w:hAnsi="Times New Roman" w:eastAsia="仿宋_GB2312"/>
          <w:sz w:val="24"/>
          <w:szCs w:val="24"/>
        </w:rPr>
      </w:pPr>
      <w:r>
        <w:rPr>
          <w:rFonts w:hint="eastAsia" w:ascii="Times New Roman" w:hAnsi="Times New Roman" w:eastAsia="仿宋_GB2312"/>
          <w:sz w:val="24"/>
          <w:szCs w:val="24"/>
        </w:rPr>
        <w:t>上海证券交易所：</w:t>
      </w:r>
    </w:p>
    <w:p w14:paraId="6166E190">
      <w:pPr>
        <w:spacing w:line="312" w:lineRule="auto"/>
        <w:ind w:firstLine="470" w:firstLineChars="196"/>
        <w:rPr>
          <w:rFonts w:hint="eastAsia" w:ascii="Times New Roman" w:hAnsi="Times New Roman" w:eastAsia="仿宋_GB2312"/>
          <w:sz w:val="24"/>
          <w:szCs w:val="24"/>
        </w:rPr>
      </w:pPr>
      <w:r>
        <w:rPr>
          <w:rFonts w:hint="eastAsia" w:ascii="Times New Roman" w:hAnsi="Times New Roman" w:eastAsia="仿宋_GB2312"/>
          <w:sz w:val="24"/>
          <w:szCs w:val="24"/>
        </w:rPr>
        <w:t>***基金管理有限公司（以下简称我司）的</w:t>
      </w:r>
      <w:r>
        <w:rPr>
          <w:rFonts w:hint="eastAsia" w:ascii="Times New Roman" w:hAnsi="Times New Roman" w:eastAsia="仿宋_GB2312"/>
          <w:sz w:val="24"/>
          <w:szCs w:val="24"/>
          <w:u w:val="single"/>
        </w:rPr>
        <w:t xml:space="preserve"> （</w:t>
      </w:r>
      <w:r>
        <w:rPr>
          <w:rFonts w:ascii="Times New Roman" w:hAnsi="Times New Roman" w:eastAsia="仿宋_GB2312"/>
          <w:sz w:val="24"/>
          <w:szCs w:val="24"/>
          <w:u w:val="single"/>
        </w:rPr>
        <w:t>REITs</w:t>
      </w:r>
      <w:r>
        <w:rPr>
          <w:rFonts w:hint="eastAsia" w:ascii="Times New Roman" w:hAnsi="Times New Roman" w:eastAsia="仿宋_GB2312"/>
          <w:sz w:val="24"/>
          <w:szCs w:val="24"/>
          <w:u w:val="single"/>
        </w:rPr>
        <w:t xml:space="preserve">全称） </w:t>
      </w:r>
      <w:r>
        <w:rPr>
          <w:rFonts w:hint="eastAsia" w:ascii="Times New Roman" w:hAnsi="Times New Roman" w:eastAsia="仿宋_GB2312"/>
          <w:sz w:val="24"/>
          <w:szCs w:val="24"/>
        </w:rPr>
        <w:t>（以下简称本基金）于**年**月**日获中国证监会准予注册（证监许可[**]**号）。</w:t>
      </w:r>
    </w:p>
    <w:p w14:paraId="42E84DD8">
      <w:pPr>
        <w:spacing w:line="312" w:lineRule="auto"/>
        <w:ind w:firstLine="470" w:firstLineChars="196"/>
        <w:rPr>
          <w:rFonts w:hint="eastAsia" w:ascii="Times New Roman" w:hAnsi="Times New Roman" w:eastAsia="仿宋_GB2312"/>
          <w:sz w:val="24"/>
          <w:szCs w:val="24"/>
        </w:rPr>
      </w:pPr>
      <w:r>
        <w:rPr>
          <w:rFonts w:hint="eastAsia" w:ascii="Times New Roman" w:hAnsi="Times New Roman" w:eastAsia="仿宋_GB2312"/>
          <w:sz w:val="24"/>
          <w:szCs w:val="24"/>
        </w:rPr>
        <w:t>为做好基金发售相关准备工作，拟向贵所申请本基金场内基金简称和代码如下：</w:t>
      </w:r>
    </w:p>
    <w:p w14:paraId="64FF2CF6">
      <w:pPr>
        <w:spacing w:line="312" w:lineRule="auto"/>
        <w:ind w:firstLine="470" w:firstLineChars="196"/>
        <w:rPr>
          <w:rFonts w:hint="eastAsia" w:ascii="Times New Roman" w:hAnsi="Times New Roman" w:eastAsia="仿宋_GB2312"/>
          <w:sz w:val="24"/>
          <w:szCs w:val="24"/>
        </w:rPr>
      </w:pPr>
      <w:r>
        <w:rPr>
          <w:rFonts w:hint="eastAsia" w:ascii="Times New Roman" w:hAnsi="Times New Roman" w:eastAsia="仿宋_GB2312"/>
          <w:sz w:val="24"/>
          <w:szCs w:val="24"/>
        </w:rPr>
        <w:t>拟申请场内基金简称：***，扩位简称：***，需要场内认购、上市交易和转托管。</w:t>
      </w:r>
    </w:p>
    <w:p w14:paraId="2C6CBCE0">
      <w:pPr>
        <w:spacing w:line="312" w:lineRule="auto"/>
        <w:ind w:firstLine="470" w:firstLineChars="196"/>
        <w:rPr>
          <w:rFonts w:hint="eastAsia" w:ascii="Times New Roman" w:hAnsi="Times New Roman" w:eastAsia="仿宋_GB2312"/>
          <w:sz w:val="24"/>
          <w:szCs w:val="24"/>
        </w:rPr>
      </w:pPr>
      <w:r>
        <w:rPr>
          <w:rFonts w:hint="eastAsia" w:ascii="Times New Roman" w:hAnsi="Times New Roman" w:eastAsia="仿宋_GB2312"/>
          <w:sz w:val="24"/>
          <w:szCs w:val="24"/>
        </w:rPr>
        <w:t>请贵所核准我司拟定的上述场内证券简称，并发放本基金的场内证券代码。</w:t>
      </w:r>
    </w:p>
    <w:p w14:paraId="6296993E">
      <w:pPr>
        <w:spacing w:line="312" w:lineRule="auto"/>
        <w:ind w:firstLine="470" w:firstLineChars="196"/>
        <w:rPr>
          <w:rFonts w:hint="eastAsia" w:ascii="Times New Roman" w:hAnsi="Times New Roman" w:eastAsia="仿宋_GB2312"/>
          <w:sz w:val="24"/>
          <w:szCs w:val="24"/>
        </w:rPr>
      </w:pPr>
      <w:r>
        <w:rPr>
          <w:rFonts w:hint="eastAsia" w:ascii="Times New Roman" w:hAnsi="Times New Roman" w:eastAsia="仿宋_GB2312"/>
          <w:sz w:val="24"/>
          <w:szCs w:val="24"/>
        </w:rPr>
        <w:t>特此致函。</w:t>
      </w:r>
    </w:p>
    <w:p w14:paraId="4681BE62">
      <w:pPr>
        <w:spacing w:line="312" w:lineRule="auto"/>
        <w:ind w:firstLine="470" w:firstLineChars="196"/>
        <w:rPr>
          <w:rFonts w:hint="eastAsia" w:ascii="Times New Roman" w:hAnsi="Times New Roman" w:eastAsia="仿宋_GB2312"/>
          <w:sz w:val="24"/>
          <w:szCs w:val="24"/>
        </w:rPr>
      </w:pPr>
      <w:r>
        <w:rPr>
          <w:rFonts w:hint="eastAsia" w:ascii="Times New Roman" w:hAnsi="Times New Roman" w:eastAsia="仿宋_GB2312"/>
          <w:sz w:val="24"/>
          <w:szCs w:val="24"/>
        </w:rPr>
        <w:t>附：</w:t>
      </w:r>
      <w:r>
        <w:rPr>
          <w:rFonts w:ascii="Times New Roman" w:hAnsi="Times New Roman" w:eastAsia="仿宋_GB2312"/>
          <w:sz w:val="24"/>
          <w:szCs w:val="24"/>
        </w:rPr>
        <w:t>REITs</w:t>
      </w:r>
      <w:r>
        <w:rPr>
          <w:rFonts w:hint="eastAsia" w:ascii="Times New Roman" w:hAnsi="Times New Roman" w:eastAsia="仿宋_GB2312"/>
          <w:sz w:val="24"/>
          <w:szCs w:val="24"/>
        </w:rPr>
        <w:t>产品基本信息表</w:t>
      </w:r>
    </w:p>
    <w:p w14:paraId="7A718DCA">
      <w:pPr>
        <w:spacing w:line="312" w:lineRule="auto"/>
        <w:jc w:val="right"/>
        <w:rPr>
          <w:rFonts w:hint="eastAsia" w:ascii="Times New Roman" w:hAnsi="Times New Roman" w:eastAsia="仿宋_GB2312"/>
          <w:sz w:val="24"/>
          <w:szCs w:val="24"/>
        </w:rPr>
      </w:pPr>
      <w:r>
        <w:rPr>
          <w:rFonts w:hint="eastAsia" w:ascii="Times New Roman" w:hAnsi="Times New Roman" w:eastAsia="仿宋_GB2312"/>
          <w:sz w:val="24"/>
          <w:szCs w:val="24"/>
        </w:rPr>
        <w:tab/>
      </w:r>
      <w:r>
        <w:rPr>
          <w:rFonts w:hint="eastAsia" w:ascii="Times New Roman" w:hAnsi="Times New Roman" w:eastAsia="仿宋_GB2312"/>
          <w:sz w:val="24"/>
          <w:szCs w:val="24"/>
        </w:rPr>
        <w:tab/>
      </w:r>
      <w:r>
        <w:rPr>
          <w:rFonts w:hint="eastAsia" w:ascii="Times New Roman" w:hAnsi="Times New Roman" w:eastAsia="仿宋_GB2312"/>
          <w:sz w:val="24"/>
          <w:szCs w:val="24"/>
        </w:rPr>
        <w:tab/>
      </w:r>
      <w:r>
        <w:rPr>
          <w:rFonts w:hint="eastAsia" w:ascii="Times New Roman" w:hAnsi="Times New Roman" w:eastAsia="仿宋_GB2312"/>
          <w:sz w:val="24"/>
          <w:szCs w:val="24"/>
        </w:rPr>
        <w:tab/>
      </w:r>
      <w:r>
        <w:rPr>
          <w:rFonts w:hint="eastAsia" w:ascii="Times New Roman" w:hAnsi="Times New Roman" w:eastAsia="仿宋_GB2312"/>
          <w:sz w:val="24"/>
          <w:szCs w:val="24"/>
        </w:rPr>
        <w:tab/>
      </w:r>
      <w:r>
        <w:rPr>
          <w:rFonts w:hint="eastAsia" w:ascii="Times New Roman" w:hAnsi="Times New Roman" w:eastAsia="仿宋_GB2312"/>
          <w:sz w:val="24"/>
          <w:szCs w:val="24"/>
        </w:rPr>
        <w:tab/>
      </w:r>
      <w:r>
        <w:rPr>
          <w:rFonts w:hint="eastAsia" w:ascii="Times New Roman" w:hAnsi="Times New Roman" w:eastAsia="仿宋_GB2312"/>
          <w:sz w:val="24"/>
          <w:szCs w:val="24"/>
        </w:rPr>
        <w:tab/>
      </w:r>
      <w:r>
        <w:rPr>
          <w:rFonts w:hint="eastAsia" w:ascii="Times New Roman" w:hAnsi="Times New Roman" w:eastAsia="仿宋_GB2312"/>
          <w:sz w:val="24"/>
          <w:szCs w:val="24"/>
        </w:rPr>
        <w:tab/>
      </w:r>
      <w:r>
        <w:rPr>
          <w:rFonts w:hint="eastAsia" w:ascii="Times New Roman" w:hAnsi="Times New Roman" w:eastAsia="仿宋_GB2312"/>
          <w:sz w:val="24"/>
          <w:szCs w:val="24"/>
        </w:rPr>
        <w:tab/>
      </w:r>
      <w:r>
        <w:rPr>
          <w:rFonts w:hint="eastAsia" w:ascii="Times New Roman" w:hAnsi="Times New Roman" w:eastAsia="仿宋_GB2312"/>
          <w:sz w:val="24"/>
          <w:szCs w:val="24"/>
        </w:rPr>
        <w:tab/>
      </w:r>
      <w:r>
        <w:rPr>
          <w:rFonts w:hint="eastAsia" w:ascii="Times New Roman" w:hAnsi="Times New Roman" w:eastAsia="仿宋_GB2312"/>
          <w:sz w:val="24"/>
          <w:szCs w:val="24"/>
        </w:rPr>
        <w:t xml:space="preserve">   **基金管理有限公司（加盖公章）</w:t>
      </w:r>
    </w:p>
    <w:p w14:paraId="461DF3FE">
      <w:pPr>
        <w:spacing w:line="312" w:lineRule="auto"/>
        <w:jc w:val="right"/>
        <w:rPr>
          <w:rFonts w:hint="eastAsia" w:ascii="Times New Roman" w:hAnsi="Times New Roman" w:eastAsia="仿宋_GB2312"/>
          <w:sz w:val="24"/>
          <w:szCs w:val="24"/>
        </w:rPr>
      </w:pPr>
      <w:r>
        <w:rPr>
          <w:rFonts w:hint="eastAsia" w:ascii="Times New Roman" w:hAnsi="Times New Roman" w:eastAsia="仿宋_GB2312"/>
          <w:sz w:val="24"/>
          <w:szCs w:val="24"/>
        </w:rPr>
        <w:t>**年**月**日</w:t>
      </w:r>
    </w:p>
    <w:p w14:paraId="71597691">
      <w:pPr>
        <w:spacing w:line="240" w:lineRule="auto"/>
        <w:jc w:val="left"/>
        <w:rPr>
          <w:rFonts w:hint="eastAsia" w:ascii="Times New Roman" w:hAnsi="Times New Roman" w:eastAsia="仿宋_GB2312"/>
          <w:sz w:val="24"/>
          <w:szCs w:val="24"/>
        </w:rPr>
      </w:pPr>
      <w:r>
        <w:rPr>
          <w:rFonts w:hint="eastAsia" w:ascii="Times New Roman" w:hAnsi="Times New Roman" w:eastAsia="仿宋_GB2312"/>
          <w:sz w:val="24"/>
          <w:szCs w:val="24"/>
        </w:rPr>
        <w:br w:type="page"/>
      </w:r>
    </w:p>
    <w:p w14:paraId="178A37CA">
      <w:pPr>
        <w:spacing w:line="240" w:lineRule="auto"/>
        <w:jc w:val="left"/>
        <w:rPr>
          <w:rFonts w:hint="eastAsia" w:ascii="Times New Roman" w:hAnsi="Times New Roman" w:eastAsia="仿宋_GB2312"/>
          <w:sz w:val="24"/>
          <w:szCs w:val="24"/>
        </w:rPr>
      </w:pPr>
    </w:p>
    <w:tbl>
      <w:tblPr>
        <w:tblStyle w:val="15"/>
        <w:tblW w:w="0" w:type="auto"/>
        <w:jc w:val="center"/>
        <w:tblLayout w:type="fixed"/>
        <w:tblCellMar>
          <w:top w:w="0" w:type="dxa"/>
          <w:left w:w="108" w:type="dxa"/>
          <w:bottom w:w="0" w:type="dxa"/>
          <w:right w:w="108" w:type="dxa"/>
        </w:tblCellMar>
      </w:tblPr>
      <w:tblGrid>
        <w:gridCol w:w="1744"/>
        <w:gridCol w:w="2588"/>
        <w:gridCol w:w="1507"/>
        <w:gridCol w:w="2552"/>
      </w:tblGrid>
      <w:tr w14:paraId="74913EB4">
        <w:tblPrEx>
          <w:tblCellMar>
            <w:top w:w="0" w:type="dxa"/>
            <w:left w:w="108" w:type="dxa"/>
            <w:bottom w:w="0" w:type="dxa"/>
            <w:right w:w="108" w:type="dxa"/>
          </w:tblCellMar>
        </w:tblPrEx>
        <w:trPr>
          <w:trHeight w:val="641" w:hRule="atLeast"/>
          <w:jc w:val="center"/>
        </w:trPr>
        <w:tc>
          <w:tcPr>
            <w:tcW w:w="8391" w:type="dxa"/>
            <w:gridSpan w:val="4"/>
            <w:tcBorders>
              <w:top w:val="nil"/>
              <w:left w:val="nil"/>
              <w:bottom w:val="single" w:color="auto" w:sz="4" w:space="0"/>
              <w:right w:val="nil"/>
            </w:tcBorders>
            <w:vAlign w:val="center"/>
          </w:tcPr>
          <w:p w14:paraId="30096C6C">
            <w:pPr>
              <w:widowControl/>
              <w:rPr>
                <w:rFonts w:hint="eastAsia" w:ascii="宋体" w:hAnsi="宋体" w:cs="宋体"/>
                <w:b/>
                <w:bCs/>
                <w:kern w:val="0"/>
                <w:szCs w:val="21"/>
              </w:rPr>
            </w:pPr>
            <w:r>
              <w:rPr>
                <w:rFonts w:hint="eastAsia" w:ascii="宋体" w:hAnsi="宋体" w:cs="宋体"/>
                <w:b/>
                <w:bCs/>
                <w:kern w:val="0"/>
                <w:szCs w:val="21"/>
              </w:rPr>
              <w:t>附：</w:t>
            </w:r>
            <w:r>
              <w:rPr>
                <w:rFonts w:hint="eastAsia" w:ascii="Times New Roman" w:hAnsi="Times New Roman" w:cs="宋体"/>
                <w:b/>
                <w:bCs/>
                <w:kern w:val="0"/>
                <w:szCs w:val="21"/>
              </w:rPr>
              <w:t>REITs</w:t>
            </w:r>
            <w:r>
              <w:rPr>
                <w:rFonts w:hint="eastAsia" w:ascii="宋体" w:hAnsi="宋体" w:cs="宋体"/>
                <w:b/>
                <w:bCs/>
                <w:kern w:val="0"/>
                <w:szCs w:val="21"/>
              </w:rPr>
              <w:t>基本信息表</w:t>
            </w:r>
          </w:p>
        </w:tc>
      </w:tr>
      <w:tr w14:paraId="554FAB9C">
        <w:tblPrEx>
          <w:tblCellMar>
            <w:top w:w="0" w:type="dxa"/>
            <w:left w:w="108" w:type="dxa"/>
            <w:bottom w:w="0" w:type="dxa"/>
            <w:right w:w="108" w:type="dxa"/>
          </w:tblCellMar>
        </w:tblPrEx>
        <w:trPr>
          <w:trHeight w:val="448" w:hRule="atLeast"/>
          <w:jc w:val="center"/>
        </w:trPr>
        <w:tc>
          <w:tcPr>
            <w:tcW w:w="1744" w:type="dxa"/>
            <w:tcBorders>
              <w:top w:val="nil"/>
              <w:left w:val="single" w:color="auto" w:sz="4" w:space="0"/>
              <w:bottom w:val="single" w:color="auto" w:sz="4" w:space="0"/>
              <w:right w:val="single" w:color="auto" w:sz="4" w:space="0"/>
            </w:tcBorders>
            <w:vAlign w:val="center"/>
          </w:tcPr>
          <w:p w14:paraId="031F6692">
            <w:pPr>
              <w:widowControl/>
              <w:jc w:val="left"/>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基金全称</w:t>
            </w:r>
          </w:p>
        </w:tc>
        <w:tc>
          <w:tcPr>
            <w:tcW w:w="6647" w:type="dxa"/>
            <w:gridSpan w:val="3"/>
            <w:tcBorders>
              <w:top w:val="nil"/>
              <w:left w:val="nil"/>
              <w:bottom w:val="single" w:color="auto" w:sz="4" w:space="0"/>
              <w:right w:val="single" w:color="auto" w:sz="4" w:space="0"/>
            </w:tcBorders>
            <w:vAlign w:val="center"/>
          </w:tcPr>
          <w:p w14:paraId="66AEA729">
            <w:pPr>
              <w:widowControl/>
              <w:jc w:val="left"/>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　</w:t>
            </w:r>
          </w:p>
        </w:tc>
      </w:tr>
      <w:tr w14:paraId="65AF60E2">
        <w:tblPrEx>
          <w:tblCellMar>
            <w:top w:w="0" w:type="dxa"/>
            <w:left w:w="108" w:type="dxa"/>
            <w:bottom w:w="0" w:type="dxa"/>
            <w:right w:w="108" w:type="dxa"/>
          </w:tblCellMar>
        </w:tblPrEx>
        <w:trPr>
          <w:trHeight w:val="448" w:hRule="atLeast"/>
          <w:jc w:val="center"/>
        </w:trPr>
        <w:tc>
          <w:tcPr>
            <w:tcW w:w="1744" w:type="dxa"/>
            <w:tcBorders>
              <w:top w:val="nil"/>
              <w:left w:val="single" w:color="auto" w:sz="4" w:space="0"/>
              <w:bottom w:val="single" w:color="auto" w:sz="4" w:space="0"/>
              <w:right w:val="single" w:color="auto" w:sz="4" w:space="0"/>
            </w:tcBorders>
            <w:vAlign w:val="center"/>
          </w:tcPr>
          <w:p w14:paraId="6C7756BC">
            <w:pPr>
              <w:widowControl/>
              <w:jc w:val="left"/>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证监会批文号</w:t>
            </w:r>
          </w:p>
        </w:tc>
        <w:tc>
          <w:tcPr>
            <w:tcW w:w="2588" w:type="dxa"/>
            <w:tcBorders>
              <w:top w:val="nil"/>
              <w:left w:val="nil"/>
              <w:bottom w:val="single" w:color="auto" w:sz="4" w:space="0"/>
              <w:right w:val="single" w:color="auto" w:sz="4" w:space="0"/>
            </w:tcBorders>
            <w:vAlign w:val="center"/>
          </w:tcPr>
          <w:p w14:paraId="39476D0C">
            <w:pPr>
              <w:widowControl/>
              <w:jc w:val="left"/>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　</w:t>
            </w:r>
          </w:p>
        </w:tc>
        <w:tc>
          <w:tcPr>
            <w:tcW w:w="1507" w:type="dxa"/>
            <w:tcBorders>
              <w:top w:val="nil"/>
              <w:left w:val="nil"/>
              <w:bottom w:val="single" w:color="auto" w:sz="4" w:space="0"/>
              <w:right w:val="single" w:color="auto" w:sz="4" w:space="0"/>
            </w:tcBorders>
            <w:vAlign w:val="center"/>
          </w:tcPr>
          <w:p w14:paraId="042F3DDB">
            <w:pPr>
              <w:widowControl/>
              <w:jc w:val="left"/>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批文日期</w:t>
            </w:r>
          </w:p>
        </w:tc>
        <w:tc>
          <w:tcPr>
            <w:tcW w:w="2552" w:type="dxa"/>
            <w:tcBorders>
              <w:top w:val="nil"/>
              <w:left w:val="nil"/>
              <w:bottom w:val="single" w:color="auto" w:sz="4" w:space="0"/>
              <w:right w:val="single" w:color="auto" w:sz="4" w:space="0"/>
            </w:tcBorders>
            <w:vAlign w:val="center"/>
          </w:tcPr>
          <w:p w14:paraId="23649B87">
            <w:pPr>
              <w:widowControl/>
              <w:jc w:val="left"/>
              <w:rPr>
                <w:rFonts w:hint="eastAsia" w:ascii="仿宋_GB2312" w:hAnsi="仿宋_GB2312" w:eastAsia="仿宋_GB2312" w:cs="仿宋_GB2312"/>
                <w:color w:val="000000"/>
                <w:kern w:val="0"/>
                <w:sz w:val="24"/>
                <w:szCs w:val="24"/>
              </w:rPr>
            </w:pPr>
          </w:p>
        </w:tc>
      </w:tr>
      <w:tr w14:paraId="3FFC36E7">
        <w:tblPrEx>
          <w:tblCellMar>
            <w:top w:w="0" w:type="dxa"/>
            <w:left w:w="108" w:type="dxa"/>
            <w:bottom w:w="0" w:type="dxa"/>
            <w:right w:w="108" w:type="dxa"/>
          </w:tblCellMar>
        </w:tblPrEx>
        <w:trPr>
          <w:trHeight w:val="448" w:hRule="atLeast"/>
          <w:jc w:val="center"/>
        </w:trPr>
        <w:tc>
          <w:tcPr>
            <w:tcW w:w="1744" w:type="dxa"/>
            <w:tcBorders>
              <w:top w:val="nil"/>
              <w:left w:val="single" w:color="auto" w:sz="4" w:space="0"/>
              <w:bottom w:val="single" w:color="auto" w:sz="4" w:space="0"/>
              <w:right w:val="single" w:color="auto" w:sz="4" w:space="0"/>
            </w:tcBorders>
            <w:vAlign w:val="center"/>
          </w:tcPr>
          <w:p w14:paraId="1424ABF3">
            <w:pPr>
              <w:widowControl/>
              <w:jc w:val="left"/>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基金管理人</w:t>
            </w:r>
          </w:p>
        </w:tc>
        <w:tc>
          <w:tcPr>
            <w:tcW w:w="6647" w:type="dxa"/>
            <w:gridSpan w:val="3"/>
            <w:tcBorders>
              <w:top w:val="nil"/>
              <w:left w:val="nil"/>
              <w:bottom w:val="single" w:color="auto" w:sz="4" w:space="0"/>
              <w:right w:val="single" w:color="auto" w:sz="4" w:space="0"/>
            </w:tcBorders>
            <w:vAlign w:val="center"/>
          </w:tcPr>
          <w:p w14:paraId="5DE547B1">
            <w:pPr>
              <w:widowControl/>
              <w:jc w:val="left"/>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　</w:t>
            </w:r>
          </w:p>
        </w:tc>
      </w:tr>
      <w:tr w14:paraId="5C476323">
        <w:tblPrEx>
          <w:tblCellMar>
            <w:top w:w="0" w:type="dxa"/>
            <w:left w:w="108" w:type="dxa"/>
            <w:bottom w:w="0" w:type="dxa"/>
            <w:right w:w="108" w:type="dxa"/>
          </w:tblCellMar>
        </w:tblPrEx>
        <w:trPr>
          <w:trHeight w:val="448" w:hRule="atLeast"/>
          <w:jc w:val="center"/>
        </w:trPr>
        <w:tc>
          <w:tcPr>
            <w:tcW w:w="1744" w:type="dxa"/>
            <w:tcBorders>
              <w:top w:val="nil"/>
              <w:left w:val="single" w:color="auto" w:sz="4" w:space="0"/>
              <w:bottom w:val="single" w:color="auto" w:sz="4" w:space="0"/>
              <w:right w:val="single" w:color="auto" w:sz="4" w:space="0"/>
            </w:tcBorders>
            <w:vAlign w:val="center"/>
          </w:tcPr>
          <w:p w14:paraId="49D32172">
            <w:pPr>
              <w:widowControl/>
              <w:jc w:val="left"/>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基金托管人</w:t>
            </w:r>
          </w:p>
        </w:tc>
        <w:tc>
          <w:tcPr>
            <w:tcW w:w="6647" w:type="dxa"/>
            <w:gridSpan w:val="3"/>
            <w:tcBorders>
              <w:top w:val="nil"/>
              <w:left w:val="nil"/>
              <w:bottom w:val="single" w:color="auto" w:sz="4" w:space="0"/>
              <w:right w:val="single" w:color="auto" w:sz="4" w:space="0"/>
            </w:tcBorders>
            <w:vAlign w:val="center"/>
          </w:tcPr>
          <w:p w14:paraId="43B6F0F9">
            <w:pPr>
              <w:widowControl/>
              <w:jc w:val="left"/>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　</w:t>
            </w:r>
          </w:p>
        </w:tc>
      </w:tr>
      <w:tr w14:paraId="63EE5702">
        <w:tblPrEx>
          <w:tblCellMar>
            <w:top w:w="0" w:type="dxa"/>
            <w:left w:w="108" w:type="dxa"/>
            <w:bottom w:w="0" w:type="dxa"/>
            <w:right w:w="108" w:type="dxa"/>
          </w:tblCellMar>
        </w:tblPrEx>
        <w:trPr>
          <w:trHeight w:val="448" w:hRule="atLeast"/>
          <w:jc w:val="center"/>
        </w:trPr>
        <w:tc>
          <w:tcPr>
            <w:tcW w:w="1744" w:type="dxa"/>
            <w:tcBorders>
              <w:top w:val="single" w:color="auto" w:sz="4" w:space="0"/>
              <w:left w:val="single" w:color="auto" w:sz="4" w:space="0"/>
              <w:bottom w:val="single" w:color="auto" w:sz="4" w:space="0"/>
              <w:right w:val="single" w:color="auto" w:sz="4" w:space="0"/>
            </w:tcBorders>
            <w:vAlign w:val="center"/>
          </w:tcPr>
          <w:p w14:paraId="39B31805">
            <w:pPr>
              <w:widowControl/>
              <w:jc w:val="left"/>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场内基金简称</w:t>
            </w:r>
          </w:p>
        </w:tc>
        <w:tc>
          <w:tcPr>
            <w:tcW w:w="6647" w:type="dxa"/>
            <w:gridSpan w:val="3"/>
            <w:tcBorders>
              <w:top w:val="single" w:color="auto" w:sz="4" w:space="0"/>
              <w:left w:val="nil"/>
              <w:bottom w:val="single" w:color="auto" w:sz="4" w:space="0"/>
              <w:right w:val="single" w:color="auto" w:sz="4" w:space="0"/>
            </w:tcBorders>
            <w:vAlign w:val="center"/>
          </w:tcPr>
          <w:p w14:paraId="26AD5DA5">
            <w:pPr>
              <w:widowControl/>
              <w:jc w:val="left"/>
              <w:rPr>
                <w:rFonts w:hint="eastAsia" w:ascii="仿宋_GB2312" w:hAnsi="仿宋_GB2312" w:eastAsia="仿宋_GB2312" w:cs="仿宋_GB2312"/>
                <w:color w:val="000000"/>
                <w:kern w:val="0"/>
                <w:sz w:val="24"/>
                <w:szCs w:val="24"/>
              </w:rPr>
            </w:pPr>
          </w:p>
        </w:tc>
      </w:tr>
      <w:tr w14:paraId="5D352BE4">
        <w:tblPrEx>
          <w:tblCellMar>
            <w:top w:w="0" w:type="dxa"/>
            <w:left w:w="108" w:type="dxa"/>
            <w:bottom w:w="0" w:type="dxa"/>
            <w:right w:w="108" w:type="dxa"/>
          </w:tblCellMar>
        </w:tblPrEx>
        <w:trPr>
          <w:trHeight w:val="448" w:hRule="atLeast"/>
          <w:jc w:val="center"/>
        </w:trPr>
        <w:tc>
          <w:tcPr>
            <w:tcW w:w="1744" w:type="dxa"/>
            <w:tcBorders>
              <w:top w:val="single" w:color="auto" w:sz="4" w:space="0"/>
              <w:left w:val="single" w:color="auto" w:sz="4" w:space="0"/>
              <w:bottom w:val="single" w:color="auto" w:sz="4" w:space="0"/>
              <w:right w:val="single" w:color="auto" w:sz="4" w:space="0"/>
            </w:tcBorders>
            <w:vAlign w:val="center"/>
          </w:tcPr>
          <w:p w14:paraId="498CE049">
            <w:pPr>
              <w:widowControl/>
              <w:jc w:val="left"/>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扩位简称</w:t>
            </w:r>
          </w:p>
        </w:tc>
        <w:tc>
          <w:tcPr>
            <w:tcW w:w="6647" w:type="dxa"/>
            <w:gridSpan w:val="3"/>
            <w:tcBorders>
              <w:top w:val="single" w:color="auto" w:sz="4" w:space="0"/>
              <w:left w:val="nil"/>
              <w:bottom w:val="single" w:color="auto" w:sz="4" w:space="0"/>
              <w:right w:val="single" w:color="auto" w:sz="4" w:space="0"/>
            </w:tcBorders>
            <w:vAlign w:val="center"/>
          </w:tcPr>
          <w:p w14:paraId="3C853453">
            <w:pPr>
              <w:widowControl/>
              <w:jc w:val="left"/>
              <w:rPr>
                <w:rFonts w:hint="eastAsia" w:ascii="仿宋_GB2312" w:hAnsi="仿宋_GB2312" w:eastAsia="仿宋_GB2312" w:cs="仿宋_GB2312"/>
                <w:color w:val="000000"/>
                <w:kern w:val="0"/>
                <w:sz w:val="24"/>
                <w:szCs w:val="24"/>
              </w:rPr>
            </w:pPr>
          </w:p>
        </w:tc>
      </w:tr>
      <w:tr w14:paraId="2826CBE3">
        <w:tblPrEx>
          <w:tblCellMar>
            <w:top w:w="0" w:type="dxa"/>
            <w:left w:w="108" w:type="dxa"/>
            <w:bottom w:w="0" w:type="dxa"/>
            <w:right w:w="108" w:type="dxa"/>
          </w:tblCellMar>
        </w:tblPrEx>
        <w:trPr>
          <w:trHeight w:val="448" w:hRule="atLeast"/>
          <w:jc w:val="center"/>
        </w:trPr>
        <w:tc>
          <w:tcPr>
            <w:tcW w:w="1744" w:type="dxa"/>
            <w:tcBorders>
              <w:top w:val="nil"/>
              <w:left w:val="single" w:color="auto" w:sz="4" w:space="0"/>
              <w:bottom w:val="single" w:color="auto" w:sz="4" w:space="0"/>
              <w:right w:val="single" w:color="auto" w:sz="4" w:space="0"/>
            </w:tcBorders>
            <w:vAlign w:val="center"/>
          </w:tcPr>
          <w:p w14:paraId="5BE1BE91">
            <w:pPr>
              <w:widowControl/>
              <w:jc w:val="left"/>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存续期限</w:t>
            </w:r>
          </w:p>
        </w:tc>
        <w:tc>
          <w:tcPr>
            <w:tcW w:w="6647" w:type="dxa"/>
            <w:gridSpan w:val="3"/>
            <w:tcBorders>
              <w:top w:val="nil"/>
              <w:left w:val="nil"/>
              <w:bottom w:val="single" w:color="auto" w:sz="4" w:space="0"/>
              <w:right w:val="single" w:color="auto" w:sz="4" w:space="0"/>
            </w:tcBorders>
            <w:vAlign w:val="center"/>
          </w:tcPr>
          <w:p w14:paraId="7E589A5D">
            <w:pPr>
              <w:widowControl/>
              <w:jc w:val="left"/>
              <w:rPr>
                <w:rFonts w:hint="eastAsia" w:ascii="仿宋_GB2312" w:hAnsi="仿宋_GB2312" w:eastAsia="仿宋_GB2312" w:cs="仿宋_GB2312"/>
                <w:color w:val="000000"/>
                <w:kern w:val="0"/>
                <w:sz w:val="24"/>
                <w:szCs w:val="24"/>
              </w:rPr>
            </w:pPr>
          </w:p>
        </w:tc>
      </w:tr>
      <w:tr w14:paraId="5213E1E0">
        <w:tblPrEx>
          <w:tblCellMar>
            <w:top w:w="0" w:type="dxa"/>
            <w:left w:w="108" w:type="dxa"/>
            <w:bottom w:w="0" w:type="dxa"/>
            <w:right w:w="108" w:type="dxa"/>
          </w:tblCellMar>
        </w:tblPrEx>
        <w:trPr>
          <w:trHeight w:val="448" w:hRule="atLeast"/>
          <w:jc w:val="center"/>
        </w:trPr>
        <w:tc>
          <w:tcPr>
            <w:tcW w:w="1744" w:type="dxa"/>
            <w:tcBorders>
              <w:top w:val="nil"/>
              <w:left w:val="single" w:color="auto" w:sz="4" w:space="0"/>
              <w:bottom w:val="single" w:color="auto" w:sz="4" w:space="0"/>
              <w:right w:val="single" w:color="auto" w:sz="4" w:space="0"/>
            </w:tcBorders>
            <w:vAlign w:val="center"/>
          </w:tcPr>
          <w:p w14:paraId="73687EBB">
            <w:pPr>
              <w:widowControl/>
              <w:jc w:val="left"/>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特殊安排</w:t>
            </w:r>
          </w:p>
        </w:tc>
        <w:tc>
          <w:tcPr>
            <w:tcW w:w="6647" w:type="dxa"/>
            <w:gridSpan w:val="3"/>
            <w:tcBorders>
              <w:top w:val="nil"/>
              <w:left w:val="nil"/>
              <w:bottom w:val="single" w:color="auto" w:sz="4" w:space="0"/>
              <w:right w:val="single" w:color="auto" w:sz="4" w:space="0"/>
            </w:tcBorders>
            <w:vAlign w:val="center"/>
          </w:tcPr>
          <w:p w14:paraId="0AD2BFC7">
            <w:pPr>
              <w:widowControl/>
              <w:jc w:val="right"/>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（非必填）</w:t>
            </w:r>
          </w:p>
        </w:tc>
      </w:tr>
      <w:tr w14:paraId="655CDCCB">
        <w:tblPrEx>
          <w:tblCellMar>
            <w:top w:w="0" w:type="dxa"/>
            <w:left w:w="108" w:type="dxa"/>
            <w:bottom w:w="0" w:type="dxa"/>
            <w:right w:w="108" w:type="dxa"/>
          </w:tblCellMar>
        </w:tblPrEx>
        <w:trPr>
          <w:trHeight w:val="448" w:hRule="atLeast"/>
          <w:jc w:val="center"/>
        </w:trPr>
        <w:tc>
          <w:tcPr>
            <w:tcW w:w="1744" w:type="dxa"/>
            <w:tcBorders>
              <w:top w:val="nil"/>
              <w:left w:val="single" w:color="auto" w:sz="4" w:space="0"/>
              <w:bottom w:val="single" w:color="auto" w:sz="4" w:space="0"/>
              <w:right w:val="single" w:color="auto" w:sz="4" w:space="0"/>
            </w:tcBorders>
            <w:vAlign w:val="center"/>
          </w:tcPr>
          <w:p w14:paraId="5FCD2B22">
            <w:pPr>
              <w:widowControl/>
              <w:jc w:val="left"/>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基金管理费</w:t>
            </w:r>
          </w:p>
        </w:tc>
        <w:tc>
          <w:tcPr>
            <w:tcW w:w="6647" w:type="dxa"/>
            <w:gridSpan w:val="3"/>
            <w:tcBorders>
              <w:top w:val="nil"/>
              <w:left w:val="nil"/>
              <w:bottom w:val="single" w:color="auto" w:sz="4" w:space="0"/>
              <w:right w:val="single" w:color="auto" w:sz="4" w:space="0"/>
            </w:tcBorders>
            <w:vAlign w:val="center"/>
          </w:tcPr>
          <w:p w14:paraId="5CFCB29B">
            <w:pPr>
              <w:widowControl/>
              <w:jc w:val="left"/>
              <w:rPr>
                <w:rFonts w:hint="eastAsia" w:ascii="仿宋_GB2312" w:hAnsi="仿宋_GB2312" w:eastAsia="仿宋_GB2312" w:cs="仿宋_GB2312"/>
                <w:color w:val="000000"/>
                <w:kern w:val="0"/>
                <w:sz w:val="24"/>
                <w:szCs w:val="24"/>
              </w:rPr>
            </w:pPr>
          </w:p>
        </w:tc>
      </w:tr>
      <w:tr w14:paraId="0BC8C547">
        <w:tblPrEx>
          <w:tblCellMar>
            <w:top w:w="0" w:type="dxa"/>
            <w:left w:w="108" w:type="dxa"/>
            <w:bottom w:w="0" w:type="dxa"/>
            <w:right w:w="108" w:type="dxa"/>
          </w:tblCellMar>
        </w:tblPrEx>
        <w:trPr>
          <w:trHeight w:val="448" w:hRule="atLeast"/>
          <w:jc w:val="center"/>
        </w:trPr>
        <w:tc>
          <w:tcPr>
            <w:tcW w:w="1744" w:type="dxa"/>
            <w:tcBorders>
              <w:top w:val="nil"/>
              <w:left w:val="single" w:color="auto" w:sz="4" w:space="0"/>
              <w:bottom w:val="single" w:color="auto" w:sz="4" w:space="0"/>
              <w:right w:val="single" w:color="auto" w:sz="4" w:space="0"/>
            </w:tcBorders>
            <w:vAlign w:val="center"/>
          </w:tcPr>
          <w:p w14:paraId="368F3495">
            <w:pPr>
              <w:widowControl/>
              <w:jc w:val="left"/>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托管费</w:t>
            </w:r>
          </w:p>
        </w:tc>
        <w:tc>
          <w:tcPr>
            <w:tcW w:w="6647" w:type="dxa"/>
            <w:gridSpan w:val="3"/>
            <w:tcBorders>
              <w:top w:val="nil"/>
              <w:left w:val="nil"/>
              <w:bottom w:val="single" w:color="auto" w:sz="4" w:space="0"/>
              <w:right w:val="single" w:color="auto" w:sz="4" w:space="0"/>
            </w:tcBorders>
            <w:vAlign w:val="center"/>
          </w:tcPr>
          <w:p w14:paraId="2EE113FE">
            <w:pPr>
              <w:widowControl/>
              <w:jc w:val="left"/>
              <w:rPr>
                <w:rFonts w:hint="eastAsia" w:ascii="仿宋_GB2312" w:hAnsi="仿宋_GB2312" w:eastAsia="仿宋_GB2312" w:cs="仿宋_GB2312"/>
                <w:color w:val="000000"/>
                <w:kern w:val="0"/>
                <w:sz w:val="24"/>
                <w:szCs w:val="24"/>
              </w:rPr>
            </w:pPr>
          </w:p>
        </w:tc>
      </w:tr>
    </w:tbl>
    <w:p w14:paraId="3044EBA4">
      <w:pPr>
        <w:spacing w:line="312" w:lineRule="auto"/>
        <w:ind w:firstLine="482" w:firstLineChars="200"/>
        <w:rPr>
          <w:rFonts w:hint="eastAsia" w:ascii="仿宋" w:hAnsi="仿宋" w:eastAsia="仿宋"/>
          <w:b/>
          <w:sz w:val="24"/>
          <w:szCs w:val="24"/>
        </w:rPr>
      </w:pPr>
      <w:r>
        <w:rPr>
          <w:rFonts w:hint="eastAsia" w:ascii="仿宋_GB2312" w:hAnsi="仿宋_GB2312" w:eastAsia="仿宋_GB2312" w:cs="仿宋_GB2312"/>
          <w:b/>
          <w:sz w:val="24"/>
          <w:szCs w:val="24"/>
        </w:rPr>
        <w:t>注：本表内容请与基金合同保持一致，如不一致，由基金管理人自行承担后果。</w:t>
      </w:r>
    </w:p>
    <w:p w14:paraId="5F10CAEB">
      <w:pPr>
        <w:spacing w:line="312" w:lineRule="auto"/>
        <w:rPr>
          <w:rFonts w:hint="eastAsia" w:ascii="仿宋" w:hAnsi="仿宋" w:eastAsia="仿宋"/>
          <w:b/>
          <w:sz w:val="24"/>
          <w:szCs w:val="24"/>
        </w:rPr>
      </w:pPr>
    </w:p>
    <w:p w14:paraId="22457922">
      <w:pPr>
        <w:spacing w:line="360" w:lineRule="auto"/>
        <w:outlineLvl w:val="2"/>
        <w:rPr>
          <w:rFonts w:hint="eastAsia" w:ascii="宋体" w:hAnsi="宋体"/>
          <w:b/>
          <w:sz w:val="24"/>
        </w:rPr>
      </w:pPr>
      <w:bookmarkStart w:id="1367" w:name="_Toc62833265"/>
      <w:bookmarkStart w:id="1368" w:name="_Toc62990990"/>
      <w:bookmarkStart w:id="1369" w:name="_Toc283"/>
      <w:bookmarkStart w:id="1370" w:name="_Toc318358892"/>
      <w:bookmarkStart w:id="1371" w:name="_Toc65181448"/>
      <w:r>
        <w:rPr>
          <w:rFonts w:ascii="宋体" w:hAnsi="宋体"/>
          <w:b/>
          <w:sz w:val="24"/>
        </w:rPr>
        <w:br w:type="page"/>
      </w:r>
      <w:bookmarkStart w:id="1372" w:name="_Toc1441226589"/>
      <w:bookmarkStart w:id="1373" w:name="_Toc442255741"/>
      <w:bookmarkStart w:id="1374" w:name="_Toc1809390976"/>
      <w:bookmarkStart w:id="1375" w:name="_Toc70604251"/>
      <w:bookmarkStart w:id="1376" w:name="_Toc2099529427"/>
      <w:bookmarkStart w:id="1377" w:name="_Toc957877844"/>
      <w:bookmarkStart w:id="1378" w:name="_Toc1299642485"/>
      <w:bookmarkStart w:id="1379" w:name="_Toc117649850"/>
      <w:r>
        <w:rPr>
          <w:rFonts w:hint="eastAsia" w:ascii="宋体" w:hAnsi="宋体"/>
          <w:b/>
          <w:sz w:val="24"/>
        </w:rPr>
        <w:t>附件</w:t>
      </w:r>
      <w:r>
        <w:rPr>
          <w:rFonts w:hint="eastAsia" w:ascii="Times New Roman" w:hAnsi="Times New Roman"/>
          <w:b/>
          <w:sz w:val="24"/>
        </w:rPr>
        <w:t>1</w:t>
      </w:r>
      <w:r>
        <w:rPr>
          <w:rFonts w:hint="eastAsia" w:ascii="宋体" w:hAnsi="宋体"/>
          <w:b/>
          <w:sz w:val="24"/>
        </w:rPr>
        <w:t>-</w:t>
      </w:r>
      <w:r>
        <w:rPr>
          <w:rFonts w:hint="eastAsia" w:ascii="Times New Roman" w:hAnsi="Times New Roman"/>
          <w:b/>
          <w:sz w:val="24"/>
        </w:rPr>
        <w:t>8</w:t>
      </w:r>
      <w:r>
        <w:rPr>
          <w:rFonts w:hint="eastAsia" w:ascii="宋体" w:hAnsi="宋体"/>
          <w:b/>
          <w:sz w:val="24"/>
        </w:rPr>
        <w:t>：发售申请函</w:t>
      </w:r>
      <w:bookmarkEnd w:id="1372"/>
      <w:bookmarkEnd w:id="1373"/>
      <w:bookmarkEnd w:id="1374"/>
      <w:bookmarkEnd w:id="1375"/>
      <w:bookmarkEnd w:id="1376"/>
      <w:bookmarkEnd w:id="1377"/>
      <w:bookmarkEnd w:id="1378"/>
      <w:bookmarkEnd w:id="1379"/>
    </w:p>
    <w:p w14:paraId="5E44C612">
      <w:pPr>
        <w:jc w:val="center"/>
        <w:rPr>
          <w:rFonts w:hint="eastAsia" w:ascii="宋体" w:hAnsi="宋体"/>
          <w:b/>
          <w:sz w:val="24"/>
        </w:rPr>
      </w:pPr>
      <w:r>
        <w:rPr>
          <w:rFonts w:hint="eastAsia" w:ascii="宋体" w:hAnsi="宋体"/>
          <w:b/>
          <w:sz w:val="24"/>
        </w:rPr>
        <w:t>关于申请协助发售</w:t>
      </w:r>
      <w:r>
        <w:rPr>
          <w:rFonts w:hint="eastAsia" w:ascii="宋体" w:hAnsi="宋体"/>
          <w:b/>
          <w:sz w:val="24"/>
          <w:u w:val="single"/>
        </w:rPr>
        <w:t>（</w:t>
      </w:r>
      <w:r>
        <w:rPr>
          <w:rFonts w:hint="eastAsia" w:ascii="Times New Roman" w:hAnsi="Times New Roman"/>
          <w:b/>
          <w:sz w:val="24"/>
          <w:u w:val="single"/>
        </w:rPr>
        <w:t>REITs</w:t>
      </w:r>
      <w:r>
        <w:rPr>
          <w:rFonts w:hint="eastAsia" w:ascii="宋体" w:hAnsi="宋体"/>
          <w:b/>
          <w:sz w:val="24"/>
          <w:u w:val="single"/>
        </w:rPr>
        <w:t>全称）</w:t>
      </w:r>
      <w:r>
        <w:rPr>
          <w:rFonts w:hint="eastAsia" w:ascii="宋体" w:hAnsi="宋体"/>
          <w:b/>
          <w:sz w:val="24"/>
        </w:rPr>
        <w:t>的函</w:t>
      </w:r>
      <w:bookmarkEnd w:id="1367"/>
      <w:bookmarkEnd w:id="1368"/>
      <w:bookmarkEnd w:id="1369"/>
      <w:bookmarkEnd w:id="1370"/>
      <w:bookmarkEnd w:id="1371"/>
    </w:p>
    <w:p w14:paraId="0F6F8DA3">
      <w:pPr>
        <w:spacing w:line="312" w:lineRule="auto"/>
        <w:jc w:val="center"/>
        <w:rPr>
          <w:rFonts w:hint="eastAsia" w:ascii="Times New Roman" w:hAnsi="Times New Roman" w:eastAsia="仿宋_GB2312"/>
          <w:sz w:val="24"/>
          <w:szCs w:val="24"/>
        </w:rPr>
      </w:pPr>
      <w:r>
        <w:rPr>
          <w:rFonts w:hint="eastAsia" w:ascii="Times New Roman" w:hAnsi="Times New Roman" w:eastAsia="仿宋_GB2312"/>
          <w:sz w:val="24"/>
          <w:szCs w:val="24"/>
        </w:rPr>
        <w:t>（基金公司文号）</w:t>
      </w:r>
    </w:p>
    <w:p w14:paraId="45996BAC">
      <w:pPr>
        <w:spacing w:line="312" w:lineRule="auto"/>
        <w:rPr>
          <w:rFonts w:hint="eastAsia" w:ascii="Times New Roman" w:hAnsi="Times New Roman" w:eastAsia="仿宋_GB2312"/>
          <w:sz w:val="24"/>
          <w:szCs w:val="24"/>
        </w:rPr>
      </w:pPr>
      <w:r>
        <w:rPr>
          <w:rFonts w:hint="eastAsia" w:ascii="Times New Roman" w:hAnsi="Times New Roman" w:eastAsia="仿宋_GB2312"/>
          <w:sz w:val="24"/>
          <w:szCs w:val="24"/>
        </w:rPr>
        <w:t>上海证券交易所：</w:t>
      </w:r>
    </w:p>
    <w:p w14:paraId="29C48DF0">
      <w:pPr>
        <w:spacing w:line="312" w:lineRule="auto"/>
        <w:ind w:firstLine="470" w:firstLineChars="196"/>
        <w:rPr>
          <w:rFonts w:hint="eastAsia" w:ascii="Times New Roman" w:hAnsi="Times New Roman" w:eastAsia="仿宋_GB2312"/>
          <w:sz w:val="24"/>
          <w:szCs w:val="24"/>
        </w:rPr>
      </w:pPr>
      <w:r>
        <w:rPr>
          <w:rFonts w:hint="eastAsia" w:ascii="Times New Roman" w:hAnsi="Times New Roman" w:eastAsia="仿宋_GB2312"/>
          <w:sz w:val="24"/>
          <w:szCs w:val="24"/>
        </w:rPr>
        <w:t>**基金管理有限公司（以下简称我司）的</w:t>
      </w:r>
      <w:r>
        <w:rPr>
          <w:rFonts w:hint="eastAsia" w:ascii="Times New Roman" w:hAnsi="Times New Roman" w:eastAsia="仿宋_GB2312"/>
          <w:sz w:val="24"/>
          <w:szCs w:val="24"/>
          <w:u w:val="single"/>
        </w:rPr>
        <w:t>（</w:t>
      </w:r>
      <w:r>
        <w:rPr>
          <w:rFonts w:ascii="Times New Roman" w:hAnsi="Times New Roman" w:eastAsia="仿宋_GB2312"/>
          <w:sz w:val="24"/>
          <w:szCs w:val="24"/>
          <w:u w:val="single"/>
        </w:rPr>
        <w:t>REITs</w:t>
      </w:r>
      <w:r>
        <w:rPr>
          <w:rFonts w:hint="eastAsia" w:ascii="Times New Roman" w:hAnsi="Times New Roman" w:eastAsia="仿宋_GB2312"/>
          <w:sz w:val="24"/>
          <w:szCs w:val="24"/>
          <w:u w:val="single"/>
        </w:rPr>
        <w:t>全称）</w:t>
      </w:r>
      <w:r>
        <w:rPr>
          <w:rFonts w:hint="eastAsia" w:ascii="Times New Roman" w:hAnsi="Times New Roman" w:eastAsia="仿宋_GB2312"/>
          <w:sz w:val="24"/>
          <w:szCs w:val="24"/>
        </w:rPr>
        <w:t>（基金代码：***；基金简称：***；扩位简称：***；以下简称本基金）于**年**月**日获中国证监会准予注册（证监许可[**]**号）。</w:t>
      </w:r>
    </w:p>
    <w:p w14:paraId="7485EB9A">
      <w:pPr>
        <w:spacing w:line="312" w:lineRule="auto"/>
        <w:ind w:firstLine="470" w:firstLineChars="196"/>
        <w:rPr>
          <w:rFonts w:hint="eastAsia" w:ascii="Times New Roman" w:hAnsi="Times New Roman" w:eastAsia="仿宋_GB2312"/>
          <w:sz w:val="24"/>
          <w:szCs w:val="24"/>
        </w:rPr>
      </w:pPr>
      <w:r>
        <w:rPr>
          <w:rFonts w:hint="eastAsia" w:ascii="Times New Roman" w:hAnsi="Times New Roman" w:eastAsia="仿宋_GB2312"/>
          <w:sz w:val="24"/>
          <w:szCs w:val="24"/>
        </w:rPr>
        <w:t>目前，本基金发售前期准备工作已基本就绪。根据本基金发售方案，我司拟定于**年**月**日面向网下机构投资者对本基金进行询价，待本基金的定价完成后，将面向全部投资者开放认购，具体认购时间安排将另行申请。</w:t>
      </w:r>
    </w:p>
    <w:p w14:paraId="50AC74B8">
      <w:pPr>
        <w:spacing w:line="312" w:lineRule="auto"/>
        <w:ind w:firstLine="470" w:firstLineChars="196"/>
        <w:rPr>
          <w:rFonts w:hint="eastAsia" w:ascii="Times New Roman" w:hAnsi="Times New Roman" w:eastAsia="仿宋_GB2312"/>
          <w:sz w:val="24"/>
          <w:szCs w:val="24"/>
        </w:rPr>
      </w:pPr>
      <w:r>
        <w:rPr>
          <w:rFonts w:hint="eastAsia" w:ascii="Times New Roman" w:hAnsi="Times New Roman" w:eastAsia="仿宋_GB2312"/>
          <w:sz w:val="24"/>
          <w:szCs w:val="24"/>
        </w:rPr>
        <w:t>现特向贵所申请为我司本基金的发售提供相应协调和准备工作。</w:t>
      </w:r>
    </w:p>
    <w:p w14:paraId="0306A7C4">
      <w:pPr>
        <w:spacing w:line="312" w:lineRule="auto"/>
        <w:ind w:firstLine="470" w:firstLineChars="196"/>
        <w:rPr>
          <w:rFonts w:hint="eastAsia" w:ascii="Times New Roman" w:hAnsi="Times New Roman" w:eastAsia="仿宋_GB2312"/>
          <w:sz w:val="24"/>
          <w:szCs w:val="24"/>
        </w:rPr>
      </w:pPr>
      <w:r>
        <w:rPr>
          <w:rFonts w:hint="eastAsia" w:ascii="Times New Roman" w:hAnsi="Times New Roman" w:eastAsia="仿宋_GB2312"/>
          <w:sz w:val="24"/>
          <w:szCs w:val="24"/>
        </w:rPr>
        <w:t>特此致函。</w:t>
      </w:r>
    </w:p>
    <w:p w14:paraId="315EB36A">
      <w:pPr>
        <w:spacing w:line="312" w:lineRule="auto"/>
        <w:ind w:firstLine="470" w:firstLineChars="196"/>
        <w:rPr>
          <w:rFonts w:hint="eastAsia" w:ascii="Times New Roman" w:hAnsi="Times New Roman" w:eastAsia="仿宋_GB2312"/>
          <w:sz w:val="24"/>
          <w:szCs w:val="24"/>
        </w:rPr>
      </w:pPr>
    </w:p>
    <w:p w14:paraId="1915BF9B">
      <w:pPr>
        <w:spacing w:line="312" w:lineRule="auto"/>
        <w:jc w:val="right"/>
        <w:rPr>
          <w:rFonts w:hint="eastAsia" w:ascii="Times New Roman" w:hAnsi="Times New Roman" w:eastAsia="仿宋_GB2312"/>
          <w:sz w:val="24"/>
          <w:szCs w:val="24"/>
        </w:rPr>
      </w:pPr>
      <w:r>
        <w:rPr>
          <w:rFonts w:hint="eastAsia" w:ascii="Times New Roman" w:hAnsi="Times New Roman" w:eastAsia="仿宋_GB2312"/>
          <w:sz w:val="24"/>
          <w:szCs w:val="24"/>
        </w:rPr>
        <w:tab/>
      </w:r>
      <w:r>
        <w:rPr>
          <w:rFonts w:hint="eastAsia" w:ascii="Times New Roman" w:hAnsi="Times New Roman" w:eastAsia="仿宋_GB2312"/>
          <w:sz w:val="24"/>
          <w:szCs w:val="24"/>
        </w:rPr>
        <w:tab/>
      </w:r>
      <w:r>
        <w:rPr>
          <w:rFonts w:hint="eastAsia" w:ascii="Times New Roman" w:hAnsi="Times New Roman" w:eastAsia="仿宋_GB2312"/>
          <w:sz w:val="24"/>
          <w:szCs w:val="24"/>
        </w:rPr>
        <w:t>**基金管理有限公司（加盖公章）</w:t>
      </w:r>
    </w:p>
    <w:p w14:paraId="72645C78">
      <w:pPr>
        <w:spacing w:line="312" w:lineRule="auto"/>
        <w:jc w:val="right"/>
        <w:rPr>
          <w:rFonts w:hint="eastAsia" w:ascii="Times New Roman" w:hAnsi="Times New Roman" w:eastAsia="仿宋_GB2312"/>
          <w:sz w:val="24"/>
          <w:szCs w:val="24"/>
        </w:rPr>
      </w:pPr>
      <w:r>
        <w:rPr>
          <w:rFonts w:hint="eastAsia" w:ascii="Times New Roman" w:hAnsi="Times New Roman" w:eastAsia="仿宋_GB2312"/>
          <w:sz w:val="24"/>
          <w:szCs w:val="24"/>
        </w:rPr>
        <w:t>**年**月**日</w:t>
      </w:r>
    </w:p>
    <w:p w14:paraId="0F3C6C85">
      <w:pPr>
        <w:spacing w:line="312" w:lineRule="auto"/>
        <w:jc w:val="right"/>
        <w:rPr>
          <w:rFonts w:hint="eastAsia" w:ascii="仿宋" w:hAnsi="仿宋" w:eastAsia="仿宋"/>
          <w:szCs w:val="21"/>
        </w:rPr>
      </w:pPr>
    </w:p>
    <w:p w14:paraId="1C1BE6C9">
      <w:pPr>
        <w:spacing w:line="360" w:lineRule="auto"/>
        <w:outlineLvl w:val="2"/>
        <w:rPr>
          <w:rFonts w:hint="eastAsia" w:ascii="宋体" w:hAnsi="宋体"/>
          <w:b/>
          <w:sz w:val="24"/>
        </w:rPr>
      </w:pPr>
      <w:r>
        <w:rPr>
          <w:rFonts w:ascii="宋体" w:hAnsi="宋体"/>
          <w:b/>
          <w:sz w:val="24"/>
        </w:rPr>
        <w:br w:type="page"/>
      </w:r>
      <w:bookmarkStart w:id="1380" w:name="_Toc70604252"/>
      <w:bookmarkStart w:id="1381" w:name="_Toc765713362"/>
      <w:bookmarkStart w:id="1382" w:name="_Toc1728829441"/>
      <w:bookmarkStart w:id="1383" w:name="_Toc420150910"/>
      <w:bookmarkStart w:id="1384" w:name="_Toc642105078"/>
      <w:bookmarkStart w:id="1385" w:name="_Toc417917953"/>
      <w:bookmarkStart w:id="1386" w:name="_Toc772372476"/>
      <w:bookmarkStart w:id="1387" w:name="_Toc115006585"/>
      <w:r>
        <w:rPr>
          <w:rFonts w:hint="eastAsia" w:ascii="宋体" w:hAnsi="宋体"/>
          <w:b/>
          <w:sz w:val="24"/>
        </w:rPr>
        <w:t>附件</w:t>
      </w:r>
      <w:r>
        <w:rPr>
          <w:rFonts w:hint="eastAsia" w:ascii="Times New Roman" w:hAnsi="Times New Roman"/>
          <w:b/>
          <w:sz w:val="24"/>
        </w:rPr>
        <w:t>1</w:t>
      </w:r>
      <w:r>
        <w:rPr>
          <w:rFonts w:hint="eastAsia" w:ascii="宋体" w:hAnsi="宋体"/>
          <w:b/>
          <w:sz w:val="24"/>
        </w:rPr>
        <w:t>-</w:t>
      </w:r>
      <w:r>
        <w:rPr>
          <w:rFonts w:hint="eastAsia" w:ascii="Times New Roman" w:hAnsi="Times New Roman"/>
          <w:b/>
          <w:sz w:val="24"/>
        </w:rPr>
        <w:t>9</w:t>
      </w:r>
      <w:r>
        <w:rPr>
          <w:rFonts w:hint="eastAsia" w:ascii="宋体" w:hAnsi="宋体"/>
          <w:b/>
          <w:sz w:val="24"/>
        </w:rPr>
        <w:t>：发行人自查和承诺反馈表</w:t>
      </w:r>
      <w:bookmarkEnd w:id="1380"/>
      <w:bookmarkEnd w:id="1381"/>
      <w:bookmarkEnd w:id="1382"/>
      <w:bookmarkEnd w:id="1383"/>
      <w:bookmarkEnd w:id="1384"/>
      <w:bookmarkEnd w:id="1385"/>
      <w:bookmarkEnd w:id="1386"/>
      <w:bookmarkEnd w:id="1387"/>
    </w:p>
    <w:p w14:paraId="757176E5">
      <w:pPr>
        <w:jc w:val="center"/>
        <w:rPr>
          <w:rFonts w:hint="eastAsia" w:ascii="宋体" w:hAnsi="宋体"/>
          <w:b/>
          <w:sz w:val="24"/>
        </w:rPr>
      </w:pPr>
    </w:p>
    <w:p w14:paraId="1CEB3325">
      <w:pPr>
        <w:jc w:val="center"/>
        <w:rPr>
          <w:rFonts w:hint="eastAsia" w:ascii="宋体" w:hAnsi="宋体"/>
          <w:b/>
          <w:sz w:val="24"/>
        </w:rPr>
      </w:pPr>
      <w:r>
        <w:rPr>
          <w:rFonts w:hint="eastAsia" w:ascii="Times New Roman" w:hAnsi="Times New Roman"/>
          <w:b/>
          <w:sz w:val="24"/>
        </w:rPr>
        <w:t>XX</w:t>
      </w:r>
      <w:r>
        <w:rPr>
          <w:rFonts w:hint="eastAsia" w:ascii="宋体" w:hAnsi="宋体"/>
          <w:b/>
          <w:sz w:val="24"/>
        </w:rPr>
        <w:t>公司关于</w:t>
      </w:r>
      <w:r>
        <w:rPr>
          <w:rFonts w:hint="eastAsia" w:ascii="宋体" w:hAnsi="宋体"/>
          <w:b/>
          <w:sz w:val="24"/>
          <w:u w:val="single"/>
        </w:rPr>
        <w:t>（</w:t>
      </w:r>
      <w:r>
        <w:rPr>
          <w:rFonts w:hint="eastAsia" w:ascii="Times New Roman" w:hAnsi="Times New Roman"/>
          <w:b/>
          <w:sz w:val="24"/>
          <w:u w:val="single"/>
        </w:rPr>
        <w:t>REITs</w:t>
      </w:r>
      <w:r>
        <w:rPr>
          <w:rFonts w:hint="eastAsia" w:ascii="宋体" w:hAnsi="宋体"/>
          <w:b/>
          <w:sz w:val="24"/>
          <w:u w:val="single"/>
        </w:rPr>
        <w:t>全称）</w:t>
      </w:r>
      <w:r>
        <w:rPr>
          <w:rFonts w:hint="eastAsia" w:ascii="宋体" w:hAnsi="宋体"/>
          <w:b/>
          <w:sz w:val="24"/>
        </w:rPr>
        <w:t>发售上市业务自查和承诺反馈表</w:t>
      </w:r>
    </w:p>
    <w:p w14:paraId="0615C0FA">
      <w:pPr>
        <w:jc w:val="center"/>
        <w:rPr>
          <w:rFonts w:hint="eastAsia" w:ascii="宋体" w:hAnsi="宋体"/>
          <w:b/>
          <w:sz w:val="24"/>
        </w:rPr>
      </w:pPr>
    </w:p>
    <w:tbl>
      <w:tblPr>
        <w:tblStyle w:val="15"/>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92"/>
        <w:gridCol w:w="7230"/>
      </w:tblGrid>
      <w:tr w14:paraId="423E03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9" w:hRule="atLeast"/>
        </w:trPr>
        <w:tc>
          <w:tcPr>
            <w:tcW w:w="758" w:type="pct"/>
            <w:tcBorders>
              <w:top w:val="single" w:color="auto" w:sz="4" w:space="0"/>
              <w:right w:val="single" w:color="auto" w:sz="4" w:space="0"/>
            </w:tcBorders>
            <w:vAlign w:val="center"/>
          </w:tcPr>
          <w:p w14:paraId="0B98E295">
            <w:pPr>
              <w:widowControl/>
              <w:jc w:val="left"/>
              <w:rPr>
                <w:rFonts w:hint="eastAsia" w:ascii="Times New Roman" w:hAnsi="Times New Roman" w:eastAsia="仿宋_GB2312"/>
                <w:color w:val="000000"/>
                <w:kern w:val="0"/>
                <w:sz w:val="24"/>
                <w:szCs w:val="24"/>
              </w:rPr>
            </w:pPr>
            <w:r>
              <w:rPr>
                <w:rFonts w:hint="eastAsia" w:ascii="Times New Roman" w:hAnsi="Times New Roman" w:eastAsia="仿宋_GB2312"/>
                <w:color w:val="000000"/>
                <w:kern w:val="0"/>
                <w:sz w:val="24"/>
                <w:szCs w:val="24"/>
              </w:rPr>
              <w:t>发行人</w:t>
            </w:r>
          </w:p>
        </w:tc>
        <w:tc>
          <w:tcPr>
            <w:tcW w:w="4242" w:type="pct"/>
            <w:tcBorders>
              <w:top w:val="single" w:color="auto" w:sz="4" w:space="0"/>
              <w:left w:val="single" w:color="auto" w:sz="4" w:space="0"/>
              <w:right w:val="single" w:color="auto" w:sz="4" w:space="0"/>
            </w:tcBorders>
          </w:tcPr>
          <w:p w14:paraId="0339249B">
            <w:pPr>
              <w:widowControl/>
              <w:rPr>
                <w:rFonts w:hint="eastAsia" w:ascii="Times New Roman" w:hAnsi="Times New Roman" w:eastAsia="仿宋_GB2312"/>
                <w:color w:val="000000"/>
                <w:kern w:val="0"/>
                <w:sz w:val="24"/>
                <w:szCs w:val="24"/>
              </w:rPr>
            </w:pPr>
          </w:p>
        </w:tc>
      </w:tr>
      <w:tr w14:paraId="53F23A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47" w:hRule="atLeast"/>
        </w:trPr>
        <w:tc>
          <w:tcPr>
            <w:tcW w:w="758" w:type="pct"/>
            <w:tcBorders>
              <w:top w:val="single" w:color="auto" w:sz="4" w:space="0"/>
              <w:right w:val="single" w:color="auto" w:sz="4" w:space="0"/>
            </w:tcBorders>
            <w:vAlign w:val="center"/>
          </w:tcPr>
          <w:p w14:paraId="6024EA33">
            <w:pPr>
              <w:widowControl/>
              <w:jc w:val="left"/>
              <w:rPr>
                <w:rFonts w:hint="eastAsia" w:ascii="Times New Roman" w:hAnsi="Times New Roman" w:eastAsia="仿宋_GB2312"/>
                <w:color w:val="000000"/>
                <w:kern w:val="0"/>
                <w:sz w:val="24"/>
                <w:szCs w:val="24"/>
              </w:rPr>
            </w:pPr>
            <w:r>
              <w:rPr>
                <w:rFonts w:hint="eastAsia" w:ascii="Times New Roman" w:hAnsi="Times New Roman" w:eastAsia="仿宋_GB2312"/>
                <w:color w:val="000000"/>
                <w:kern w:val="0"/>
                <w:sz w:val="24"/>
                <w:szCs w:val="24"/>
              </w:rPr>
              <w:t>自查情况</w:t>
            </w:r>
          </w:p>
        </w:tc>
        <w:tc>
          <w:tcPr>
            <w:tcW w:w="4242" w:type="pct"/>
            <w:tcBorders>
              <w:top w:val="single" w:color="auto" w:sz="4" w:space="0"/>
              <w:left w:val="single" w:color="auto" w:sz="4" w:space="0"/>
              <w:right w:val="single" w:color="auto" w:sz="4" w:space="0"/>
            </w:tcBorders>
          </w:tcPr>
          <w:p w14:paraId="03399ABF">
            <w:pPr>
              <w:widowControl/>
              <w:rPr>
                <w:rFonts w:hint="eastAsia" w:ascii="Times New Roman" w:hAnsi="Times New Roman" w:eastAsia="仿宋_GB2312"/>
                <w:color w:val="000000"/>
                <w:kern w:val="0"/>
                <w:sz w:val="24"/>
                <w:szCs w:val="24"/>
              </w:rPr>
            </w:pPr>
          </w:p>
        </w:tc>
      </w:tr>
      <w:tr w14:paraId="104687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62" w:hRule="atLeast"/>
        </w:trPr>
        <w:tc>
          <w:tcPr>
            <w:tcW w:w="758" w:type="pct"/>
            <w:vAlign w:val="center"/>
          </w:tcPr>
          <w:p w14:paraId="0EB35633">
            <w:pPr>
              <w:widowControl/>
              <w:jc w:val="left"/>
              <w:rPr>
                <w:rFonts w:hint="eastAsia" w:ascii="Times New Roman" w:hAnsi="Times New Roman" w:eastAsia="仿宋_GB2312"/>
                <w:color w:val="000000"/>
                <w:kern w:val="0"/>
                <w:sz w:val="24"/>
                <w:szCs w:val="24"/>
              </w:rPr>
            </w:pPr>
            <w:r>
              <w:rPr>
                <w:rFonts w:hint="eastAsia" w:ascii="Times New Roman" w:hAnsi="Times New Roman" w:eastAsia="仿宋_GB2312"/>
                <w:color w:val="000000"/>
                <w:kern w:val="0"/>
                <w:sz w:val="24"/>
                <w:szCs w:val="24"/>
              </w:rPr>
              <w:t>承诺说明</w:t>
            </w:r>
          </w:p>
        </w:tc>
        <w:tc>
          <w:tcPr>
            <w:tcW w:w="4242" w:type="pct"/>
            <w:vAlign w:val="center"/>
          </w:tcPr>
          <w:p w14:paraId="10FE8BD1">
            <w:pPr>
              <w:widowControl/>
              <w:jc w:val="left"/>
              <w:rPr>
                <w:rFonts w:hint="eastAsia" w:ascii="Times New Roman" w:hAnsi="Times New Roman" w:eastAsia="仿宋_GB2312"/>
                <w:color w:val="000000"/>
                <w:kern w:val="0"/>
                <w:sz w:val="24"/>
                <w:szCs w:val="24"/>
              </w:rPr>
            </w:pPr>
            <w:r>
              <w:rPr>
                <w:rFonts w:hint="eastAsia" w:ascii="Times New Roman" w:hAnsi="Times New Roman" w:eastAsia="仿宋_GB2312"/>
                <w:color w:val="000000"/>
                <w:kern w:val="0"/>
                <w:sz w:val="24"/>
                <w:szCs w:val="24"/>
              </w:rPr>
              <w:t>本公司承诺将严格遵守上海证券交易所公开募集不动产投资信托基金（</w:t>
            </w:r>
            <w:r>
              <w:rPr>
                <w:rFonts w:ascii="Times New Roman" w:hAnsi="Times New Roman" w:eastAsia="仿宋_GB2312"/>
                <w:color w:val="000000"/>
                <w:kern w:val="0"/>
                <w:sz w:val="24"/>
                <w:szCs w:val="24"/>
              </w:rPr>
              <w:t>REITs</w:t>
            </w:r>
            <w:r>
              <w:rPr>
                <w:rFonts w:hint="eastAsia" w:ascii="Times New Roman" w:hAnsi="Times New Roman" w:eastAsia="仿宋_GB2312"/>
                <w:color w:val="000000"/>
                <w:kern w:val="0"/>
                <w:sz w:val="24"/>
                <w:szCs w:val="24"/>
              </w:rPr>
              <w:t>）发售上市相关规则，做好</w:t>
            </w:r>
            <w:r>
              <w:rPr>
                <w:rFonts w:hint="eastAsia" w:ascii="Times New Roman" w:hAnsi="Times New Roman" w:eastAsia="仿宋_GB2312"/>
                <w:color w:val="000000"/>
                <w:kern w:val="0"/>
                <w:sz w:val="24"/>
                <w:szCs w:val="24"/>
                <w:u w:val="single"/>
              </w:rPr>
              <w:t>（</w:t>
            </w:r>
            <w:r>
              <w:rPr>
                <w:rFonts w:ascii="Times New Roman" w:hAnsi="Times New Roman" w:eastAsia="仿宋_GB2312"/>
                <w:color w:val="000000"/>
                <w:kern w:val="0"/>
                <w:sz w:val="24"/>
                <w:szCs w:val="24"/>
                <w:u w:val="single"/>
              </w:rPr>
              <w:t>REITs</w:t>
            </w:r>
            <w:r>
              <w:rPr>
                <w:rFonts w:hint="eastAsia" w:ascii="Times New Roman" w:hAnsi="Times New Roman" w:eastAsia="仿宋_GB2312"/>
                <w:color w:val="000000"/>
                <w:kern w:val="0"/>
                <w:sz w:val="24"/>
                <w:szCs w:val="24"/>
                <w:u w:val="single"/>
              </w:rPr>
              <w:t>全称）</w:t>
            </w:r>
            <w:r>
              <w:rPr>
                <w:rFonts w:hint="eastAsia" w:ascii="Times New Roman" w:hAnsi="Times New Roman" w:eastAsia="仿宋_GB2312"/>
                <w:color w:val="000000"/>
                <w:kern w:val="0"/>
                <w:sz w:val="24"/>
                <w:szCs w:val="24"/>
              </w:rPr>
              <w:t>发售上市业务各项工作，严格防范各个环节风险点，采取有针对性的风控措施。如因本公司原因发生重大失误，对市场造成重大影响，本公司将承担相应的法律责任。</w:t>
            </w:r>
          </w:p>
        </w:tc>
      </w:tr>
      <w:tr w14:paraId="3A28BE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16" w:hRule="atLeast"/>
        </w:trPr>
        <w:tc>
          <w:tcPr>
            <w:tcW w:w="5000" w:type="pct"/>
            <w:gridSpan w:val="2"/>
            <w:vAlign w:val="center"/>
          </w:tcPr>
          <w:p w14:paraId="7CCDCF87">
            <w:pPr>
              <w:widowControl/>
              <w:jc w:val="left"/>
              <w:rPr>
                <w:rFonts w:hint="eastAsia" w:ascii="Times New Roman" w:hAnsi="Times New Roman" w:eastAsia="仿宋_GB2312"/>
                <w:color w:val="000000"/>
                <w:kern w:val="0"/>
                <w:sz w:val="24"/>
                <w:szCs w:val="24"/>
              </w:rPr>
            </w:pPr>
            <w:r>
              <w:rPr>
                <w:rFonts w:hint="eastAsia" w:ascii="Times New Roman" w:hAnsi="Times New Roman" w:eastAsia="仿宋_GB2312"/>
                <w:color w:val="000000"/>
                <w:kern w:val="0"/>
                <w:sz w:val="24"/>
                <w:szCs w:val="24"/>
              </w:rPr>
              <w:t xml:space="preserve">       </w:t>
            </w:r>
          </w:p>
          <w:p w14:paraId="7E9F560A">
            <w:pPr>
              <w:widowControl/>
              <w:ind w:right="780"/>
              <w:jc w:val="left"/>
              <w:rPr>
                <w:rFonts w:hint="eastAsia" w:ascii="Times New Roman" w:hAnsi="Times New Roman" w:eastAsia="仿宋_GB2312"/>
                <w:color w:val="000000"/>
                <w:kern w:val="0"/>
                <w:sz w:val="24"/>
                <w:szCs w:val="24"/>
              </w:rPr>
            </w:pPr>
            <w:r>
              <w:rPr>
                <w:rFonts w:hint="eastAsia" w:ascii="Times New Roman" w:hAnsi="Times New Roman" w:eastAsia="仿宋_GB2312"/>
                <w:color w:val="000000"/>
                <w:kern w:val="0"/>
                <w:sz w:val="24"/>
                <w:szCs w:val="24"/>
              </w:rPr>
              <w:t xml:space="preserve">         发售上市业务负责人：                联系电话（手机）：</w:t>
            </w:r>
          </w:p>
          <w:p w14:paraId="41B4C255">
            <w:pPr>
              <w:widowControl/>
              <w:ind w:right="780" w:firstLine="1080" w:firstLineChars="450"/>
              <w:jc w:val="left"/>
              <w:rPr>
                <w:rFonts w:hint="eastAsia" w:ascii="Times New Roman" w:hAnsi="Times New Roman" w:eastAsia="仿宋_GB2312"/>
                <w:color w:val="000000"/>
                <w:kern w:val="0"/>
                <w:sz w:val="24"/>
                <w:szCs w:val="24"/>
              </w:rPr>
            </w:pPr>
            <w:r>
              <w:rPr>
                <w:rFonts w:hint="eastAsia" w:ascii="Times New Roman" w:hAnsi="Times New Roman" w:eastAsia="仿宋_GB2312"/>
                <w:color w:val="000000"/>
                <w:kern w:val="0"/>
                <w:sz w:val="24"/>
                <w:szCs w:val="24"/>
              </w:rPr>
              <w:t>具体业务经办人：                    联系电话（手机）：</w:t>
            </w:r>
          </w:p>
          <w:p w14:paraId="4E9004BB">
            <w:pPr>
              <w:widowControl/>
              <w:ind w:right="780" w:firstLine="6600" w:firstLineChars="2750"/>
              <w:jc w:val="left"/>
              <w:rPr>
                <w:rFonts w:hint="eastAsia" w:ascii="Times New Roman" w:hAnsi="Times New Roman" w:eastAsia="仿宋_GB2312"/>
                <w:color w:val="000000"/>
                <w:kern w:val="0"/>
                <w:sz w:val="24"/>
                <w:szCs w:val="24"/>
              </w:rPr>
            </w:pPr>
          </w:p>
          <w:p w14:paraId="06124936">
            <w:pPr>
              <w:widowControl/>
              <w:ind w:right="780" w:firstLine="6600" w:firstLineChars="2750"/>
              <w:jc w:val="right"/>
              <w:rPr>
                <w:rFonts w:hint="eastAsia" w:ascii="Times New Roman" w:hAnsi="Times New Roman" w:eastAsia="仿宋_GB2312"/>
                <w:color w:val="000000"/>
                <w:kern w:val="0"/>
                <w:sz w:val="24"/>
                <w:szCs w:val="24"/>
              </w:rPr>
            </w:pPr>
            <w:r>
              <w:rPr>
                <w:rFonts w:hint="eastAsia" w:ascii="Times New Roman" w:hAnsi="Times New Roman" w:eastAsia="仿宋_GB2312"/>
                <w:color w:val="000000"/>
                <w:kern w:val="0"/>
                <w:sz w:val="24"/>
                <w:szCs w:val="24"/>
              </w:rPr>
              <w:t>**公司（印章）</w:t>
            </w:r>
          </w:p>
          <w:p w14:paraId="068F56D7">
            <w:pPr>
              <w:widowControl/>
              <w:ind w:right="900"/>
              <w:jc w:val="left"/>
              <w:rPr>
                <w:rFonts w:hint="eastAsia" w:ascii="Times New Roman" w:hAnsi="Times New Roman" w:eastAsia="仿宋_GB2312"/>
                <w:color w:val="000000"/>
                <w:kern w:val="0"/>
                <w:sz w:val="24"/>
                <w:szCs w:val="24"/>
              </w:rPr>
            </w:pPr>
          </w:p>
          <w:p w14:paraId="44032EC0">
            <w:pPr>
              <w:widowControl/>
              <w:tabs>
                <w:tab w:val="left" w:pos="7513"/>
              </w:tabs>
              <w:ind w:right="793"/>
              <w:jc w:val="right"/>
              <w:rPr>
                <w:rFonts w:hint="eastAsia" w:ascii="Times New Roman" w:hAnsi="Times New Roman" w:eastAsia="仿宋_GB2312"/>
                <w:color w:val="000000"/>
                <w:kern w:val="0"/>
                <w:sz w:val="24"/>
                <w:szCs w:val="24"/>
              </w:rPr>
            </w:pPr>
            <w:r>
              <w:rPr>
                <w:rFonts w:hint="eastAsia" w:ascii="Times New Roman" w:hAnsi="Times New Roman" w:eastAsia="仿宋_GB2312"/>
                <w:color w:val="000000"/>
                <w:kern w:val="0"/>
                <w:sz w:val="24"/>
                <w:szCs w:val="24"/>
              </w:rPr>
              <w:t xml:space="preserve">**年**月**日                                            </w:t>
            </w:r>
          </w:p>
          <w:p w14:paraId="492561E1">
            <w:pPr>
              <w:widowControl/>
              <w:ind w:right="1020"/>
              <w:jc w:val="left"/>
              <w:rPr>
                <w:rFonts w:hint="eastAsia" w:ascii="Times New Roman" w:hAnsi="Times New Roman" w:eastAsia="仿宋_GB2312"/>
                <w:color w:val="000000"/>
                <w:kern w:val="0"/>
                <w:sz w:val="24"/>
                <w:szCs w:val="24"/>
              </w:rPr>
            </w:pPr>
            <w:r>
              <w:rPr>
                <w:rFonts w:hint="eastAsia" w:ascii="Times New Roman" w:hAnsi="Times New Roman" w:eastAsia="仿宋_GB2312"/>
                <w:color w:val="000000"/>
                <w:kern w:val="0"/>
                <w:sz w:val="24"/>
                <w:szCs w:val="24"/>
              </w:rPr>
              <w:t xml:space="preserve">                                                                                                                                                                                                                            </w:t>
            </w:r>
          </w:p>
        </w:tc>
      </w:tr>
    </w:tbl>
    <w:p w14:paraId="481A1180">
      <w:pPr>
        <w:spacing w:line="360" w:lineRule="auto"/>
        <w:outlineLvl w:val="2"/>
        <w:rPr>
          <w:rFonts w:hint="eastAsia" w:ascii="宋体" w:hAnsi="宋体"/>
          <w:b/>
          <w:sz w:val="24"/>
        </w:rPr>
      </w:pPr>
      <w:r>
        <w:rPr>
          <w:rFonts w:ascii="宋体" w:hAnsi="宋体"/>
          <w:b/>
          <w:sz w:val="24"/>
        </w:rPr>
        <w:br w:type="page"/>
      </w:r>
      <w:bookmarkStart w:id="1388" w:name="_Toc1363410112"/>
      <w:bookmarkStart w:id="1389" w:name="_Toc891338563"/>
      <w:bookmarkStart w:id="1390" w:name="_Toc70604253"/>
      <w:bookmarkStart w:id="1391" w:name="_Toc910126797"/>
      <w:bookmarkStart w:id="1392" w:name="_Toc1443099038"/>
      <w:bookmarkStart w:id="1393" w:name="_Toc498705494"/>
      <w:bookmarkStart w:id="1394" w:name="_Toc610090241"/>
      <w:bookmarkStart w:id="1395" w:name="_Toc1379004739"/>
      <w:r>
        <w:rPr>
          <w:rFonts w:hint="eastAsia" w:ascii="宋体" w:hAnsi="宋体"/>
          <w:b/>
          <w:sz w:val="24"/>
        </w:rPr>
        <w:t>附件</w:t>
      </w:r>
      <w:r>
        <w:rPr>
          <w:rFonts w:hint="eastAsia" w:ascii="Times New Roman" w:hAnsi="Times New Roman"/>
          <w:b/>
          <w:sz w:val="24"/>
        </w:rPr>
        <w:t>1</w:t>
      </w:r>
      <w:r>
        <w:rPr>
          <w:rFonts w:hint="eastAsia" w:ascii="宋体" w:hAnsi="宋体"/>
          <w:b/>
          <w:sz w:val="24"/>
        </w:rPr>
        <w:t>-</w:t>
      </w:r>
      <w:r>
        <w:rPr>
          <w:rFonts w:hint="eastAsia" w:ascii="Times New Roman" w:hAnsi="Times New Roman"/>
          <w:b/>
          <w:sz w:val="24"/>
        </w:rPr>
        <w:t>10</w:t>
      </w:r>
      <w:r>
        <w:rPr>
          <w:rFonts w:hint="eastAsia" w:ascii="宋体" w:hAnsi="宋体"/>
          <w:b/>
          <w:sz w:val="24"/>
        </w:rPr>
        <w:t>：业务信息调整申请函</w:t>
      </w:r>
      <w:bookmarkEnd w:id="1388"/>
      <w:bookmarkEnd w:id="1389"/>
      <w:bookmarkEnd w:id="1390"/>
      <w:bookmarkEnd w:id="1391"/>
      <w:bookmarkEnd w:id="1392"/>
      <w:bookmarkEnd w:id="1393"/>
      <w:bookmarkEnd w:id="1394"/>
      <w:bookmarkEnd w:id="1395"/>
    </w:p>
    <w:p w14:paraId="2B1E40CE">
      <w:pPr>
        <w:jc w:val="center"/>
        <w:rPr>
          <w:rFonts w:hint="eastAsia" w:ascii="宋体" w:hAnsi="宋体"/>
          <w:b/>
          <w:sz w:val="24"/>
        </w:rPr>
      </w:pPr>
      <w:r>
        <w:rPr>
          <w:rFonts w:hint="eastAsia" w:ascii="宋体" w:hAnsi="宋体"/>
          <w:b/>
          <w:sz w:val="24"/>
        </w:rPr>
        <w:t>关于</w:t>
      </w:r>
      <w:r>
        <w:rPr>
          <w:rFonts w:hint="eastAsia" w:ascii="宋体" w:hAnsi="宋体"/>
          <w:b/>
          <w:sz w:val="24"/>
          <w:u w:val="single"/>
        </w:rPr>
        <w:t>（</w:t>
      </w:r>
      <w:r>
        <w:rPr>
          <w:rFonts w:hint="eastAsia" w:ascii="Times New Roman" w:hAnsi="Times New Roman"/>
          <w:b/>
          <w:sz w:val="24"/>
          <w:u w:val="single"/>
        </w:rPr>
        <w:t>REITs</w:t>
      </w:r>
      <w:r>
        <w:rPr>
          <w:rFonts w:hint="eastAsia" w:ascii="宋体" w:hAnsi="宋体"/>
          <w:b/>
          <w:sz w:val="24"/>
          <w:u w:val="single"/>
        </w:rPr>
        <w:t>全称）</w:t>
      </w:r>
      <w:r>
        <w:rPr>
          <w:rFonts w:hint="eastAsia" w:ascii="宋体" w:hAnsi="宋体"/>
          <w:b/>
          <w:sz w:val="24"/>
        </w:rPr>
        <w:t>询价/认购/上市相关信息变更的申请函</w:t>
      </w:r>
    </w:p>
    <w:p w14:paraId="42A8E87E">
      <w:pPr>
        <w:spacing w:line="312" w:lineRule="auto"/>
        <w:jc w:val="center"/>
        <w:rPr>
          <w:rFonts w:hint="eastAsia" w:ascii="Times New Roman" w:hAnsi="Times New Roman" w:eastAsia="仿宋_GB2312"/>
          <w:sz w:val="24"/>
          <w:szCs w:val="24"/>
        </w:rPr>
      </w:pPr>
      <w:r>
        <w:rPr>
          <w:rFonts w:hint="eastAsia" w:ascii="Times New Roman" w:hAnsi="Times New Roman" w:eastAsia="仿宋_GB2312"/>
          <w:sz w:val="24"/>
          <w:szCs w:val="24"/>
        </w:rPr>
        <w:t>（基金公司文号）</w:t>
      </w:r>
    </w:p>
    <w:p w14:paraId="64EBF274">
      <w:pPr>
        <w:spacing w:line="312" w:lineRule="auto"/>
        <w:rPr>
          <w:rFonts w:hint="eastAsia" w:ascii="Times New Roman" w:hAnsi="Times New Roman" w:eastAsia="仿宋_GB2312"/>
          <w:sz w:val="24"/>
          <w:szCs w:val="24"/>
        </w:rPr>
      </w:pPr>
      <w:r>
        <w:rPr>
          <w:rFonts w:hint="eastAsia" w:ascii="Times New Roman" w:hAnsi="Times New Roman" w:eastAsia="仿宋_GB2312"/>
          <w:sz w:val="24"/>
          <w:szCs w:val="24"/>
        </w:rPr>
        <w:t>上海证券交易所：</w:t>
      </w:r>
    </w:p>
    <w:p w14:paraId="4AC12D53">
      <w:pPr>
        <w:spacing w:line="312" w:lineRule="auto"/>
        <w:ind w:firstLine="470" w:firstLineChars="196"/>
        <w:rPr>
          <w:rFonts w:hint="eastAsia" w:ascii="Times New Roman" w:hAnsi="Times New Roman" w:eastAsia="仿宋_GB2312"/>
          <w:sz w:val="24"/>
          <w:szCs w:val="24"/>
        </w:rPr>
      </w:pPr>
      <w:r>
        <w:rPr>
          <w:rFonts w:hint="eastAsia" w:ascii="Times New Roman" w:hAnsi="Times New Roman" w:eastAsia="仿宋_GB2312"/>
          <w:sz w:val="24"/>
          <w:szCs w:val="24"/>
        </w:rPr>
        <w:t>**基金管理有限公司（以下简称我司）管理的</w:t>
      </w:r>
      <w:r>
        <w:rPr>
          <w:rFonts w:hint="eastAsia" w:ascii="Times New Roman" w:hAnsi="Times New Roman" w:eastAsia="仿宋_GB2312"/>
          <w:sz w:val="24"/>
          <w:szCs w:val="24"/>
          <w:u w:val="single"/>
        </w:rPr>
        <w:t>（</w:t>
      </w:r>
      <w:r>
        <w:rPr>
          <w:rFonts w:ascii="Times New Roman" w:hAnsi="Times New Roman" w:eastAsia="仿宋_GB2312"/>
          <w:sz w:val="24"/>
          <w:szCs w:val="24"/>
          <w:u w:val="single"/>
        </w:rPr>
        <w:t>REITs</w:t>
      </w:r>
      <w:r>
        <w:rPr>
          <w:rFonts w:hint="eastAsia" w:ascii="Times New Roman" w:hAnsi="Times New Roman" w:eastAsia="仿宋_GB2312"/>
          <w:sz w:val="24"/>
          <w:szCs w:val="24"/>
          <w:u w:val="single"/>
        </w:rPr>
        <w:t>全称）</w:t>
      </w:r>
      <w:r>
        <w:rPr>
          <w:rFonts w:hint="eastAsia" w:ascii="Times New Roman" w:hAnsi="Times New Roman" w:eastAsia="仿宋_GB2312"/>
          <w:sz w:val="24"/>
          <w:szCs w:val="24"/>
        </w:rPr>
        <w:t>（基金代码：***；基金简称：***；扩位简称：***；以下简称本基金）申请于</w:t>
      </w:r>
      <w:r>
        <w:rPr>
          <w:rFonts w:hint="eastAsia" w:ascii="Times New Roman" w:hAnsi="Times New Roman" w:eastAsia="仿宋_GB2312"/>
          <w:sz w:val="24"/>
          <w:szCs w:val="24"/>
          <w:u w:val="single"/>
        </w:rPr>
        <w:t>**年**月**日进行询价</w:t>
      </w:r>
      <w:r>
        <w:rPr>
          <w:rFonts w:hint="eastAsia" w:ascii="Times New Roman" w:hAnsi="Times New Roman" w:eastAsia="仿宋_GB2312"/>
          <w:sz w:val="24"/>
          <w:szCs w:val="24"/>
        </w:rPr>
        <w:t>/</w:t>
      </w:r>
      <w:r>
        <w:rPr>
          <w:rFonts w:hint="eastAsia" w:ascii="Times New Roman" w:hAnsi="Times New Roman" w:eastAsia="仿宋_GB2312"/>
          <w:sz w:val="24"/>
          <w:szCs w:val="24"/>
          <w:u w:val="single"/>
        </w:rPr>
        <w:t>**年**月**日至**年**月**日进行发售</w:t>
      </w:r>
      <w:r>
        <w:rPr>
          <w:rFonts w:hint="eastAsia" w:ascii="Times New Roman" w:hAnsi="Times New Roman" w:eastAsia="仿宋_GB2312"/>
          <w:sz w:val="24"/>
          <w:szCs w:val="24"/>
        </w:rPr>
        <w:t>/</w:t>
      </w:r>
      <w:r>
        <w:rPr>
          <w:rFonts w:hint="eastAsia" w:ascii="Times New Roman" w:hAnsi="Times New Roman" w:eastAsia="仿宋_GB2312"/>
          <w:sz w:val="24"/>
          <w:szCs w:val="24"/>
          <w:u w:val="single"/>
        </w:rPr>
        <w:t>**年**月**日上市</w:t>
      </w:r>
      <w:r>
        <w:rPr>
          <w:rFonts w:hint="eastAsia" w:ascii="Times New Roman" w:hAnsi="Times New Roman" w:eastAsia="仿宋_GB2312"/>
          <w:sz w:val="24"/>
          <w:szCs w:val="24"/>
        </w:rPr>
        <w:t>，现拟调整本基金询价/认购/上市相关信息，具体调整内容及涉及的对应公告修订明细详见附件。</w:t>
      </w:r>
    </w:p>
    <w:p w14:paraId="6FF4932E">
      <w:pPr>
        <w:spacing w:line="312" w:lineRule="auto"/>
        <w:ind w:firstLine="470" w:firstLineChars="196"/>
        <w:rPr>
          <w:rFonts w:hint="eastAsia" w:ascii="Times New Roman" w:hAnsi="Times New Roman" w:eastAsia="仿宋_GB2312"/>
          <w:sz w:val="24"/>
          <w:szCs w:val="24"/>
        </w:rPr>
      </w:pPr>
      <w:r>
        <w:rPr>
          <w:rFonts w:hint="eastAsia" w:ascii="Times New Roman" w:hAnsi="Times New Roman" w:eastAsia="仿宋_GB2312"/>
          <w:sz w:val="24"/>
          <w:szCs w:val="24"/>
        </w:rPr>
        <w:t>我司承诺除附件中涉及的变动内容外，其余业务信息及公告内容无变动，且不存在违背信息披露管理办法及相关规定的情况。</w:t>
      </w:r>
    </w:p>
    <w:p w14:paraId="14BF373C">
      <w:pPr>
        <w:spacing w:line="312" w:lineRule="auto"/>
        <w:ind w:firstLine="470" w:firstLineChars="196"/>
        <w:rPr>
          <w:rFonts w:hint="eastAsia" w:ascii="Times New Roman" w:hAnsi="Times New Roman" w:eastAsia="仿宋_GB2312"/>
          <w:sz w:val="24"/>
          <w:szCs w:val="24"/>
        </w:rPr>
      </w:pPr>
      <w:r>
        <w:rPr>
          <w:rFonts w:hint="eastAsia" w:ascii="Times New Roman" w:hAnsi="Times New Roman" w:eastAsia="仿宋_GB2312"/>
          <w:sz w:val="24"/>
          <w:szCs w:val="24"/>
        </w:rPr>
        <w:t>特此致函。</w:t>
      </w:r>
    </w:p>
    <w:p w14:paraId="06B6C574">
      <w:pPr>
        <w:spacing w:line="312" w:lineRule="auto"/>
        <w:ind w:firstLine="470" w:firstLineChars="196"/>
        <w:rPr>
          <w:rFonts w:hint="eastAsia" w:ascii="Times New Roman" w:hAnsi="Times New Roman" w:eastAsia="仿宋_GB2312"/>
          <w:sz w:val="24"/>
          <w:szCs w:val="24"/>
        </w:rPr>
      </w:pPr>
    </w:p>
    <w:p w14:paraId="2CC19FA6">
      <w:pPr>
        <w:spacing w:line="312" w:lineRule="auto"/>
        <w:ind w:firstLine="470" w:firstLineChars="196"/>
        <w:rPr>
          <w:rFonts w:hint="eastAsia" w:ascii="Times New Roman" w:hAnsi="Times New Roman" w:eastAsia="仿宋_GB2312"/>
          <w:sz w:val="24"/>
          <w:szCs w:val="24"/>
        </w:rPr>
      </w:pPr>
      <w:r>
        <w:rPr>
          <w:rFonts w:hint="eastAsia" w:ascii="Times New Roman" w:hAnsi="Times New Roman" w:eastAsia="仿宋_GB2312"/>
          <w:sz w:val="24"/>
          <w:szCs w:val="24"/>
        </w:rPr>
        <w:t>附件：业务变更及公告修订明细</w:t>
      </w:r>
    </w:p>
    <w:p w14:paraId="1B16791A">
      <w:pPr>
        <w:spacing w:line="312" w:lineRule="auto"/>
        <w:jc w:val="right"/>
        <w:rPr>
          <w:rFonts w:hint="eastAsia" w:ascii="Times New Roman" w:hAnsi="Times New Roman" w:eastAsia="仿宋_GB2312"/>
          <w:sz w:val="24"/>
          <w:szCs w:val="24"/>
        </w:rPr>
      </w:pPr>
      <w:r>
        <w:rPr>
          <w:rFonts w:hint="eastAsia" w:ascii="Times New Roman" w:hAnsi="Times New Roman" w:eastAsia="仿宋_GB2312"/>
          <w:sz w:val="24"/>
          <w:szCs w:val="24"/>
        </w:rPr>
        <w:tab/>
      </w:r>
      <w:r>
        <w:rPr>
          <w:rFonts w:hint="eastAsia" w:ascii="Times New Roman" w:hAnsi="Times New Roman" w:eastAsia="仿宋_GB2312"/>
          <w:sz w:val="24"/>
          <w:szCs w:val="24"/>
        </w:rPr>
        <w:tab/>
      </w:r>
      <w:r>
        <w:rPr>
          <w:rFonts w:hint="eastAsia" w:ascii="Times New Roman" w:hAnsi="Times New Roman" w:eastAsia="仿宋_GB2312"/>
          <w:sz w:val="24"/>
          <w:szCs w:val="24"/>
        </w:rPr>
        <w:tab/>
      </w:r>
      <w:r>
        <w:rPr>
          <w:rFonts w:hint="eastAsia" w:ascii="Times New Roman" w:hAnsi="Times New Roman" w:eastAsia="仿宋_GB2312"/>
          <w:sz w:val="24"/>
          <w:szCs w:val="24"/>
        </w:rPr>
        <w:tab/>
      </w:r>
      <w:r>
        <w:rPr>
          <w:rFonts w:hint="eastAsia" w:ascii="Times New Roman" w:hAnsi="Times New Roman" w:eastAsia="仿宋_GB2312"/>
          <w:sz w:val="24"/>
          <w:szCs w:val="24"/>
        </w:rPr>
        <w:tab/>
      </w:r>
      <w:r>
        <w:rPr>
          <w:rFonts w:hint="eastAsia" w:ascii="Times New Roman" w:hAnsi="Times New Roman" w:eastAsia="仿宋_GB2312"/>
          <w:sz w:val="24"/>
          <w:szCs w:val="24"/>
        </w:rPr>
        <w:tab/>
      </w:r>
      <w:r>
        <w:rPr>
          <w:rFonts w:hint="eastAsia" w:ascii="Times New Roman" w:hAnsi="Times New Roman" w:eastAsia="仿宋_GB2312"/>
          <w:sz w:val="24"/>
          <w:szCs w:val="24"/>
        </w:rPr>
        <w:tab/>
      </w:r>
      <w:r>
        <w:rPr>
          <w:rFonts w:hint="eastAsia" w:ascii="Times New Roman" w:hAnsi="Times New Roman" w:eastAsia="仿宋_GB2312"/>
          <w:sz w:val="24"/>
          <w:szCs w:val="24"/>
        </w:rPr>
        <w:tab/>
      </w:r>
      <w:r>
        <w:rPr>
          <w:rFonts w:hint="eastAsia" w:ascii="Times New Roman" w:hAnsi="Times New Roman" w:eastAsia="仿宋_GB2312"/>
          <w:sz w:val="24"/>
          <w:szCs w:val="24"/>
        </w:rPr>
        <w:tab/>
      </w:r>
      <w:r>
        <w:rPr>
          <w:rFonts w:hint="eastAsia" w:ascii="Times New Roman" w:hAnsi="Times New Roman" w:eastAsia="仿宋_GB2312"/>
          <w:sz w:val="24"/>
          <w:szCs w:val="24"/>
        </w:rPr>
        <w:tab/>
      </w:r>
      <w:r>
        <w:rPr>
          <w:rFonts w:hint="eastAsia" w:ascii="Times New Roman" w:hAnsi="Times New Roman" w:eastAsia="仿宋_GB2312"/>
          <w:sz w:val="24"/>
          <w:szCs w:val="24"/>
        </w:rPr>
        <w:t xml:space="preserve">   **基金管理有限公司（加盖公章）</w:t>
      </w:r>
    </w:p>
    <w:p w14:paraId="48308D19">
      <w:pPr>
        <w:spacing w:line="312" w:lineRule="auto"/>
        <w:jc w:val="right"/>
        <w:rPr>
          <w:rFonts w:hint="eastAsia" w:ascii="Times New Roman" w:hAnsi="Times New Roman" w:eastAsia="仿宋_GB2312"/>
          <w:sz w:val="24"/>
          <w:szCs w:val="24"/>
        </w:rPr>
      </w:pPr>
      <w:r>
        <w:rPr>
          <w:rFonts w:hint="eastAsia" w:ascii="Times New Roman" w:hAnsi="Times New Roman" w:eastAsia="仿宋_GB2312"/>
          <w:sz w:val="24"/>
          <w:szCs w:val="24"/>
        </w:rPr>
        <w:t>**年**月**日</w:t>
      </w:r>
    </w:p>
    <w:p w14:paraId="09A1C9D5">
      <w:pPr>
        <w:widowControl/>
        <w:jc w:val="left"/>
        <w:rPr>
          <w:rFonts w:ascii="仿宋_GB2312" w:eastAsia="仿宋_GB2312"/>
          <w:b/>
          <w:bCs/>
          <w:sz w:val="24"/>
          <w:szCs w:val="24"/>
        </w:rPr>
      </w:pPr>
    </w:p>
    <w:p w14:paraId="1EC8AA60">
      <w:pPr>
        <w:widowControl/>
        <w:rPr>
          <w:rFonts w:hint="eastAsia" w:ascii="宋体" w:hAnsi="宋体" w:cs="宋体"/>
          <w:b/>
          <w:bCs/>
          <w:kern w:val="0"/>
          <w:szCs w:val="21"/>
        </w:rPr>
      </w:pPr>
      <w:r>
        <w:rPr>
          <w:rFonts w:ascii="宋体" w:hAnsi="宋体" w:cs="宋体"/>
          <w:b/>
          <w:bCs/>
          <w:kern w:val="0"/>
          <w:szCs w:val="21"/>
        </w:rPr>
        <w:br w:type="page"/>
      </w:r>
    </w:p>
    <w:p w14:paraId="133CEEFB">
      <w:pPr>
        <w:widowControl/>
        <w:rPr>
          <w:rFonts w:hint="eastAsia" w:ascii="宋体" w:hAnsi="宋体" w:cs="宋体"/>
          <w:b/>
          <w:bCs/>
          <w:kern w:val="0"/>
          <w:szCs w:val="21"/>
        </w:rPr>
      </w:pPr>
      <w:r>
        <w:rPr>
          <w:rFonts w:ascii="宋体" w:hAnsi="宋体" w:cs="宋体"/>
          <w:b/>
          <w:bCs/>
          <w:kern w:val="0"/>
          <w:szCs w:val="21"/>
        </w:rPr>
        <w:t>附件</w:t>
      </w:r>
      <w:r>
        <w:rPr>
          <w:rFonts w:hint="eastAsia" w:ascii="宋体" w:hAnsi="宋体" w:cs="宋体"/>
          <w:b/>
          <w:bCs/>
          <w:kern w:val="0"/>
          <w:szCs w:val="21"/>
        </w:rPr>
        <w:t>：业务变更及公告修订明细</w:t>
      </w:r>
    </w:p>
    <w:p w14:paraId="23A8DF50">
      <w:pPr>
        <w:spacing w:line="312" w:lineRule="auto"/>
        <w:ind w:firstLine="470" w:firstLineChars="196"/>
        <w:rPr>
          <w:rFonts w:hint="eastAsia" w:ascii="Times New Roman" w:hAnsi="Times New Roman" w:eastAsia="仿宋_GB2312"/>
          <w:sz w:val="24"/>
          <w:szCs w:val="24"/>
        </w:rPr>
      </w:pPr>
      <w:r>
        <w:rPr>
          <w:rFonts w:ascii="Times New Roman" w:hAnsi="Times New Roman" w:eastAsia="仿宋_GB2312"/>
          <w:sz w:val="24"/>
          <w:szCs w:val="24"/>
        </w:rPr>
        <w:t>1</w:t>
      </w:r>
      <w:r>
        <w:rPr>
          <w:rFonts w:hint="eastAsia" w:ascii="Times New Roman" w:hAnsi="Times New Roman" w:eastAsia="仿宋_GB2312"/>
          <w:sz w:val="24"/>
          <w:szCs w:val="24"/>
        </w:rPr>
        <w:t>、</w:t>
      </w:r>
      <w:r>
        <w:rPr>
          <w:rFonts w:ascii="Times New Roman" w:hAnsi="Times New Roman" w:eastAsia="仿宋_GB2312"/>
          <w:sz w:val="24"/>
          <w:szCs w:val="24"/>
        </w:rPr>
        <w:t>XX</w:t>
      </w:r>
      <w:r>
        <w:rPr>
          <w:rFonts w:hint="eastAsia" w:ascii="Times New Roman" w:hAnsi="Times New Roman" w:eastAsia="仿宋_GB2312"/>
          <w:sz w:val="24"/>
          <w:szCs w:val="24"/>
        </w:rPr>
        <w:t>公告（若有多份请逐一列举）</w:t>
      </w:r>
    </w:p>
    <w:tbl>
      <w:tblPr>
        <w:tblStyle w:val="1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17"/>
        <w:gridCol w:w="1701"/>
        <w:gridCol w:w="2693"/>
        <w:gridCol w:w="3311"/>
      </w:tblGrid>
      <w:tr w14:paraId="4DC9F7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tcPr>
          <w:p w14:paraId="208BC885">
            <w:pPr>
              <w:spacing w:line="312" w:lineRule="auto"/>
              <w:jc w:val="center"/>
              <w:rPr>
                <w:rFonts w:hint="eastAsia" w:ascii="Times New Roman" w:hAnsi="Times New Roman" w:eastAsia="仿宋_GB2312"/>
                <w:sz w:val="24"/>
                <w:szCs w:val="24"/>
              </w:rPr>
            </w:pPr>
            <w:r>
              <w:rPr>
                <w:rFonts w:hint="eastAsia" w:ascii="Times New Roman" w:hAnsi="Times New Roman" w:eastAsia="仿宋_GB2312"/>
                <w:sz w:val="24"/>
                <w:szCs w:val="24"/>
              </w:rPr>
              <w:t>序号</w:t>
            </w:r>
          </w:p>
        </w:tc>
        <w:tc>
          <w:tcPr>
            <w:tcW w:w="1701" w:type="dxa"/>
          </w:tcPr>
          <w:p w14:paraId="2D986298">
            <w:pPr>
              <w:spacing w:line="312" w:lineRule="auto"/>
              <w:jc w:val="center"/>
              <w:rPr>
                <w:rFonts w:hint="eastAsia" w:ascii="Times New Roman" w:hAnsi="Times New Roman" w:eastAsia="仿宋_GB2312"/>
                <w:sz w:val="24"/>
                <w:szCs w:val="24"/>
              </w:rPr>
            </w:pPr>
            <w:r>
              <w:rPr>
                <w:rFonts w:hint="eastAsia" w:ascii="Times New Roman" w:hAnsi="Times New Roman" w:eastAsia="仿宋_GB2312"/>
                <w:sz w:val="24"/>
                <w:szCs w:val="24"/>
              </w:rPr>
              <w:t>业务变更事项</w:t>
            </w:r>
          </w:p>
        </w:tc>
        <w:tc>
          <w:tcPr>
            <w:tcW w:w="2693" w:type="dxa"/>
          </w:tcPr>
          <w:p w14:paraId="4A0B379C">
            <w:pPr>
              <w:spacing w:line="312" w:lineRule="auto"/>
              <w:jc w:val="center"/>
              <w:rPr>
                <w:rFonts w:hint="eastAsia" w:ascii="Times New Roman" w:hAnsi="Times New Roman" w:eastAsia="仿宋_GB2312"/>
                <w:sz w:val="24"/>
                <w:szCs w:val="24"/>
              </w:rPr>
            </w:pPr>
            <w:r>
              <w:rPr>
                <w:rFonts w:hint="eastAsia" w:ascii="Times New Roman" w:hAnsi="Times New Roman" w:eastAsia="仿宋_GB2312"/>
                <w:sz w:val="24"/>
                <w:szCs w:val="24"/>
              </w:rPr>
              <w:t>公告原文内容</w:t>
            </w:r>
          </w:p>
        </w:tc>
        <w:tc>
          <w:tcPr>
            <w:tcW w:w="3311" w:type="dxa"/>
          </w:tcPr>
          <w:p w14:paraId="2B614612">
            <w:pPr>
              <w:spacing w:line="312" w:lineRule="auto"/>
              <w:jc w:val="center"/>
              <w:rPr>
                <w:rFonts w:hint="eastAsia" w:ascii="Times New Roman" w:hAnsi="Times New Roman" w:eastAsia="仿宋_GB2312"/>
                <w:sz w:val="24"/>
                <w:szCs w:val="24"/>
              </w:rPr>
            </w:pPr>
            <w:r>
              <w:rPr>
                <w:rFonts w:hint="eastAsia" w:ascii="Times New Roman" w:hAnsi="Times New Roman" w:eastAsia="仿宋_GB2312"/>
                <w:sz w:val="24"/>
                <w:szCs w:val="24"/>
              </w:rPr>
              <w:t>公告变更后内容</w:t>
            </w:r>
          </w:p>
        </w:tc>
      </w:tr>
      <w:tr w14:paraId="55C494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tcPr>
          <w:p w14:paraId="582FB191">
            <w:pPr>
              <w:spacing w:line="312" w:lineRule="auto"/>
              <w:ind w:firstLine="470" w:firstLineChars="196"/>
              <w:rPr>
                <w:rFonts w:hint="eastAsia" w:ascii="Times New Roman" w:hAnsi="Times New Roman" w:eastAsia="仿宋_GB2312"/>
                <w:sz w:val="24"/>
                <w:szCs w:val="24"/>
              </w:rPr>
            </w:pPr>
          </w:p>
        </w:tc>
        <w:tc>
          <w:tcPr>
            <w:tcW w:w="1701" w:type="dxa"/>
          </w:tcPr>
          <w:p w14:paraId="38BBDBF9">
            <w:pPr>
              <w:spacing w:line="312" w:lineRule="auto"/>
              <w:ind w:firstLine="470" w:firstLineChars="196"/>
              <w:rPr>
                <w:rFonts w:hint="eastAsia" w:ascii="Times New Roman" w:hAnsi="Times New Roman" w:eastAsia="仿宋_GB2312"/>
                <w:sz w:val="24"/>
                <w:szCs w:val="24"/>
              </w:rPr>
            </w:pPr>
          </w:p>
        </w:tc>
        <w:tc>
          <w:tcPr>
            <w:tcW w:w="2693" w:type="dxa"/>
          </w:tcPr>
          <w:p w14:paraId="19F2A033">
            <w:pPr>
              <w:spacing w:line="312" w:lineRule="auto"/>
              <w:ind w:firstLine="470" w:firstLineChars="196"/>
              <w:rPr>
                <w:rFonts w:hint="eastAsia" w:ascii="Times New Roman" w:hAnsi="Times New Roman" w:eastAsia="仿宋_GB2312"/>
                <w:sz w:val="24"/>
                <w:szCs w:val="24"/>
              </w:rPr>
            </w:pPr>
          </w:p>
        </w:tc>
        <w:tc>
          <w:tcPr>
            <w:tcW w:w="3311" w:type="dxa"/>
          </w:tcPr>
          <w:p w14:paraId="0BF8759C">
            <w:pPr>
              <w:spacing w:line="312" w:lineRule="auto"/>
              <w:ind w:firstLine="470" w:firstLineChars="196"/>
              <w:rPr>
                <w:rFonts w:hint="eastAsia" w:ascii="Times New Roman" w:hAnsi="Times New Roman" w:eastAsia="仿宋_GB2312"/>
                <w:sz w:val="24"/>
                <w:szCs w:val="24"/>
              </w:rPr>
            </w:pPr>
          </w:p>
        </w:tc>
      </w:tr>
      <w:tr w14:paraId="7A848B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tcPr>
          <w:p w14:paraId="71754628">
            <w:pPr>
              <w:spacing w:line="312" w:lineRule="auto"/>
              <w:ind w:firstLine="470" w:firstLineChars="196"/>
              <w:rPr>
                <w:rFonts w:hint="eastAsia" w:ascii="Times New Roman" w:hAnsi="Times New Roman" w:eastAsia="仿宋_GB2312"/>
                <w:sz w:val="24"/>
                <w:szCs w:val="24"/>
              </w:rPr>
            </w:pPr>
          </w:p>
        </w:tc>
        <w:tc>
          <w:tcPr>
            <w:tcW w:w="1701" w:type="dxa"/>
          </w:tcPr>
          <w:p w14:paraId="3B115522">
            <w:pPr>
              <w:spacing w:line="312" w:lineRule="auto"/>
              <w:ind w:firstLine="470" w:firstLineChars="196"/>
              <w:rPr>
                <w:rFonts w:hint="eastAsia" w:ascii="Times New Roman" w:hAnsi="Times New Roman" w:eastAsia="仿宋_GB2312"/>
                <w:sz w:val="24"/>
                <w:szCs w:val="24"/>
              </w:rPr>
            </w:pPr>
          </w:p>
        </w:tc>
        <w:tc>
          <w:tcPr>
            <w:tcW w:w="2693" w:type="dxa"/>
          </w:tcPr>
          <w:p w14:paraId="22FBC2B5">
            <w:pPr>
              <w:spacing w:line="312" w:lineRule="auto"/>
              <w:ind w:firstLine="470" w:firstLineChars="196"/>
              <w:rPr>
                <w:rFonts w:hint="eastAsia" w:ascii="Times New Roman" w:hAnsi="Times New Roman" w:eastAsia="仿宋_GB2312"/>
                <w:sz w:val="24"/>
                <w:szCs w:val="24"/>
              </w:rPr>
            </w:pPr>
          </w:p>
        </w:tc>
        <w:tc>
          <w:tcPr>
            <w:tcW w:w="3311" w:type="dxa"/>
          </w:tcPr>
          <w:p w14:paraId="2F696CED">
            <w:pPr>
              <w:spacing w:line="312" w:lineRule="auto"/>
              <w:ind w:firstLine="470" w:firstLineChars="196"/>
              <w:rPr>
                <w:rFonts w:hint="eastAsia" w:ascii="Times New Roman" w:hAnsi="Times New Roman" w:eastAsia="仿宋_GB2312"/>
                <w:sz w:val="24"/>
                <w:szCs w:val="24"/>
              </w:rPr>
            </w:pPr>
          </w:p>
        </w:tc>
      </w:tr>
      <w:tr w14:paraId="5ECC04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817" w:type="dxa"/>
          </w:tcPr>
          <w:p w14:paraId="49E4B6F3">
            <w:pPr>
              <w:spacing w:line="312" w:lineRule="auto"/>
              <w:ind w:firstLine="470" w:firstLineChars="196"/>
              <w:rPr>
                <w:rFonts w:hint="eastAsia" w:ascii="Times New Roman" w:hAnsi="Times New Roman" w:eastAsia="仿宋_GB2312"/>
                <w:sz w:val="24"/>
                <w:szCs w:val="24"/>
              </w:rPr>
            </w:pPr>
          </w:p>
        </w:tc>
        <w:tc>
          <w:tcPr>
            <w:tcW w:w="1701" w:type="dxa"/>
          </w:tcPr>
          <w:p w14:paraId="664B5B85">
            <w:pPr>
              <w:spacing w:line="312" w:lineRule="auto"/>
              <w:ind w:firstLine="470" w:firstLineChars="196"/>
              <w:rPr>
                <w:rFonts w:hint="eastAsia" w:ascii="Times New Roman" w:hAnsi="Times New Roman" w:eastAsia="仿宋_GB2312"/>
                <w:sz w:val="24"/>
                <w:szCs w:val="24"/>
              </w:rPr>
            </w:pPr>
          </w:p>
        </w:tc>
        <w:tc>
          <w:tcPr>
            <w:tcW w:w="2693" w:type="dxa"/>
          </w:tcPr>
          <w:p w14:paraId="7402F5F3">
            <w:pPr>
              <w:spacing w:line="312" w:lineRule="auto"/>
              <w:ind w:firstLine="470" w:firstLineChars="196"/>
              <w:rPr>
                <w:rFonts w:hint="eastAsia" w:ascii="Times New Roman" w:hAnsi="Times New Roman" w:eastAsia="仿宋_GB2312"/>
                <w:sz w:val="24"/>
                <w:szCs w:val="24"/>
              </w:rPr>
            </w:pPr>
          </w:p>
        </w:tc>
        <w:tc>
          <w:tcPr>
            <w:tcW w:w="3311" w:type="dxa"/>
          </w:tcPr>
          <w:p w14:paraId="30A2560D">
            <w:pPr>
              <w:spacing w:line="312" w:lineRule="auto"/>
              <w:ind w:firstLine="470" w:firstLineChars="196"/>
              <w:rPr>
                <w:rFonts w:hint="eastAsia" w:ascii="Times New Roman" w:hAnsi="Times New Roman" w:eastAsia="仿宋_GB2312"/>
                <w:sz w:val="24"/>
                <w:szCs w:val="24"/>
              </w:rPr>
            </w:pPr>
          </w:p>
        </w:tc>
      </w:tr>
    </w:tbl>
    <w:p w14:paraId="53D25297"/>
    <w:p w14:paraId="46B73CE7">
      <w:pPr>
        <w:spacing w:line="312" w:lineRule="auto"/>
        <w:ind w:right="840"/>
        <w:rPr>
          <w:rFonts w:hint="eastAsia" w:ascii="仿宋" w:hAnsi="仿宋" w:eastAsia="仿宋"/>
          <w:szCs w:val="21"/>
        </w:rPr>
      </w:pPr>
    </w:p>
    <w:p w14:paraId="7EA83FC8">
      <w:pPr>
        <w:spacing w:line="360" w:lineRule="auto"/>
        <w:outlineLvl w:val="2"/>
        <w:rPr>
          <w:rFonts w:hint="eastAsia" w:ascii="宋体" w:hAnsi="宋体"/>
          <w:b/>
          <w:sz w:val="24"/>
        </w:rPr>
      </w:pPr>
      <w:bookmarkStart w:id="1396" w:name="_Toc18321"/>
      <w:bookmarkStart w:id="1397" w:name="_Toc62990991"/>
      <w:bookmarkStart w:id="1398" w:name="_Toc65181449"/>
      <w:r>
        <w:rPr>
          <w:rFonts w:ascii="宋体" w:hAnsi="宋体"/>
          <w:b/>
          <w:sz w:val="24"/>
        </w:rPr>
        <w:br w:type="page"/>
      </w:r>
      <w:bookmarkStart w:id="1399" w:name="_Toc468929314"/>
      <w:bookmarkStart w:id="1400" w:name="_Toc70604254"/>
      <w:bookmarkStart w:id="1401" w:name="_Toc1807091310"/>
      <w:bookmarkStart w:id="1402" w:name="_Toc283545106"/>
      <w:bookmarkStart w:id="1403" w:name="_Toc203492309"/>
      <w:bookmarkStart w:id="1404" w:name="_Toc1338418808"/>
      <w:bookmarkStart w:id="1405" w:name="_Toc1029672198"/>
      <w:bookmarkStart w:id="1406" w:name="_Toc2118149957"/>
      <w:r>
        <w:rPr>
          <w:rFonts w:hint="eastAsia" w:ascii="宋体" w:hAnsi="宋体"/>
          <w:b/>
          <w:sz w:val="24"/>
        </w:rPr>
        <w:t>附件</w:t>
      </w:r>
      <w:r>
        <w:rPr>
          <w:rFonts w:hint="eastAsia" w:ascii="Times New Roman" w:hAnsi="Times New Roman"/>
          <w:b/>
          <w:sz w:val="24"/>
        </w:rPr>
        <w:t>1</w:t>
      </w:r>
      <w:r>
        <w:rPr>
          <w:rFonts w:hint="eastAsia" w:ascii="宋体" w:hAnsi="宋体"/>
          <w:b/>
          <w:sz w:val="24"/>
        </w:rPr>
        <w:t>-</w:t>
      </w:r>
      <w:r>
        <w:rPr>
          <w:rFonts w:hint="eastAsia" w:ascii="Times New Roman" w:hAnsi="Times New Roman"/>
          <w:b/>
          <w:sz w:val="24"/>
        </w:rPr>
        <w:t>11</w:t>
      </w:r>
      <w:r>
        <w:rPr>
          <w:rFonts w:hint="eastAsia" w:ascii="宋体" w:hAnsi="宋体"/>
          <w:b/>
          <w:sz w:val="24"/>
        </w:rPr>
        <w:t>：认购申请函</w:t>
      </w:r>
      <w:bookmarkEnd w:id="1399"/>
      <w:bookmarkEnd w:id="1400"/>
      <w:bookmarkEnd w:id="1401"/>
      <w:bookmarkEnd w:id="1402"/>
      <w:bookmarkEnd w:id="1403"/>
      <w:bookmarkEnd w:id="1404"/>
      <w:bookmarkEnd w:id="1405"/>
      <w:bookmarkEnd w:id="1406"/>
    </w:p>
    <w:p w14:paraId="17A3E201">
      <w:pPr>
        <w:jc w:val="center"/>
        <w:rPr>
          <w:rFonts w:hint="eastAsia" w:ascii="宋体" w:hAnsi="宋体"/>
          <w:b/>
          <w:sz w:val="24"/>
        </w:rPr>
      </w:pPr>
      <w:r>
        <w:rPr>
          <w:rFonts w:hint="eastAsia" w:ascii="宋体" w:hAnsi="宋体"/>
          <w:b/>
          <w:sz w:val="24"/>
        </w:rPr>
        <w:t>关于申请</w:t>
      </w:r>
      <w:r>
        <w:rPr>
          <w:rFonts w:hint="eastAsia" w:ascii="宋体" w:hAnsi="宋体"/>
          <w:b/>
          <w:sz w:val="24"/>
          <w:u w:val="single"/>
        </w:rPr>
        <w:t>（</w:t>
      </w:r>
      <w:r>
        <w:rPr>
          <w:rFonts w:hint="eastAsia" w:ascii="Times New Roman" w:hAnsi="Times New Roman"/>
          <w:b/>
          <w:sz w:val="24"/>
          <w:u w:val="single"/>
        </w:rPr>
        <w:t>REITs</w:t>
      </w:r>
      <w:r>
        <w:rPr>
          <w:rFonts w:hint="eastAsia" w:ascii="宋体" w:hAnsi="宋体"/>
          <w:b/>
          <w:sz w:val="24"/>
          <w:u w:val="single"/>
        </w:rPr>
        <w:t>全称）</w:t>
      </w:r>
      <w:bookmarkEnd w:id="1396"/>
      <w:bookmarkEnd w:id="1397"/>
      <w:bookmarkEnd w:id="1398"/>
      <w:r>
        <w:rPr>
          <w:rFonts w:hint="eastAsia" w:ascii="宋体" w:hAnsi="宋体"/>
          <w:b/>
          <w:sz w:val="24"/>
        </w:rPr>
        <w:t>认购的函</w:t>
      </w:r>
    </w:p>
    <w:p w14:paraId="05220E11">
      <w:pPr>
        <w:spacing w:line="312" w:lineRule="auto"/>
        <w:jc w:val="center"/>
        <w:rPr>
          <w:rFonts w:hint="eastAsia" w:ascii="Times New Roman" w:hAnsi="Times New Roman" w:eastAsia="仿宋_GB2312"/>
          <w:sz w:val="24"/>
          <w:szCs w:val="24"/>
        </w:rPr>
      </w:pPr>
      <w:r>
        <w:rPr>
          <w:rFonts w:hint="eastAsia" w:ascii="Times New Roman" w:hAnsi="Times New Roman" w:eastAsia="仿宋_GB2312"/>
          <w:sz w:val="24"/>
          <w:szCs w:val="24"/>
        </w:rPr>
        <w:t>（基金公司文号）</w:t>
      </w:r>
    </w:p>
    <w:p w14:paraId="06826384">
      <w:pPr>
        <w:spacing w:line="312" w:lineRule="auto"/>
        <w:rPr>
          <w:rFonts w:hint="eastAsia" w:ascii="Times New Roman" w:hAnsi="Times New Roman" w:eastAsia="仿宋_GB2312"/>
          <w:sz w:val="24"/>
          <w:szCs w:val="24"/>
        </w:rPr>
      </w:pPr>
      <w:r>
        <w:rPr>
          <w:rFonts w:hint="eastAsia" w:ascii="Times New Roman" w:hAnsi="Times New Roman" w:eastAsia="仿宋_GB2312"/>
          <w:sz w:val="24"/>
          <w:szCs w:val="24"/>
        </w:rPr>
        <w:t>上海证券交易所：</w:t>
      </w:r>
    </w:p>
    <w:p w14:paraId="5330816A">
      <w:pPr>
        <w:spacing w:line="312" w:lineRule="auto"/>
        <w:ind w:firstLine="470" w:firstLineChars="196"/>
        <w:rPr>
          <w:rFonts w:hint="eastAsia" w:ascii="Times New Roman" w:hAnsi="Times New Roman" w:eastAsia="仿宋_GB2312"/>
          <w:sz w:val="24"/>
          <w:szCs w:val="24"/>
        </w:rPr>
      </w:pPr>
      <w:r>
        <w:rPr>
          <w:rFonts w:hint="eastAsia" w:ascii="Times New Roman" w:hAnsi="Times New Roman" w:eastAsia="仿宋_GB2312"/>
          <w:sz w:val="24"/>
          <w:szCs w:val="24"/>
        </w:rPr>
        <w:t>**基金管理有限公司（以下简称我司）的</w:t>
      </w:r>
      <w:r>
        <w:rPr>
          <w:rFonts w:hint="eastAsia" w:ascii="Times New Roman" w:hAnsi="Times New Roman" w:eastAsia="仿宋_GB2312"/>
          <w:sz w:val="24"/>
          <w:szCs w:val="24"/>
          <w:u w:val="single"/>
        </w:rPr>
        <w:t>（</w:t>
      </w:r>
      <w:r>
        <w:rPr>
          <w:rFonts w:ascii="Times New Roman" w:hAnsi="Times New Roman" w:eastAsia="仿宋_GB2312"/>
          <w:sz w:val="24"/>
          <w:szCs w:val="24"/>
          <w:u w:val="single"/>
        </w:rPr>
        <w:t>REITs</w:t>
      </w:r>
      <w:r>
        <w:rPr>
          <w:rFonts w:hint="eastAsia" w:ascii="Times New Roman" w:hAnsi="Times New Roman" w:eastAsia="仿宋_GB2312"/>
          <w:sz w:val="24"/>
          <w:szCs w:val="24"/>
          <w:u w:val="single"/>
        </w:rPr>
        <w:t>全称）</w:t>
      </w:r>
      <w:r>
        <w:rPr>
          <w:rFonts w:hint="eastAsia" w:ascii="Times New Roman" w:hAnsi="Times New Roman" w:eastAsia="仿宋_GB2312"/>
          <w:sz w:val="24"/>
          <w:szCs w:val="24"/>
        </w:rPr>
        <w:t>（基金代码：***；基金简称：***；扩位简称：***；以下简称本基金）于**年**月**日完成询价，于**年**月**日确定本基金的认购价格。</w:t>
      </w:r>
    </w:p>
    <w:p w14:paraId="06E19DC5">
      <w:pPr>
        <w:spacing w:line="312" w:lineRule="auto"/>
        <w:ind w:firstLine="470" w:firstLineChars="196"/>
        <w:rPr>
          <w:rFonts w:hint="eastAsia" w:ascii="Times New Roman" w:hAnsi="Times New Roman" w:eastAsia="仿宋_GB2312"/>
          <w:sz w:val="24"/>
          <w:szCs w:val="24"/>
        </w:rPr>
      </w:pPr>
      <w:r>
        <w:rPr>
          <w:rFonts w:hint="eastAsia" w:ascii="Times New Roman" w:hAnsi="Times New Roman" w:eastAsia="仿宋_GB2312"/>
          <w:sz w:val="24"/>
          <w:szCs w:val="24"/>
        </w:rPr>
        <w:t>根据网下机构投资者询价结果，我司确定本基金的认购价格为</w:t>
      </w:r>
      <w:r>
        <w:rPr>
          <w:rFonts w:ascii="Times New Roman" w:hAnsi="Times New Roman" w:eastAsia="仿宋_GB2312"/>
          <w:sz w:val="24"/>
          <w:szCs w:val="24"/>
        </w:rPr>
        <w:t>XX</w:t>
      </w:r>
      <w:r>
        <w:rPr>
          <w:rFonts w:hint="eastAsia" w:ascii="Times New Roman" w:hAnsi="Times New Roman" w:eastAsia="仿宋_GB2312"/>
          <w:sz w:val="24"/>
          <w:szCs w:val="24"/>
        </w:rPr>
        <w:t>元（精确到小数点后三位）。按照发售计划，我司拟定本基金募集期为**年**月**日至**年**月**日，募集规模为***份。其中，面向场内投资者的认购日期为**年**月**日至**年**月**日，面向场外投资者的认购日期为**年**月**日至**年**月**日，面向参与询价的网下机构投资者的认购日期为**年**月**日至**年**月**日（此处表述请与发售公告保持一致）。</w:t>
      </w:r>
    </w:p>
    <w:p w14:paraId="186E5560">
      <w:pPr>
        <w:spacing w:line="312" w:lineRule="auto"/>
        <w:ind w:firstLine="470" w:firstLineChars="196"/>
        <w:rPr>
          <w:rFonts w:hint="eastAsia" w:ascii="Times New Roman" w:hAnsi="Times New Roman" w:eastAsia="仿宋_GB2312"/>
          <w:sz w:val="24"/>
          <w:szCs w:val="24"/>
        </w:rPr>
      </w:pPr>
      <w:r>
        <w:rPr>
          <w:rFonts w:hint="eastAsia" w:ascii="Times New Roman" w:hAnsi="Times New Roman" w:eastAsia="仿宋_GB2312"/>
          <w:sz w:val="24"/>
          <w:szCs w:val="24"/>
        </w:rPr>
        <w:t>现特向贵所申请办理本基金的场内及参与询价的网下机构投资者认购业务。</w:t>
      </w:r>
    </w:p>
    <w:p w14:paraId="5BCE104D">
      <w:pPr>
        <w:spacing w:line="312" w:lineRule="auto"/>
        <w:ind w:firstLine="470" w:firstLineChars="196"/>
        <w:rPr>
          <w:rFonts w:hint="eastAsia" w:ascii="Times New Roman" w:hAnsi="Times New Roman" w:eastAsia="仿宋_GB2312"/>
          <w:sz w:val="24"/>
          <w:szCs w:val="24"/>
        </w:rPr>
      </w:pPr>
      <w:r>
        <w:rPr>
          <w:rFonts w:hint="eastAsia" w:ascii="Times New Roman" w:hAnsi="Times New Roman" w:eastAsia="仿宋_GB2312"/>
          <w:sz w:val="24"/>
          <w:szCs w:val="24"/>
        </w:rPr>
        <w:t>特此致函。</w:t>
      </w:r>
    </w:p>
    <w:p w14:paraId="0B543E4E">
      <w:pPr>
        <w:spacing w:line="312" w:lineRule="auto"/>
        <w:ind w:firstLine="470" w:firstLineChars="196"/>
        <w:rPr>
          <w:rFonts w:hint="eastAsia" w:ascii="Times New Roman" w:hAnsi="Times New Roman" w:eastAsia="仿宋_GB2312"/>
          <w:sz w:val="24"/>
          <w:szCs w:val="24"/>
        </w:rPr>
      </w:pPr>
    </w:p>
    <w:p w14:paraId="39E6F221">
      <w:pPr>
        <w:spacing w:line="312" w:lineRule="auto"/>
        <w:jc w:val="right"/>
        <w:rPr>
          <w:rFonts w:hint="eastAsia" w:ascii="Times New Roman" w:hAnsi="Times New Roman" w:eastAsia="仿宋_GB2312"/>
          <w:sz w:val="24"/>
          <w:szCs w:val="24"/>
        </w:rPr>
      </w:pPr>
      <w:r>
        <w:rPr>
          <w:rFonts w:hint="eastAsia" w:ascii="Times New Roman" w:hAnsi="Times New Roman" w:eastAsia="仿宋_GB2312"/>
          <w:sz w:val="24"/>
          <w:szCs w:val="24"/>
        </w:rPr>
        <w:tab/>
      </w:r>
      <w:r>
        <w:rPr>
          <w:rFonts w:hint="eastAsia" w:ascii="Times New Roman" w:hAnsi="Times New Roman" w:eastAsia="仿宋_GB2312"/>
          <w:sz w:val="24"/>
          <w:szCs w:val="24"/>
        </w:rPr>
        <w:tab/>
      </w:r>
      <w:r>
        <w:rPr>
          <w:rFonts w:hint="eastAsia" w:ascii="Times New Roman" w:hAnsi="Times New Roman" w:eastAsia="仿宋_GB2312"/>
          <w:sz w:val="24"/>
          <w:szCs w:val="24"/>
        </w:rPr>
        <w:t>**基金管理有限公司（加盖公章）</w:t>
      </w:r>
    </w:p>
    <w:p w14:paraId="6BE3B3E0">
      <w:pPr>
        <w:spacing w:line="312" w:lineRule="auto"/>
        <w:jc w:val="right"/>
        <w:rPr>
          <w:rFonts w:hint="eastAsia" w:ascii="Times New Roman" w:hAnsi="Times New Roman" w:eastAsia="仿宋_GB2312"/>
          <w:sz w:val="24"/>
          <w:szCs w:val="24"/>
        </w:rPr>
      </w:pPr>
      <w:r>
        <w:rPr>
          <w:rFonts w:hint="eastAsia" w:ascii="Times New Roman" w:hAnsi="Times New Roman" w:eastAsia="仿宋_GB2312"/>
          <w:sz w:val="24"/>
          <w:szCs w:val="24"/>
        </w:rPr>
        <w:t>**年**月**日</w:t>
      </w:r>
    </w:p>
    <w:p w14:paraId="19789B0D">
      <w:pPr>
        <w:rPr>
          <w:szCs w:val="21"/>
        </w:rPr>
      </w:pPr>
    </w:p>
    <w:p w14:paraId="42E1132B">
      <w:pPr>
        <w:spacing w:line="360" w:lineRule="auto"/>
        <w:outlineLvl w:val="2"/>
        <w:rPr>
          <w:rFonts w:hint="eastAsia" w:ascii="宋体" w:hAnsi="宋体"/>
          <w:b/>
          <w:sz w:val="24"/>
        </w:rPr>
      </w:pPr>
      <w:bookmarkStart w:id="1407" w:name="_Toc65181451"/>
      <w:bookmarkStart w:id="1408" w:name="_Toc1819"/>
      <w:bookmarkStart w:id="1409" w:name="_Toc62833267"/>
      <w:bookmarkStart w:id="1410" w:name="_Toc62990993"/>
      <w:r>
        <w:rPr>
          <w:rFonts w:ascii="宋体" w:hAnsi="宋体"/>
          <w:b/>
          <w:sz w:val="24"/>
        </w:rPr>
        <w:br w:type="page"/>
      </w:r>
      <w:bookmarkStart w:id="1411" w:name="_Toc1642269828"/>
      <w:bookmarkStart w:id="1412" w:name="_Toc1928533435"/>
      <w:bookmarkStart w:id="1413" w:name="_Toc1740060936"/>
      <w:bookmarkStart w:id="1414" w:name="_Toc1062796795"/>
      <w:bookmarkStart w:id="1415" w:name="_Toc70604255"/>
      <w:bookmarkStart w:id="1416" w:name="_Toc876871088"/>
      <w:bookmarkStart w:id="1417" w:name="_Toc932953511"/>
      <w:bookmarkStart w:id="1418" w:name="_Toc1607893359"/>
      <w:r>
        <w:rPr>
          <w:rFonts w:hint="eastAsia" w:ascii="宋体" w:hAnsi="宋体"/>
          <w:b/>
          <w:sz w:val="24"/>
        </w:rPr>
        <w:t>附件</w:t>
      </w:r>
      <w:r>
        <w:rPr>
          <w:rFonts w:hint="eastAsia" w:ascii="Times New Roman" w:hAnsi="Times New Roman"/>
          <w:b/>
          <w:sz w:val="24"/>
        </w:rPr>
        <w:t>1</w:t>
      </w:r>
      <w:r>
        <w:rPr>
          <w:rFonts w:hint="eastAsia" w:ascii="宋体" w:hAnsi="宋体"/>
          <w:b/>
          <w:sz w:val="24"/>
        </w:rPr>
        <w:t>-</w:t>
      </w:r>
      <w:r>
        <w:rPr>
          <w:rFonts w:hint="eastAsia" w:ascii="Times New Roman" w:hAnsi="Times New Roman"/>
          <w:b/>
          <w:sz w:val="24"/>
        </w:rPr>
        <w:t>12</w:t>
      </w:r>
      <w:r>
        <w:rPr>
          <w:rFonts w:hint="eastAsia" w:ascii="宋体" w:hAnsi="宋体"/>
          <w:b/>
          <w:sz w:val="24"/>
        </w:rPr>
        <w:t>：认购日期变更申请函</w:t>
      </w:r>
      <w:bookmarkEnd w:id="1411"/>
      <w:bookmarkEnd w:id="1412"/>
      <w:bookmarkEnd w:id="1413"/>
      <w:bookmarkEnd w:id="1414"/>
      <w:bookmarkEnd w:id="1415"/>
      <w:bookmarkEnd w:id="1416"/>
      <w:bookmarkEnd w:id="1417"/>
      <w:bookmarkEnd w:id="1418"/>
    </w:p>
    <w:p w14:paraId="4FA94378">
      <w:pPr>
        <w:jc w:val="center"/>
        <w:rPr>
          <w:rFonts w:hint="eastAsia" w:ascii="宋体" w:hAnsi="宋体"/>
          <w:b/>
          <w:sz w:val="24"/>
        </w:rPr>
      </w:pPr>
      <w:r>
        <w:rPr>
          <w:rFonts w:hint="eastAsia" w:ascii="宋体" w:hAnsi="宋体"/>
          <w:b/>
          <w:sz w:val="24"/>
        </w:rPr>
        <w:t>关于申请变更</w:t>
      </w:r>
      <w:r>
        <w:rPr>
          <w:rFonts w:hint="eastAsia" w:ascii="宋体" w:hAnsi="宋体"/>
          <w:b/>
          <w:sz w:val="24"/>
          <w:u w:val="single"/>
        </w:rPr>
        <w:t>（</w:t>
      </w:r>
      <w:r>
        <w:rPr>
          <w:rFonts w:hint="eastAsia" w:ascii="Times New Roman" w:hAnsi="Times New Roman"/>
          <w:b/>
          <w:sz w:val="24"/>
          <w:u w:val="single"/>
        </w:rPr>
        <w:t>REITs</w:t>
      </w:r>
      <w:r>
        <w:rPr>
          <w:rFonts w:hint="eastAsia" w:ascii="宋体" w:hAnsi="宋体"/>
          <w:b/>
          <w:sz w:val="24"/>
          <w:u w:val="single"/>
        </w:rPr>
        <w:t>全称）</w:t>
      </w:r>
      <w:r>
        <w:rPr>
          <w:rFonts w:hint="eastAsia" w:ascii="宋体" w:hAnsi="宋体"/>
          <w:b/>
          <w:sz w:val="24"/>
        </w:rPr>
        <w:t>认购日期的函</w:t>
      </w:r>
      <w:bookmarkEnd w:id="1407"/>
      <w:bookmarkEnd w:id="1408"/>
      <w:bookmarkEnd w:id="1409"/>
      <w:bookmarkEnd w:id="1410"/>
    </w:p>
    <w:p w14:paraId="2B8E2D2F">
      <w:pPr>
        <w:spacing w:line="312" w:lineRule="auto"/>
        <w:jc w:val="center"/>
        <w:rPr>
          <w:rFonts w:hint="eastAsia" w:ascii="Times New Roman" w:hAnsi="Times New Roman" w:eastAsia="仿宋_GB2312"/>
          <w:sz w:val="24"/>
          <w:szCs w:val="24"/>
        </w:rPr>
      </w:pPr>
      <w:r>
        <w:rPr>
          <w:rFonts w:hint="eastAsia" w:ascii="Times New Roman" w:hAnsi="Times New Roman" w:eastAsia="仿宋_GB2312"/>
          <w:sz w:val="24"/>
          <w:szCs w:val="24"/>
        </w:rPr>
        <w:t>（基金公司文号）</w:t>
      </w:r>
    </w:p>
    <w:p w14:paraId="08682EB5">
      <w:pPr>
        <w:spacing w:line="312" w:lineRule="auto"/>
        <w:rPr>
          <w:rFonts w:hint="eastAsia" w:ascii="Times New Roman" w:hAnsi="Times New Roman" w:eastAsia="仿宋_GB2312"/>
          <w:sz w:val="24"/>
          <w:szCs w:val="24"/>
        </w:rPr>
      </w:pPr>
      <w:r>
        <w:rPr>
          <w:rFonts w:hint="eastAsia" w:ascii="Times New Roman" w:hAnsi="Times New Roman" w:eastAsia="仿宋_GB2312"/>
          <w:sz w:val="24"/>
          <w:szCs w:val="24"/>
        </w:rPr>
        <w:t>上海证券交易所：</w:t>
      </w:r>
    </w:p>
    <w:p w14:paraId="1FD485EF">
      <w:pPr>
        <w:spacing w:line="312" w:lineRule="auto"/>
        <w:ind w:firstLine="470" w:firstLineChars="196"/>
        <w:rPr>
          <w:rFonts w:hint="eastAsia" w:ascii="Times New Roman" w:hAnsi="Times New Roman" w:eastAsia="仿宋_GB2312"/>
          <w:sz w:val="24"/>
          <w:szCs w:val="24"/>
        </w:rPr>
      </w:pPr>
      <w:r>
        <w:rPr>
          <w:rFonts w:hint="eastAsia" w:ascii="Times New Roman" w:hAnsi="Times New Roman" w:eastAsia="仿宋_GB2312"/>
          <w:sz w:val="24"/>
          <w:szCs w:val="24"/>
        </w:rPr>
        <w:t>**基金管理有限公司（以下简称我司）的</w:t>
      </w:r>
      <w:r>
        <w:rPr>
          <w:rFonts w:hint="eastAsia" w:ascii="Times New Roman" w:hAnsi="Times New Roman" w:eastAsia="仿宋_GB2312"/>
          <w:sz w:val="24"/>
          <w:szCs w:val="24"/>
          <w:u w:val="single"/>
        </w:rPr>
        <w:t>（</w:t>
      </w:r>
      <w:r>
        <w:rPr>
          <w:rFonts w:ascii="Times New Roman" w:hAnsi="Times New Roman" w:eastAsia="仿宋_GB2312"/>
          <w:sz w:val="24"/>
          <w:szCs w:val="24"/>
          <w:u w:val="single"/>
        </w:rPr>
        <w:t>REITs</w:t>
      </w:r>
      <w:r>
        <w:rPr>
          <w:rFonts w:hint="eastAsia" w:ascii="Times New Roman" w:hAnsi="Times New Roman" w:eastAsia="仿宋_GB2312"/>
          <w:sz w:val="24"/>
          <w:szCs w:val="24"/>
          <w:u w:val="single"/>
        </w:rPr>
        <w:t>全称）</w:t>
      </w:r>
      <w:r>
        <w:rPr>
          <w:rFonts w:hint="eastAsia" w:ascii="Times New Roman" w:hAnsi="Times New Roman" w:eastAsia="仿宋_GB2312"/>
          <w:sz w:val="24"/>
          <w:szCs w:val="24"/>
        </w:rPr>
        <w:t>（基金代码：***；基金简称：***；扩位简称：***；以下简称本基金）已于**年**月**日进入募集期。</w:t>
      </w:r>
    </w:p>
    <w:p w14:paraId="3722F3CC">
      <w:pPr>
        <w:spacing w:line="312" w:lineRule="auto"/>
        <w:ind w:firstLine="470" w:firstLineChars="196"/>
        <w:rPr>
          <w:rFonts w:hint="eastAsia" w:ascii="Times New Roman" w:hAnsi="Times New Roman" w:eastAsia="仿宋_GB2312"/>
          <w:sz w:val="24"/>
          <w:szCs w:val="24"/>
        </w:rPr>
      </w:pPr>
      <w:r>
        <w:rPr>
          <w:rFonts w:hint="eastAsia" w:ascii="Times New Roman" w:hAnsi="Times New Roman" w:eastAsia="仿宋_GB2312"/>
          <w:sz w:val="24"/>
          <w:szCs w:val="24"/>
        </w:rPr>
        <w:t>本基金原定募集期为**年**月**日至**年**月**日。现因********，拟变更本基金的募集日期，具体变更如下：（勾选变更项，并填写变更前后的信息，请与认购变更公告保持一致）</w:t>
      </w:r>
    </w:p>
    <w:p w14:paraId="52EFA802">
      <w:pPr>
        <w:spacing w:line="312" w:lineRule="auto"/>
        <w:ind w:firstLine="470" w:firstLineChars="196"/>
        <w:rPr>
          <w:rFonts w:hint="eastAsia" w:ascii="Times New Roman" w:hAnsi="Times New Roman" w:eastAsia="仿宋_GB2312"/>
          <w:sz w:val="24"/>
          <w:szCs w:val="24"/>
        </w:rPr>
      </w:pPr>
      <w:r>
        <w:rPr>
          <w:rFonts w:hint="eastAsia" w:ascii="Times New Roman" w:hAnsi="Times New Roman" w:eastAsia="仿宋_GB2312"/>
          <w:sz w:val="24"/>
          <w:szCs w:val="24"/>
        </w:rPr>
        <w:t>□募集期，变更为：**年**月**日至**年**月**日；</w:t>
      </w:r>
    </w:p>
    <w:p w14:paraId="4F0D38D5">
      <w:pPr>
        <w:spacing w:line="312" w:lineRule="auto"/>
        <w:ind w:firstLine="470" w:firstLineChars="196"/>
        <w:rPr>
          <w:rFonts w:hint="eastAsia" w:ascii="Times New Roman" w:hAnsi="Times New Roman" w:eastAsia="仿宋_GB2312"/>
          <w:sz w:val="24"/>
          <w:szCs w:val="24"/>
        </w:rPr>
      </w:pPr>
      <w:r>
        <w:rPr>
          <w:rFonts w:hint="eastAsia" w:ascii="Times New Roman" w:hAnsi="Times New Roman" w:eastAsia="仿宋_GB2312"/>
          <w:sz w:val="24"/>
          <w:szCs w:val="24"/>
        </w:rPr>
        <w:t>□场内认购期，原日期：**年**月**日至**年**月**日，变更为：**年**月**日至**年**月**日；</w:t>
      </w:r>
    </w:p>
    <w:p w14:paraId="494A10A1">
      <w:pPr>
        <w:spacing w:line="312" w:lineRule="auto"/>
        <w:ind w:firstLine="470" w:firstLineChars="196"/>
        <w:rPr>
          <w:rFonts w:hint="eastAsia" w:ascii="Times New Roman" w:hAnsi="Times New Roman" w:eastAsia="仿宋_GB2312"/>
          <w:sz w:val="24"/>
          <w:szCs w:val="24"/>
        </w:rPr>
      </w:pPr>
      <w:r>
        <w:rPr>
          <w:rFonts w:hint="eastAsia" w:ascii="Times New Roman" w:hAnsi="Times New Roman" w:eastAsia="仿宋_GB2312"/>
          <w:sz w:val="24"/>
          <w:szCs w:val="24"/>
        </w:rPr>
        <w:t>□场外认购期，原日期：**年**月**日至**年**月**日，变更为：**年**月**日至**年**月**日；</w:t>
      </w:r>
    </w:p>
    <w:p w14:paraId="396CD4BE">
      <w:pPr>
        <w:spacing w:line="312" w:lineRule="auto"/>
        <w:ind w:firstLine="470" w:firstLineChars="196"/>
        <w:rPr>
          <w:rFonts w:hint="eastAsia" w:ascii="Times New Roman" w:hAnsi="Times New Roman" w:eastAsia="仿宋_GB2312"/>
          <w:sz w:val="24"/>
          <w:szCs w:val="24"/>
        </w:rPr>
      </w:pPr>
      <w:r>
        <w:rPr>
          <w:rFonts w:hint="eastAsia" w:ascii="Times New Roman" w:hAnsi="Times New Roman" w:eastAsia="仿宋_GB2312"/>
          <w:sz w:val="24"/>
          <w:szCs w:val="24"/>
        </w:rPr>
        <w:t>□参与询价的网下机构投资者认购期，原日期：**年**月**日至**年**月**日，变更为：**年**月**日至**年**月**日；</w:t>
      </w:r>
    </w:p>
    <w:p w14:paraId="1F2A5837">
      <w:pPr>
        <w:spacing w:line="312" w:lineRule="auto"/>
        <w:ind w:firstLine="480" w:firstLineChars="200"/>
        <w:rPr>
          <w:rFonts w:hint="eastAsia" w:ascii="Times New Roman" w:hAnsi="Times New Roman" w:eastAsia="仿宋_GB2312"/>
          <w:sz w:val="24"/>
          <w:szCs w:val="24"/>
        </w:rPr>
      </w:pPr>
      <w:r>
        <w:rPr>
          <w:rFonts w:hint="eastAsia" w:ascii="Times New Roman" w:hAnsi="Times New Roman" w:eastAsia="仿宋_GB2312"/>
          <w:sz w:val="24"/>
          <w:szCs w:val="24"/>
        </w:rPr>
        <w:t>现特请贵所核准本基金变更后的募集日期，并为本基金的认购变更提供相应协调和准备工作。</w:t>
      </w:r>
    </w:p>
    <w:p w14:paraId="3686EBA1">
      <w:pPr>
        <w:spacing w:line="312" w:lineRule="auto"/>
        <w:ind w:firstLine="470" w:firstLineChars="196"/>
        <w:rPr>
          <w:rFonts w:hint="eastAsia" w:ascii="Times New Roman" w:hAnsi="Times New Roman" w:eastAsia="仿宋_GB2312"/>
          <w:sz w:val="24"/>
          <w:szCs w:val="24"/>
        </w:rPr>
      </w:pPr>
      <w:r>
        <w:rPr>
          <w:rFonts w:hint="eastAsia" w:ascii="Times New Roman" w:hAnsi="Times New Roman" w:eastAsia="仿宋_GB2312"/>
          <w:sz w:val="24"/>
          <w:szCs w:val="24"/>
        </w:rPr>
        <w:t>特此致函。</w:t>
      </w:r>
    </w:p>
    <w:p w14:paraId="710A5B6C">
      <w:pPr>
        <w:spacing w:line="312" w:lineRule="auto"/>
        <w:jc w:val="right"/>
        <w:rPr>
          <w:rFonts w:hint="eastAsia" w:ascii="Times New Roman" w:hAnsi="Times New Roman" w:eastAsia="仿宋_GB2312"/>
          <w:sz w:val="24"/>
          <w:szCs w:val="24"/>
        </w:rPr>
      </w:pPr>
      <w:r>
        <w:rPr>
          <w:rFonts w:hint="eastAsia" w:ascii="Times New Roman" w:hAnsi="Times New Roman" w:eastAsia="仿宋_GB2312"/>
          <w:sz w:val="24"/>
          <w:szCs w:val="24"/>
        </w:rPr>
        <w:tab/>
      </w:r>
      <w:r>
        <w:rPr>
          <w:rFonts w:hint="eastAsia" w:ascii="Times New Roman" w:hAnsi="Times New Roman" w:eastAsia="仿宋_GB2312"/>
          <w:sz w:val="24"/>
          <w:szCs w:val="24"/>
        </w:rPr>
        <w:tab/>
      </w:r>
      <w:r>
        <w:rPr>
          <w:rFonts w:hint="eastAsia" w:ascii="Times New Roman" w:hAnsi="Times New Roman" w:eastAsia="仿宋_GB2312"/>
          <w:sz w:val="24"/>
          <w:szCs w:val="24"/>
        </w:rPr>
        <w:tab/>
      </w:r>
      <w:r>
        <w:rPr>
          <w:rFonts w:hint="eastAsia" w:ascii="Times New Roman" w:hAnsi="Times New Roman" w:eastAsia="仿宋_GB2312"/>
          <w:sz w:val="24"/>
          <w:szCs w:val="24"/>
        </w:rPr>
        <w:tab/>
      </w:r>
      <w:r>
        <w:rPr>
          <w:rFonts w:hint="eastAsia" w:ascii="Times New Roman" w:hAnsi="Times New Roman" w:eastAsia="仿宋_GB2312"/>
          <w:sz w:val="24"/>
          <w:szCs w:val="24"/>
        </w:rPr>
        <w:tab/>
      </w:r>
      <w:r>
        <w:rPr>
          <w:rFonts w:hint="eastAsia" w:ascii="Times New Roman" w:hAnsi="Times New Roman" w:eastAsia="仿宋_GB2312"/>
          <w:sz w:val="24"/>
          <w:szCs w:val="24"/>
        </w:rPr>
        <w:tab/>
      </w:r>
      <w:r>
        <w:rPr>
          <w:rFonts w:hint="eastAsia" w:ascii="Times New Roman" w:hAnsi="Times New Roman" w:eastAsia="仿宋_GB2312"/>
          <w:sz w:val="24"/>
          <w:szCs w:val="24"/>
        </w:rPr>
        <w:tab/>
      </w:r>
      <w:r>
        <w:rPr>
          <w:rFonts w:hint="eastAsia" w:ascii="Times New Roman" w:hAnsi="Times New Roman" w:eastAsia="仿宋_GB2312"/>
          <w:sz w:val="24"/>
          <w:szCs w:val="24"/>
        </w:rPr>
        <w:tab/>
      </w:r>
      <w:r>
        <w:rPr>
          <w:rFonts w:hint="eastAsia" w:ascii="Times New Roman" w:hAnsi="Times New Roman" w:eastAsia="仿宋_GB2312"/>
          <w:sz w:val="24"/>
          <w:szCs w:val="24"/>
        </w:rPr>
        <w:tab/>
      </w:r>
      <w:r>
        <w:rPr>
          <w:rFonts w:hint="eastAsia" w:ascii="Times New Roman" w:hAnsi="Times New Roman" w:eastAsia="仿宋_GB2312"/>
          <w:sz w:val="24"/>
          <w:szCs w:val="24"/>
        </w:rPr>
        <w:tab/>
      </w:r>
      <w:r>
        <w:rPr>
          <w:rFonts w:hint="eastAsia" w:ascii="Times New Roman" w:hAnsi="Times New Roman" w:eastAsia="仿宋_GB2312"/>
          <w:sz w:val="24"/>
          <w:szCs w:val="24"/>
        </w:rPr>
        <w:t xml:space="preserve">   **基金管理有限公司（加盖公章）</w:t>
      </w:r>
    </w:p>
    <w:p w14:paraId="35623991">
      <w:pPr>
        <w:spacing w:line="312" w:lineRule="auto"/>
        <w:jc w:val="right"/>
        <w:rPr>
          <w:rFonts w:hint="eastAsia" w:ascii="Times New Roman" w:hAnsi="Times New Roman" w:eastAsia="仿宋_GB2312"/>
          <w:sz w:val="24"/>
          <w:szCs w:val="24"/>
        </w:rPr>
      </w:pPr>
      <w:r>
        <w:rPr>
          <w:rFonts w:hint="eastAsia" w:ascii="Times New Roman" w:hAnsi="Times New Roman" w:eastAsia="仿宋_GB2312"/>
          <w:sz w:val="24"/>
          <w:szCs w:val="24"/>
        </w:rPr>
        <w:t>**年**月**日</w:t>
      </w:r>
    </w:p>
    <w:p w14:paraId="144748EB">
      <w:pPr>
        <w:spacing w:line="360" w:lineRule="auto"/>
        <w:outlineLvl w:val="2"/>
        <w:rPr>
          <w:rFonts w:hint="eastAsia" w:ascii="宋体" w:hAnsi="宋体"/>
          <w:b/>
          <w:sz w:val="24"/>
        </w:rPr>
      </w:pPr>
      <w:bookmarkStart w:id="1419" w:name="_Toc62990997"/>
      <w:bookmarkStart w:id="1420" w:name="_Toc65181454"/>
      <w:bookmarkStart w:id="1421" w:name="_Toc3394"/>
      <w:r>
        <w:rPr>
          <w:rFonts w:ascii="宋体" w:hAnsi="宋体"/>
          <w:b/>
          <w:sz w:val="24"/>
        </w:rPr>
        <w:br w:type="page"/>
      </w:r>
      <w:bookmarkStart w:id="1422" w:name="_Toc417986201"/>
      <w:bookmarkStart w:id="1423" w:name="_Toc1914246056"/>
      <w:bookmarkStart w:id="1424" w:name="_Toc116217773"/>
      <w:bookmarkStart w:id="1425" w:name="_Toc70604256"/>
      <w:bookmarkStart w:id="1426" w:name="_Toc1758952834"/>
      <w:bookmarkStart w:id="1427" w:name="_Toc1469451029"/>
      <w:bookmarkStart w:id="1428" w:name="_Toc588456120"/>
      <w:bookmarkStart w:id="1429" w:name="_Toc1910228281"/>
      <w:r>
        <w:rPr>
          <w:rFonts w:hint="eastAsia" w:ascii="宋体" w:hAnsi="宋体"/>
          <w:b/>
          <w:sz w:val="24"/>
        </w:rPr>
        <w:t>附件</w:t>
      </w:r>
      <w:r>
        <w:rPr>
          <w:rFonts w:hint="eastAsia" w:ascii="Times New Roman" w:hAnsi="Times New Roman"/>
          <w:b/>
          <w:sz w:val="24"/>
        </w:rPr>
        <w:t>1</w:t>
      </w:r>
      <w:r>
        <w:rPr>
          <w:rFonts w:hint="eastAsia" w:ascii="宋体" w:hAnsi="宋体"/>
          <w:b/>
          <w:sz w:val="24"/>
        </w:rPr>
        <w:t>-</w:t>
      </w:r>
      <w:r>
        <w:rPr>
          <w:rFonts w:hint="eastAsia" w:ascii="Times New Roman" w:hAnsi="Times New Roman"/>
          <w:b/>
          <w:sz w:val="24"/>
        </w:rPr>
        <w:t>13</w:t>
      </w:r>
      <w:r>
        <w:rPr>
          <w:rFonts w:hint="eastAsia" w:ascii="宋体" w:hAnsi="宋体"/>
          <w:b/>
          <w:sz w:val="24"/>
        </w:rPr>
        <w:t>：中止发售申请函</w:t>
      </w:r>
      <w:bookmarkEnd w:id="1422"/>
      <w:bookmarkEnd w:id="1423"/>
      <w:bookmarkEnd w:id="1424"/>
      <w:bookmarkEnd w:id="1425"/>
      <w:bookmarkEnd w:id="1426"/>
      <w:bookmarkEnd w:id="1427"/>
      <w:bookmarkEnd w:id="1428"/>
      <w:bookmarkEnd w:id="1429"/>
    </w:p>
    <w:p w14:paraId="0DC51FAA">
      <w:pPr>
        <w:jc w:val="center"/>
        <w:rPr>
          <w:rFonts w:hint="eastAsia" w:ascii="宋体" w:hAnsi="宋体"/>
          <w:b/>
          <w:sz w:val="24"/>
        </w:rPr>
      </w:pPr>
      <w:r>
        <w:rPr>
          <w:rFonts w:hint="eastAsia" w:ascii="宋体" w:hAnsi="宋体"/>
          <w:b/>
          <w:sz w:val="24"/>
        </w:rPr>
        <w:t>关于申请</w:t>
      </w:r>
      <w:r>
        <w:rPr>
          <w:rFonts w:hint="eastAsia" w:ascii="宋体" w:hAnsi="宋体"/>
          <w:b/>
          <w:sz w:val="24"/>
          <w:u w:val="single"/>
        </w:rPr>
        <w:t>（</w:t>
      </w:r>
      <w:r>
        <w:rPr>
          <w:rFonts w:hint="eastAsia" w:ascii="Times New Roman" w:hAnsi="Times New Roman"/>
          <w:b/>
          <w:sz w:val="24"/>
          <w:u w:val="single"/>
        </w:rPr>
        <w:t>REITs</w:t>
      </w:r>
      <w:r>
        <w:rPr>
          <w:rFonts w:hint="eastAsia" w:ascii="宋体" w:hAnsi="宋体"/>
          <w:b/>
          <w:sz w:val="24"/>
          <w:u w:val="single"/>
        </w:rPr>
        <w:t>全称）</w:t>
      </w:r>
      <w:r>
        <w:rPr>
          <w:rFonts w:hint="eastAsia" w:ascii="宋体" w:hAnsi="宋体"/>
          <w:b/>
          <w:sz w:val="24"/>
        </w:rPr>
        <w:t>中止发售的函</w:t>
      </w:r>
      <w:bookmarkEnd w:id="1419"/>
      <w:bookmarkEnd w:id="1420"/>
      <w:bookmarkEnd w:id="1421"/>
    </w:p>
    <w:p w14:paraId="5E5C6A63">
      <w:pPr>
        <w:spacing w:line="312" w:lineRule="auto"/>
        <w:jc w:val="center"/>
        <w:rPr>
          <w:rFonts w:hint="eastAsia" w:ascii="Times New Roman" w:hAnsi="Times New Roman" w:eastAsia="仿宋_GB2312"/>
          <w:sz w:val="24"/>
          <w:szCs w:val="24"/>
        </w:rPr>
      </w:pPr>
      <w:r>
        <w:rPr>
          <w:rFonts w:hint="eastAsia" w:ascii="Times New Roman" w:hAnsi="Times New Roman" w:eastAsia="仿宋_GB2312"/>
          <w:sz w:val="24"/>
          <w:szCs w:val="24"/>
        </w:rPr>
        <w:t>（基金公司文号）</w:t>
      </w:r>
    </w:p>
    <w:p w14:paraId="1A6A498F">
      <w:pPr>
        <w:spacing w:line="312" w:lineRule="auto"/>
        <w:rPr>
          <w:rFonts w:hint="eastAsia" w:ascii="Times New Roman" w:hAnsi="Times New Roman" w:eastAsia="仿宋_GB2312"/>
          <w:sz w:val="24"/>
          <w:szCs w:val="24"/>
        </w:rPr>
      </w:pPr>
      <w:r>
        <w:rPr>
          <w:rFonts w:hint="eastAsia" w:ascii="Times New Roman" w:hAnsi="Times New Roman" w:eastAsia="仿宋_GB2312"/>
          <w:sz w:val="24"/>
          <w:szCs w:val="24"/>
        </w:rPr>
        <w:t>上海证券交易所：</w:t>
      </w:r>
    </w:p>
    <w:p w14:paraId="7A94B482">
      <w:pPr>
        <w:spacing w:line="312" w:lineRule="auto"/>
        <w:ind w:firstLine="480" w:firstLineChars="200"/>
        <w:rPr>
          <w:rFonts w:hint="eastAsia" w:ascii="Times New Roman" w:hAnsi="Times New Roman" w:eastAsia="仿宋_GB2312"/>
          <w:sz w:val="24"/>
          <w:szCs w:val="24"/>
        </w:rPr>
      </w:pPr>
      <w:r>
        <w:rPr>
          <w:rFonts w:hint="eastAsia" w:ascii="Times New Roman" w:hAnsi="Times New Roman" w:eastAsia="仿宋_GB2312"/>
          <w:sz w:val="24"/>
          <w:szCs w:val="24"/>
        </w:rPr>
        <w:t>**年**月**日，**基金管理有限公司（以下简称我司）管理的</w:t>
      </w:r>
      <w:r>
        <w:rPr>
          <w:rFonts w:hint="eastAsia" w:ascii="Times New Roman" w:hAnsi="Times New Roman" w:eastAsia="仿宋_GB2312"/>
          <w:sz w:val="24"/>
          <w:szCs w:val="24"/>
          <w:u w:val="single"/>
        </w:rPr>
        <w:t>（</w:t>
      </w:r>
      <w:r>
        <w:rPr>
          <w:rFonts w:ascii="Times New Roman" w:hAnsi="Times New Roman" w:eastAsia="仿宋_GB2312"/>
          <w:sz w:val="24"/>
          <w:szCs w:val="24"/>
          <w:u w:val="single"/>
        </w:rPr>
        <w:t>REITs</w:t>
      </w:r>
      <w:r>
        <w:rPr>
          <w:rFonts w:hint="eastAsia" w:ascii="Times New Roman" w:hAnsi="Times New Roman" w:eastAsia="仿宋_GB2312"/>
          <w:sz w:val="24"/>
          <w:szCs w:val="24"/>
          <w:u w:val="single"/>
        </w:rPr>
        <w:t>全称）</w:t>
      </w:r>
      <w:r>
        <w:rPr>
          <w:rFonts w:hint="eastAsia" w:ascii="Times New Roman" w:hAnsi="Times New Roman" w:eastAsia="仿宋_GB2312"/>
          <w:sz w:val="24"/>
          <w:szCs w:val="24"/>
        </w:rPr>
        <w:t>（基金简称：***，基金代码：***；以下简称本基金）由于*****原因，导致****，触发了**规则规定/《***基金基金合同》约定的中止发售情形。为保障投资者权益，经与本基金财务顾问、托管人等相关管理机构协商一致，特向贵所提出本基金中止发售的申请。</w:t>
      </w:r>
    </w:p>
    <w:p w14:paraId="35DDDCF5">
      <w:pPr>
        <w:spacing w:line="312" w:lineRule="auto"/>
        <w:ind w:firstLine="480" w:firstLineChars="200"/>
        <w:rPr>
          <w:rFonts w:hint="eastAsia" w:ascii="Times New Roman" w:hAnsi="Times New Roman" w:eastAsia="仿宋_GB2312"/>
          <w:sz w:val="24"/>
          <w:szCs w:val="24"/>
        </w:rPr>
      </w:pPr>
      <w:r>
        <w:rPr>
          <w:rFonts w:hint="eastAsia" w:ascii="Times New Roman" w:hAnsi="Times New Roman" w:eastAsia="仿宋_GB2312"/>
          <w:sz w:val="24"/>
          <w:szCs w:val="24"/>
        </w:rPr>
        <w:t>我司已将相关中止发售事项报告中国证监会，待***后，如经中国证监会同意，我司将重新提出发售的申请。</w:t>
      </w:r>
    </w:p>
    <w:p w14:paraId="1B72750E">
      <w:pPr>
        <w:spacing w:line="312" w:lineRule="auto"/>
        <w:ind w:firstLine="480" w:firstLineChars="200"/>
        <w:rPr>
          <w:rFonts w:hint="eastAsia" w:ascii="Times New Roman" w:hAnsi="Times New Roman" w:eastAsia="仿宋_GB2312"/>
          <w:sz w:val="24"/>
          <w:szCs w:val="24"/>
        </w:rPr>
      </w:pPr>
      <w:r>
        <w:rPr>
          <w:rFonts w:hint="eastAsia" w:ascii="Times New Roman" w:hAnsi="Times New Roman" w:eastAsia="仿宋_GB2312"/>
          <w:sz w:val="24"/>
          <w:szCs w:val="24"/>
        </w:rPr>
        <w:t>特此致函。</w:t>
      </w:r>
    </w:p>
    <w:p w14:paraId="11014998">
      <w:pPr>
        <w:spacing w:line="312" w:lineRule="auto"/>
        <w:jc w:val="right"/>
        <w:rPr>
          <w:rFonts w:hint="eastAsia" w:ascii="Times New Roman" w:hAnsi="Times New Roman" w:eastAsia="仿宋_GB2312"/>
          <w:sz w:val="24"/>
          <w:szCs w:val="24"/>
        </w:rPr>
      </w:pPr>
      <w:r>
        <w:rPr>
          <w:rFonts w:hint="eastAsia" w:ascii="Times New Roman" w:hAnsi="Times New Roman" w:eastAsia="仿宋_GB2312"/>
          <w:sz w:val="24"/>
          <w:szCs w:val="24"/>
        </w:rPr>
        <w:t>**基金管理有限公司（加盖公章）</w:t>
      </w:r>
    </w:p>
    <w:p w14:paraId="797105D6">
      <w:pPr>
        <w:spacing w:line="312" w:lineRule="auto"/>
        <w:jc w:val="right"/>
        <w:rPr>
          <w:rFonts w:hint="eastAsia" w:ascii="Times New Roman" w:hAnsi="Times New Roman" w:eastAsia="仿宋_GB2312"/>
          <w:sz w:val="24"/>
          <w:szCs w:val="24"/>
        </w:rPr>
      </w:pPr>
      <w:r>
        <w:rPr>
          <w:rFonts w:hint="eastAsia" w:ascii="Times New Roman" w:hAnsi="Times New Roman" w:eastAsia="仿宋_GB2312"/>
          <w:sz w:val="24"/>
          <w:szCs w:val="24"/>
        </w:rPr>
        <w:t>**年**月**日</w:t>
      </w:r>
    </w:p>
    <w:p w14:paraId="7FF9D6BA">
      <w:pPr>
        <w:widowControl/>
        <w:jc w:val="left"/>
        <w:rPr>
          <w:rFonts w:ascii="仿宋_GB2312" w:eastAsia="仿宋_GB2312"/>
          <w:b/>
          <w:bCs/>
          <w:sz w:val="24"/>
          <w:szCs w:val="24"/>
        </w:rPr>
      </w:pPr>
    </w:p>
    <w:p w14:paraId="2EAFA4AB">
      <w:pPr>
        <w:spacing w:line="360" w:lineRule="auto"/>
        <w:outlineLvl w:val="2"/>
        <w:rPr>
          <w:rFonts w:hint="eastAsia" w:ascii="宋体" w:hAnsi="宋体"/>
          <w:b/>
          <w:sz w:val="24"/>
        </w:rPr>
      </w:pPr>
      <w:bookmarkStart w:id="1430" w:name="_Toc62737523"/>
      <w:bookmarkStart w:id="1431" w:name="_Toc65181455"/>
      <w:bookmarkStart w:id="1432" w:name="_Toc62990998"/>
      <w:bookmarkStart w:id="1433" w:name="_Toc19150"/>
      <w:r>
        <w:rPr>
          <w:rFonts w:ascii="宋体" w:hAnsi="宋体"/>
          <w:b/>
          <w:sz w:val="24"/>
        </w:rPr>
        <w:br w:type="page"/>
      </w:r>
      <w:bookmarkStart w:id="1434" w:name="_Toc980791974"/>
      <w:bookmarkStart w:id="1435" w:name="_Toc70604257"/>
      <w:bookmarkStart w:id="1436" w:name="_Toc885443984"/>
      <w:bookmarkStart w:id="1437" w:name="_Toc2066652717"/>
      <w:bookmarkStart w:id="1438" w:name="_Toc133699909"/>
      <w:bookmarkStart w:id="1439" w:name="_Toc689669518"/>
      <w:bookmarkStart w:id="1440" w:name="_Toc1795650491"/>
      <w:bookmarkStart w:id="1441" w:name="_Toc1452848614"/>
      <w:r>
        <w:rPr>
          <w:rFonts w:hint="eastAsia" w:ascii="宋体" w:hAnsi="宋体"/>
          <w:b/>
          <w:sz w:val="24"/>
        </w:rPr>
        <w:t>附件</w:t>
      </w:r>
      <w:r>
        <w:rPr>
          <w:rFonts w:hint="eastAsia" w:ascii="Times New Roman" w:hAnsi="Times New Roman"/>
          <w:b/>
          <w:sz w:val="24"/>
        </w:rPr>
        <w:t>1</w:t>
      </w:r>
      <w:r>
        <w:rPr>
          <w:rFonts w:hint="eastAsia" w:ascii="宋体" w:hAnsi="宋体"/>
          <w:b/>
          <w:sz w:val="24"/>
        </w:rPr>
        <w:t>-</w:t>
      </w:r>
      <w:r>
        <w:rPr>
          <w:rFonts w:hint="eastAsia" w:ascii="Times New Roman" w:hAnsi="Times New Roman"/>
          <w:b/>
          <w:sz w:val="24"/>
        </w:rPr>
        <w:t>14</w:t>
      </w:r>
      <w:r>
        <w:rPr>
          <w:rFonts w:hint="eastAsia" w:ascii="宋体" w:hAnsi="宋体"/>
          <w:b/>
          <w:sz w:val="24"/>
        </w:rPr>
        <w:t>：</w:t>
      </w:r>
      <w:bookmarkEnd w:id="1430"/>
      <w:r>
        <w:rPr>
          <w:rFonts w:hint="eastAsia" w:ascii="宋体" w:hAnsi="宋体"/>
          <w:b/>
          <w:sz w:val="24"/>
        </w:rPr>
        <w:t>上市申请函</w:t>
      </w:r>
      <w:bookmarkEnd w:id="1434"/>
      <w:bookmarkEnd w:id="1435"/>
      <w:bookmarkEnd w:id="1436"/>
      <w:bookmarkEnd w:id="1437"/>
      <w:bookmarkEnd w:id="1438"/>
      <w:bookmarkEnd w:id="1439"/>
      <w:bookmarkEnd w:id="1440"/>
      <w:bookmarkEnd w:id="1441"/>
    </w:p>
    <w:p w14:paraId="234CFAC8">
      <w:pPr>
        <w:jc w:val="center"/>
        <w:rPr>
          <w:rFonts w:hint="eastAsia" w:ascii="宋体" w:hAnsi="宋体"/>
          <w:b/>
          <w:sz w:val="24"/>
        </w:rPr>
      </w:pPr>
    </w:p>
    <w:p w14:paraId="5B3D8925">
      <w:pPr>
        <w:jc w:val="center"/>
        <w:rPr>
          <w:rFonts w:hint="eastAsia" w:ascii="宋体" w:hAnsi="宋体"/>
          <w:b/>
          <w:sz w:val="24"/>
        </w:rPr>
      </w:pPr>
      <w:r>
        <w:rPr>
          <w:rFonts w:hint="eastAsia" w:ascii="宋体" w:hAnsi="宋体"/>
          <w:b/>
          <w:sz w:val="24"/>
        </w:rPr>
        <w:t>关于申请</w:t>
      </w:r>
      <w:r>
        <w:rPr>
          <w:rFonts w:hint="eastAsia" w:ascii="宋体" w:hAnsi="宋体"/>
          <w:b/>
          <w:sz w:val="24"/>
          <w:u w:val="single"/>
        </w:rPr>
        <w:t>（</w:t>
      </w:r>
      <w:r>
        <w:rPr>
          <w:rFonts w:hint="eastAsia" w:ascii="Times New Roman" w:hAnsi="Times New Roman"/>
          <w:b/>
          <w:sz w:val="24"/>
          <w:u w:val="single"/>
        </w:rPr>
        <w:t>REITs</w:t>
      </w:r>
      <w:r>
        <w:rPr>
          <w:rFonts w:hint="eastAsia" w:ascii="宋体" w:hAnsi="宋体"/>
          <w:b/>
          <w:sz w:val="24"/>
          <w:u w:val="single"/>
        </w:rPr>
        <w:t>全称）</w:t>
      </w:r>
      <w:r>
        <w:rPr>
          <w:rFonts w:hint="eastAsia" w:ascii="宋体" w:hAnsi="宋体"/>
          <w:b/>
          <w:sz w:val="24"/>
        </w:rPr>
        <w:t>上市的函</w:t>
      </w:r>
      <w:bookmarkEnd w:id="1431"/>
      <w:bookmarkEnd w:id="1432"/>
      <w:bookmarkEnd w:id="1433"/>
    </w:p>
    <w:p w14:paraId="62C33D03">
      <w:pPr>
        <w:spacing w:line="312" w:lineRule="auto"/>
        <w:jc w:val="center"/>
        <w:rPr>
          <w:rFonts w:hint="eastAsia" w:ascii="Times New Roman" w:hAnsi="Times New Roman" w:eastAsia="仿宋_GB2312"/>
          <w:sz w:val="24"/>
          <w:szCs w:val="24"/>
        </w:rPr>
      </w:pPr>
      <w:r>
        <w:rPr>
          <w:rFonts w:hint="eastAsia" w:ascii="Times New Roman" w:hAnsi="Times New Roman" w:eastAsia="仿宋_GB2312"/>
          <w:sz w:val="24"/>
          <w:szCs w:val="24"/>
        </w:rPr>
        <w:t>（基金公司文号）</w:t>
      </w:r>
    </w:p>
    <w:p w14:paraId="77087D7E">
      <w:pPr>
        <w:spacing w:line="312" w:lineRule="auto"/>
        <w:rPr>
          <w:rFonts w:hint="eastAsia" w:ascii="Times New Roman" w:hAnsi="Times New Roman" w:eastAsia="仿宋_GB2312"/>
          <w:sz w:val="24"/>
          <w:szCs w:val="24"/>
        </w:rPr>
      </w:pPr>
      <w:r>
        <w:rPr>
          <w:rFonts w:hint="eastAsia" w:ascii="Times New Roman" w:hAnsi="Times New Roman" w:eastAsia="仿宋_GB2312"/>
          <w:sz w:val="24"/>
          <w:szCs w:val="24"/>
        </w:rPr>
        <w:t>上海证券交易所：</w:t>
      </w:r>
    </w:p>
    <w:p w14:paraId="1BC35013">
      <w:pPr>
        <w:spacing w:line="312" w:lineRule="auto"/>
        <w:ind w:firstLine="480" w:firstLineChars="200"/>
        <w:rPr>
          <w:rFonts w:hint="eastAsia" w:ascii="Times New Roman" w:hAnsi="Times New Roman" w:eastAsia="仿宋_GB2312"/>
          <w:sz w:val="24"/>
          <w:szCs w:val="24"/>
        </w:rPr>
      </w:pPr>
      <w:r>
        <w:rPr>
          <w:rFonts w:hint="eastAsia" w:ascii="Times New Roman" w:hAnsi="Times New Roman" w:eastAsia="仿宋_GB2312"/>
          <w:sz w:val="24"/>
          <w:szCs w:val="24"/>
          <w:u w:val="single"/>
        </w:rPr>
        <w:t>（</w:t>
      </w:r>
      <w:r>
        <w:rPr>
          <w:rFonts w:ascii="Times New Roman" w:hAnsi="Times New Roman" w:eastAsia="仿宋_GB2312"/>
          <w:sz w:val="24"/>
          <w:szCs w:val="24"/>
          <w:u w:val="single"/>
        </w:rPr>
        <w:t>REITs</w:t>
      </w:r>
      <w:r>
        <w:rPr>
          <w:rFonts w:hint="eastAsia" w:ascii="Times New Roman" w:hAnsi="Times New Roman" w:eastAsia="仿宋_GB2312"/>
          <w:sz w:val="24"/>
          <w:szCs w:val="24"/>
          <w:u w:val="single"/>
        </w:rPr>
        <w:t>全称）</w:t>
      </w:r>
      <w:r>
        <w:rPr>
          <w:rFonts w:hint="eastAsia" w:ascii="Times New Roman" w:hAnsi="Times New Roman" w:eastAsia="仿宋_GB2312"/>
          <w:sz w:val="24"/>
          <w:szCs w:val="24"/>
        </w:rPr>
        <w:t>（基金简称：***，基金代码：***，扩位简称：***；以下简称本基金）已于**年**月**日正式成立，目前本基金上市前期准备工作已全部完成，拟向贵所司申请办理本基金上市业务。相关情况如下：</w:t>
      </w:r>
    </w:p>
    <w:p w14:paraId="2EE3A1C6">
      <w:pPr>
        <w:spacing w:line="312" w:lineRule="auto"/>
        <w:ind w:firstLine="480" w:firstLineChars="200"/>
        <w:rPr>
          <w:rFonts w:hint="eastAsia" w:ascii="Times New Roman" w:hAnsi="Times New Roman" w:eastAsia="仿宋_GB2312"/>
          <w:sz w:val="24"/>
          <w:szCs w:val="24"/>
        </w:rPr>
      </w:pPr>
      <w:r>
        <w:rPr>
          <w:rFonts w:hint="eastAsia" w:ascii="Times New Roman" w:hAnsi="Times New Roman" w:eastAsia="仿宋_GB2312"/>
          <w:sz w:val="24"/>
          <w:szCs w:val="24"/>
        </w:rPr>
        <w:t>本基金募集份额为***份，认购价格为***元（精确到小数点后</w:t>
      </w:r>
      <w:r>
        <w:rPr>
          <w:rFonts w:ascii="Times New Roman" w:hAnsi="Times New Roman" w:eastAsia="仿宋_GB2312"/>
          <w:sz w:val="24"/>
          <w:szCs w:val="24"/>
        </w:rPr>
        <w:t>3</w:t>
      </w:r>
      <w:r>
        <w:rPr>
          <w:rFonts w:hint="eastAsia" w:ascii="Times New Roman" w:hAnsi="Times New Roman" w:eastAsia="仿宋_GB2312"/>
          <w:sz w:val="24"/>
          <w:szCs w:val="24"/>
        </w:rPr>
        <w:t>位），有效认购总户数为**户，截至**年**月**日，场内总份额为***份，场内份额总持有人为**户，已符合《上海证券交易所交易规则》《上海证券交易所证券投资基金上市规则》《上海证券交易所公开募集不动产投资信托基金（</w:t>
      </w:r>
      <w:r>
        <w:rPr>
          <w:rFonts w:ascii="Times New Roman" w:hAnsi="Times New Roman" w:eastAsia="仿宋_GB2312"/>
          <w:sz w:val="24"/>
          <w:szCs w:val="24"/>
        </w:rPr>
        <w:t>REITs</w:t>
      </w:r>
      <w:r>
        <w:rPr>
          <w:rFonts w:hint="eastAsia" w:ascii="Times New Roman" w:hAnsi="Times New Roman" w:eastAsia="仿宋_GB2312"/>
          <w:sz w:val="24"/>
          <w:szCs w:val="24"/>
        </w:rPr>
        <w:t>）业务办法（试行）》等相关规则规定的上市要求。特此申请本基金于**年**月**日上市并开放转托管业务，上市首日证券简称为</w:t>
      </w:r>
      <w:r>
        <w:rPr>
          <w:rFonts w:ascii="Times New Roman" w:hAnsi="Times New Roman" w:eastAsia="仿宋_GB2312"/>
          <w:sz w:val="24"/>
          <w:szCs w:val="24"/>
        </w:rPr>
        <w:t>N</w:t>
      </w:r>
      <w:r>
        <w:rPr>
          <w:rFonts w:hint="eastAsia" w:ascii="Times New Roman" w:hAnsi="Times New Roman" w:eastAsia="仿宋_GB2312"/>
          <w:sz w:val="24"/>
          <w:szCs w:val="24"/>
        </w:rPr>
        <w:t>***（证券简称前加“</w:t>
      </w:r>
      <w:r>
        <w:rPr>
          <w:rFonts w:ascii="Times New Roman" w:hAnsi="Times New Roman" w:eastAsia="仿宋_GB2312"/>
          <w:sz w:val="24"/>
          <w:szCs w:val="24"/>
        </w:rPr>
        <w:t>N</w:t>
      </w:r>
      <w:r>
        <w:rPr>
          <w:rFonts w:hint="eastAsia" w:ascii="Times New Roman" w:hAnsi="Times New Roman" w:eastAsia="仿宋_GB2312"/>
          <w:sz w:val="24"/>
          <w:szCs w:val="24"/>
        </w:rPr>
        <w:t>”，且长度一共不超过</w:t>
      </w:r>
      <w:r>
        <w:rPr>
          <w:rFonts w:ascii="Times New Roman" w:hAnsi="Times New Roman" w:eastAsia="仿宋_GB2312"/>
          <w:sz w:val="24"/>
          <w:szCs w:val="24"/>
        </w:rPr>
        <w:t>8</w:t>
      </w:r>
      <w:r>
        <w:rPr>
          <w:rFonts w:hint="eastAsia" w:ascii="Times New Roman" w:hAnsi="Times New Roman" w:eastAsia="仿宋_GB2312"/>
          <w:sz w:val="24"/>
          <w:szCs w:val="24"/>
        </w:rPr>
        <w:t>个字节/</w:t>
      </w:r>
      <w:r>
        <w:rPr>
          <w:rFonts w:ascii="Times New Roman" w:hAnsi="Times New Roman" w:eastAsia="仿宋_GB2312"/>
          <w:sz w:val="24"/>
          <w:szCs w:val="24"/>
        </w:rPr>
        <w:t>4</w:t>
      </w:r>
      <w:r>
        <w:rPr>
          <w:rFonts w:hint="eastAsia" w:ascii="Times New Roman" w:hAnsi="Times New Roman" w:eastAsia="仿宋_GB2312"/>
          <w:sz w:val="24"/>
          <w:szCs w:val="24"/>
        </w:rPr>
        <w:t>个字符），上市首日开盘参考价即认购价格。做市商为</w:t>
      </w:r>
      <w:r>
        <w:rPr>
          <w:rFonts w:ascii="Times New Roman" w:hAnsi="Times New Roman" w:eastAsia="仿宋_GB2312"/>
          <w:sz w:val="24"/>
          <w:szCs w:val="24"/>
        </w:rPr>
        <w:t>XX</w:t>
      </w:r>
      <w:r>
        <w:rPr>
          <w:rFonts w:hint="eastAsia" w:ascii="Times New Roman" w:hAnsi="Times New Roman" w:eastAsia="仿宋_GB2312"/>
          <w:sz w:val="24"/>
          <w:szCs w:val="24"/>
        </w:rPr>
        <w:t>。为保证本基金上市业务顺利进行，且符合相关监管要求，我司承诺：</w:t>
      </w:r>
    </w:p>
    <w:p w14:paraId="6DC1FD99">
      <w:pPr>
        <w:spacing w:line="312" w:lineRule="auto"/>
        <w:ind w:firstLine="480" w:firstLineChars="200"/>
        <w:rPr>
          <w:rFonts w:hint="eastAsia" w:ascii="Times New Roman" w:hAnsi="Times New Roman" w:eastAsia="仿宋_GB2312"/>
          <w:sz w:val="24"/>
          <w:szCs w:val="24"/>
        </w:rPr>
      </w:pPr>
      <w:r>
        <w:rPr>
          <w:rFonts w:ascii="Times New Roman" w:hAnsi="Times New Roman" w:eastAsia="仿宋_GB2312"/>
          <w:sz w:val="24"/>
          <w:szCs w:val="24"/>
        </w:rPr>
        <w:t>1</w:t>
      </w:r>
      <w:r>
        <w:rPr>
          <w:rFonts w:hint="eastAsia" w:ascii="Times New Roman" w:hAnsi="Times New Roman" w:eastAsia="仿宋_GB2312"/>
          <w:sz w:val="24"/>
          <w:szCs w:val="24"/>
        </w:rPr>
        <w:t>、上市日前至少</w:t>
      </w:r>
      <w:r>
        <w:rPr>
          <w:rFonts w:ascii="Times New Roman" w:hAnsi="Times New Roman" w:eastAsia="仿宋_GB2312"/>
          <w:sz w:val="24"/>
          <w:szCs w:val="24"/>
        </w:rPr>
        <w:t>5</w:t>
      </w:r>
      <w:r>
        <w:rPr>
          <w:rFonts w:hint="eastAsia" w:ascii="Times New Roman" w:hAnsi="Times New Roman" w:eastAsia="仿宋_GB2312"/>
          <w:sz w:val="24"/>
          <w:szCs w:val="24"/>
        </w:rPr>
        <w:t>个交易日完成全部原始权益人及战略配售份额的限售和锁定；</w:t>
      </w:r>
    </w:p>
    <w:p w14:paraId="462ABA29">
      <w:pPr>
        <w:spacing w:line="312" w:lineRule="auto"/>
        <w:ind w:firstLine="480" w:firstLineChars="200"/>
        <w:rPr>
          <w:rFonts w:hint="eastAsia" w:ascii="Times New Roman" w:hAnsi="Times New Roman" w:eastAsia="仿宋_GB2312"/>
          <w:sz w:val="24"/>
          <w:szCs w:val="24"/>
        </w:rPr>
      </w:pPr>
      <w:r>
        <w:rPr>
          <w:rFonts w:ascii="Times New Roman" w:hAnsi="Times New Roman" w:eastAsia="仿宋_GB2312"/>
          <w:sz w:val="24"/>
          <w:szCs w:val="24"/>
        </w:rPr>
        <w:t>2</w:t>
      </w:r>
      <w:r>
        <w:rPr>
          <w:rFonts w:hint="eastAsia" w:ascii="Times New Roman" w:hAnsi="Times New Roman" w:eastAsia="仿宋_GB2312"/>
          <w:sz w:val="24"/>
          <w:szCs w:val="24"/>
        </w:rPr>
        <w:t>、已完成本基金成立材料报备；</w:t>
      </w:r>
    </w:p>
    <w:p w14:paraId="7034A02B">
      <w:pPr>
        <w:spacing w:line="312" w:lineRule="auto"/>
        <w:ind w:firstLine="480" w:firstLineChars="200"/>
        <w:rPr>
          <w:rFonts w:hint="eastAsia" w:ascii="Times New Roman" w:hAnsi="Times New Roman" w:eastAsia="仿宋_GB2312"/>
          <w:sz w:val="24"/>
          <w:szCs w:val="24"/>
        </w:rPr>
      </w:pPr>
      <w:r>
        <w:rPr>
          <w:rFonts w:ascii="Times New Roman" w:hAnsi="Times New Roman" w:eastAsia="仿宋_GB2312"/>
          <w:sz w:val="24"/>
          <w:szCs w:val="24"/>
        </w:rPr>
        <w:t>3</w:t>
      </w:r>
      <w:r>
        <w:rPr>
          <w:rFonts w:hint="eastAsia" w:ascii="Times New Roman" w:hAnsi="Times New Roman" w:eastAsia="仿宋_GB2312"/>
          <w:sz w:val="24"/>
          <w:szCs w:val="24"/>
        </w:rPr>
        <w:t>、其他事项（如有）。</w:t>
      </w:r>
    </w:p>
    <w:p w14:paraId="2DF17354">
      <w:pPr>
        <w:spacing w:line="312" w:lineRule="auto"/>
        <w:ind w:firstLine="480" w:firstLineChars="200"/>
        <w:rPr>
          <w:rFonts w:hint="eastAsia" w:ascii="Times New Roman" w:hAnsi="Times New Roman" w:eastAsia="仿宋_GB2312"/>
          <w:sz w:val="24"/>
          <w:szCs w:val="24"/>
        </w:rPr>
      </w:pPr>
      <w:r>
        <w:rPr>
          <w:rFonts w:hint="eastAsia" w:ascii="Times New Roman" w:hAnsi="Times New Roman" w:eastAsia="仿宋_GB2312"/>
          <w:sz w:val="24"/>
          <w:szCs w:val="24"/>
        </w:rPr>
        <w:t>恳请贵所就上市相关事宜予以协助。</w:t>
      </w:r>
    </w:p>
    <w:p w14:paraId="22E231F6">
      <w:pPr>
        <w:spacing w:line="312" w:lineRule="auto"/>
        <w:ind w:firstLine="480" w:firstLineChars="200"/>
        <w:rPr>
          <w:rFonts w:hint="eastAsia" w:ascii="Times New Roman" w:hAnsi="Times New Roman" w:eastAsia="仿宋_GB2312"/>
          <w:sz w:val="24"/>
          <w:szCs w:val="24"/>
        </w:rPr>
      </w:pPr>
      <w:r>
        <w:rPr>
          <w:rFonts w:hint="eastAsia" w:ascii="Times New Roman" w:hAnsi="Times New Roman" w:eastAsia="仿宋_GB2312"/>
          <w:sz w:val="24"/>
          <w:szCs w:val="24"/>
        </w:rPr>
        <w:t>特此致函。</w:t>
      </w:r>
    </w:p>
    <w:p w14:paraId="5AA3790A">
      <w:pPr>
        <w:spacing w:line="312" w:lineRule="auto"/>
        <w:jc w:val="right"/>
        <w:rPr>
          <w:rFonts w:hint="eastAsia" w:ascii="Times New Roman" w:hAnsi="Times New Roman" w:eastAsia="仿宋_GB2312"/>
          <w:sz w:val="24"/>
          <w:szCs w:val="24"/>
        </w:rPr>
      </w:pPr>
      <w:r>
        <w:rPr>
          <w:rFonts w:hint="eastAsia" w:ascii="Times New Roman" w:hAnsi="Times New Roman" w:eastAsia="仿宋_GB2312"/>
          <w:sz w:val="24"/>
          <w:szCs w:val="24"/>
        </w:rPr>
        <w:t>**基金管理有限公司（加盖公章）</w:t>
      </w:r>
    </w:p>
    <w:p w14:paraId="4C676A32">
      <w:pPr>
        <w:spacing w:line="312" w:lineRule="auto"/>
        <w:jc w:val="right"/>
        <w:rPr>
          <w:rFonts w:hint="eastAsia" w:ascii="Times New Roman" w:hAnsi="Times New Roman" w:eastAsia="仿宋_GB2312"/>
          <w:sz w:val="24"/>
          <w:szCs w:val="24"/>
        </w:rPr>
      </w:pPr>
      <w:r>
        <w:rPr>
          <w:rFonts w:hint="eastAsia" w:ascii="Times New Roman" w:hAnsi="Times New Roman" w:eastAsia="仿宋_GB2312"/>
          <w:sz w:val="24"/>
          <w:szCs w:val="24"/>
        </w:rPr>
        <w:t>**年**月**日</w:t>
      </w:r>
    </w:p>
    <w:p w14:paraId="3661D9C7">
      <w:pPr>
        <w:widowControl/>
        <w:jc w:val="left"/>
        <w:rPr>
          <w:rFonts w:ascii="仿宋_GB2312" w:eastAsia="仿宋_GB2312"/>
          <w:b/>
          <w:bCs/>
          <w:sz w:val="24"/>
          <w:szCs w:val="24"/>
        </w:rPr>
      </w:pPr>
    </w:p>
    <w:p w14:paraId="62EC8A6C">
      <w:pPr>
        <w:spacing w:after="156" w:afterLines="50" w:line="360" w:lineRule="auto"/>
        <w:outlineLvl w:val="2"/>
        <w:rPr>
          <w:rFonts w:hint="eastAsia" w:ascii="宋体" w:hAnsi="宋体"/>
          <w:b/>
          <w:sz w:val="24"/>
        </w:rPr>
      </w:pPr>
      <w:bookmarkStart w:id="1442" w:name="_Toc62990999"/>
      <w:bookmarkStart w:id="1443" w:name="_Toc11939"/>
      <w:bookmarkStart w:id="1444" w:name="_Toc65181456"/>
      <w:bookmarkStart w:id="1445" w:name="_Toc62833287"/>
      <w:r>
        <w:rPr>
          <w:rFonts w:ascii="宋体" w:hAnsi="宋体"/>
          <w:b/>
          <w:sz w:val="24"/>
        </w:rPr>
        <w:br w:type="page"/>
      </w:r>
      <w:bookmarkStart w:id="1446" w:name="_Toc636200109"/>
      <w:bookmarkStart w:id="1447" w:name="_Toc1302960098"/>
      <w:bookmarkStart w:id="1448" w:name="_Toc70604258"/>
      <w:bookmarkStart w:id="1449" w:name="_Toc376060981"/>
      <w:bookmarkStart w:id="1450" w:name="_Toc1258066409"/>
      <w:bookmarkStart w:id="1451" w:name="_Toc161703976"/>
      <w:bookmarkStart w:id="1452" w:name="_Toc1532908774"/>
      <w:bookmarkStart w:id="1453" w:name="_Toc146621674"/>
      <w:r>
        <w:rPr>
          <w:rFonts w:hint="eastAsia" w:ascii="宋体" w:hAnsi="宋体"/>
          <w:b/>
          <w:sz w:val="24"/>
        </w:rPr>
        <w:t>附件</w:t>
      </w:r>
      <w:r>
        <w:rPr>
          <w:rFonts w:hint="eastAsia" w:ascii="Times New Roman" w:hAnsi="Times New Roman"/>
          <w:b/>
          <w:sz w:val="24"/>
        </w:rPr>
        <w:t>1</w:t>
      </w:r>
      <w:r>
        <w:rPr>
          <w:rFonts w:hint="eastAsia" w:ascii="宋体" w:hAnsi="宋体"/>
          <w:b/>
          <w:sz w:val="24"/>
        </w:rPr>
        <w:t>-</w:t>
      </w:r>
      <w:r>
        <w:rPr>
          <w:rFonts w:hint="eastAsia" w:ascii="Times New Roman" w:hAnsi="Times New Roman"/>
          <w:b/>
          <w:sz w:val="24"/>
        </w:rPr>
        <w:t>15</w:t>
      </w:r>
      <w:r>
        <w:rPr>
          <w:rFonts w:hint="eastAsia" w:ascii="宋体" w:hAnsi="宋体"/>
          <w:b/>
          <w:sz w:val="24"/>
        </w:rPr>
        <w:t>：</w:t>
      </w:r>
      <w:r>
        <w:rPr>
          <w:rFonts w:hint="eastAsia" w:ascii="Times New Roman" w:hAnsi="Times New Roman"/>
          <w:b/>
          <w:sz w:val="24"/>
        </w:rPr>
        <w:t>REITs</w:t>
      </w:r>
      <w:r>
        <w:rPr>
          <w:rFonts w:hint="eastAsia" w:ascii="宋体" w:hAnsi="宋体"/>
          <w:b/>
          <w:sz w:val="24"/>
        </w:rPr>
        <w:t>账户信息</w:t>
      </w:r>
      <w:bookmarkEnd w:id="1446"/>
      <w:bookmarkEnd w:id="1447"/>
      <w:bookmarkEnd w:id="1448"/>
      <w:bookmarkEnd w:id="1449"/>
      <w:bookmarkEnd w:id="1450"/>
      <w:bookmarkEnd w:id="1451"/>
      <w:bookmarkEnd w:id="1452"/>
      <w:bookmarkEnd w:id="1453"/>
    </w:p>
    <w:p w14:paraId="278736FD">
      <w:pPr>
        <w:jc w:val="center"/>
        <w:rPr>
          <w:rFonts w:hint="eastAsia" w:ascii="宋体" w:hAnsi="宋体"/>
          <w:b/>
          <w:sz w:val="24"/>
        </w:rPr>
      </w:pPr>
      <w:r>
        <w:rPr>
          <w:rFonts w:hint="eastAsia" w:ascii="宋体" w:hAnsi="宋体"/>
          <w:b/>
          <w:sz w:val="24"/>
        </w:rPr>
        <w:t>关于提交</w:t>
      </w:r>
      <w:r>
        <w:rPr>
          <w:rFonts w:hint="eastAsia" w:ascii="宋体" w:hAnsi="宋体"/>
          <w:b/>
          <w:sz w:val="24"/>
          <w:u w:val="single"/>
        </w:rPr>
        <w:t>（</w:t>
      </w:r>
      <w:r>
        <w:rPr>
          <w:rFonts w:hint="eastAsia" w:ascii="Times New Roman" w:hAnsi="Times New Roman"/>
          <w:b/>
          <w:sz w:val="24"/>
          <w:u w:val="single"/>
        </w:rPr>
        <w:t>REITs</w:t>
      </w:r>
      <w:r>
        <w:rPr>
          <w:rFonts w:hint="eastAsia" w:ascii="宋体" w:hAnsi="宋体"/>
          <w:b/>
          <w:sz w:val="24"/>
          <w:u w:val="single"/>
        </w:rPr>
        <w:t>全称）</w:t>
      </w:r>
      <w:r>
        <w:rPr>
          <w:rFonts w:hint="eastAsia" w:ascii="宋体" w:hAnsi="宋体"/>
          <w:b/>
          <w:sz w:val="24"/>
        </w:rPr>
        <w:t>席位号和账户等信息的函</w:t>
      </w:r>
      <w:bookmarkEnd w:id="1442"/>
      <w:bookmarkEnd w:id="1443"/>
      <w:bookmarkEnd w:id="1444"/>
      <w:bookmarkEnd w:id="1445"/>
    </w:p>
    <w:p w14:paraId="09555504">
      <w:pPr>
        <w:spacing w:before="156" w:beforeLines="50" w:line="312" w:lineRule="auto"/>
        <w:rPr>
          <w:rFonts w:hint="eastAsia" w:ascii="Times New Roman" w:hAnsi="Times New Roman" w:eastAsia="仿宋_GB2312"/>
          <w:sz w:val="24"/>
          <w:szCs w:val="24"/>
        </w:rPr>
      </w:pPr>
      <w:r>
        <w:rPr>
          <w:rFonts w:hint="eastAsia" w:ascii="Times New Roman" w:hAnsi="Times New Roman" w:eastAsia="仿宋_GB2312"/>
          <w:sz w:val="24"/>
          <w:szCs w:val="24"/>
        </w:rPr>
        <w:t>上海证券交易所：</w:t>
      </w:r>
    </w:p>
    <w:p w14:paraId="29AB2A69">
      <w:pPr>
        <w:spacing w:line="312" w:lineRule="auto"/>
        <w:ind w:firstLine="480" w:firstLineChars="200"/>
        <w:rPr>
          <w:rFonts w:hint="eastAsia" w:ascii="Times New Roman" w:hAnsi="Times New Roman" w:eastAsia="仿宋_GB2312"/>
          <w:sz w:val="24"/>
          <w:szCs w:val="24"/>
        </w:rPr>
      </w:pPr>
      <w:r>
        <w:rPr>
          <w:rFonts w:hint="eastAsia" w:ascii="Times New Roman" w:hAnsi="Times New Roman" w:eastAsia="仿宋_GB2312"/>
          <w:sz w:val="24"/>
          <w:szCs w:val="24"/>
          <w:u w:val="single"/>
        </w:rPr>
        <w:t>（</w:t>
      </w:r>
      <w:r>
        <w:rPr>
          <w:rFonts w:ascii="Times New Roman" w:hAnsi="Times New Roman" w:eastAsia="仿宋_GB2312"/>
          <w:sz w:val="24"/>
          <w:szCs w:val="24"/>
          <w:u w:val="single"/>
        </w:rPr>
        <w:t>REITs</w:t>
      </w:r>
      <w:r>
        <w:rPr>
          <w:rFonts w:hint="eastAsia" w:ascii="Times New Roman" w:hAnsi="Times New Roman" w:eastAsia="仿宋_GB2312"/>
          <w:sz w:val="24"/>
          <w:szCs w:val="24"/>
          <w:u w:val="single"/>
        </w:rPr>
        <w:t>全称）</w:t>
      </w:r>
      <w:r>
        <w:rPr>
          <w:rFonts w:hint="eastAsia" w:ascii="Times New Roman" w:hAnsi="Times New Roman" w:eastAsia="仿宋_GB2312"/>
          <w:sz w:val="24"/>
          <w:szCs w:val="24"/>
        </w:rPr>
        <w:t>（以下简称本基金）已于**年**月**日正式成立，现申请于**年**月**日在贵所上市。本基金账户相关信息如下：</w:t>
      </w:r>
    </w:p>
    <w:p w14:paraId="2686BB37">
      <w:pPr>
        <w:spacing w:line="312" w:lineRule="auto"/>
        <w:ind w:firstLine="480" w:firstLineChars="200"/>
        <w:rPr>
          <w:rFonts w:hint="eastAsia" w:ascii="Times New Roman" w:hAnsi="Times New Roman" w:eastAsia="仿宋_GB2312"/>
          <w:sz w:val="24"/>
          <w:szCs w:val="24"/>
        </w:rPr>
      </w:pPr>
      <w:r>
        <w:rPr>
          <w:rFonts w:hint="eastAsia" w:ascii="Times New Roman" w:hAnsi="Times New Roman" w:eastAsia="仿宋_GB2312"/>
          <w:sz w:val="24"/>
          <w:szCs w:val="24"/>
        </w:rPr>
        <w:t xml:space="preserve">本基金（基金简称：***，基金代码：***）的证券账户代码为***，席位号为*****。 </w:t>
      </w:r>
    </w:p>
    <w:p w14:paraId="19C8E1E2">
      <w:pPr>
        <w:spacing w:line="312" w:lineRule="auto"/>
        <w:ind w:firstLine="480" w:firstLineChars="200"/>
        <w:rPr>
          <w:rFonts w:hint="eastAsia" w:ascii="Times New Roman" w:hAnsi="Times New Roman" w:eastAsia="仿宋_GB2312"/>
          <w:sz w:val="24"/>
          <w:szCs w:val="24"/>
        </w:rPr>
      </w:pPr>
    </w:p>
    <w:p w14:paraId="4A8E57B8">
      <w:pPr>
        <w:spacing w:line="312" w:lineRule="auto"/>
        <w:ind w:firstLine="480" w:firstLineChars="200"/>
        <w:rPr>
          <w:rFonts w:hint="eastAsia" w:ascii="Times New Roman" w:hAnsi="Times New Roman" w:eastAsia="仿宋_GB2312"/>
          <w:sz w:val="24"/>
          <w:szCs w:val="24"/>
        </w:rPr>
      </w:pPr>
      <w:r>
        <w:rPr>
          <w:rFonts w:hint="eastAsia" w:ascii="Times New Roman" w:hAnsi="Times New Roman" w:eastAsia="仿宋_GB2312"/>
          <w:sz w:val="24"/>
          <w:szCs w:val="24"/>
        </w:rPr>
        <w:t>特此致函。</w:t>
      </w:r>
    </w:p>
    <w:p w14:paraId="51C805A9">
      <w:pPr>
        <w:spacing w:line="312" w:lineRule="auto"/>
        <w:jc w:val="right"/>
        <w:rPr>
          <w:rFonts w:hint="eastAsia" w:ascii="Times New Roman" w:hAnsi="Times New Roman" w:eastAsia="仿宋_GB2312"/>
          <w:sz w:val="24"/>
          <w:szCs w:val="24"/>
        </w:rPr>
      </w:pPr>
      <w:r>
        <w:rPr>
          <w:rFonts w:hint="eastAsia" w:ascii="Times New Roman" w:hAnsi="Times New Roman" w:eastAsia="仿宋_GB2312"/>
          <w:sz w:val="24"/>
          <w:szCs w:val="24"/>
        </w:rPr>
        <w:t>**基金管理有限公司（加盖公章）</w:t>
      </w:r>
    </w:p>
    <w:p w14:paraId="018DF9BE">
      <w:pPr>
        <w:spacing w:line="312" w:lineRule="auto"/>
        <w:jc w:val="right"/>
        <w:rPr>
          <w:rFonts w:hint="eastAsia" w:ascii="Times New Roman" w:hAnsi="Times New Roman" w:eastAsia="仿宋_GB2312"/>
          <w:sz w:val="24"/>
          <w:szCs w:val="24"/>
        </w:rPr>
      </w:pPr>
      <w:r>
        <w:rPr>
          <w:rFonts w:hint="eastAsia" w:ascii="Times New Roman" w:hAnsi="Times New Roman" w:eastAsia="仿宋_GB2312"/>
          <w:sz w:val="24"/>
          <w:szCs w:val="24"/>
        </w:rPr>
        <w:t>**年**月**日</w:t>
      </w:r>
    </w:p>
    <w:p w14:paraId="3EB29D3B">
      <w:pPr>
        <w:spacing w:line="312" w:lineRule="auto"/>
        <w:jc w:val="right"/>
        <w:rPr>
          <w:rFonts w:hint="eastAsia" w:ascii="仿宋" w:hAnsi="仿宋" w:eastAsia="仿宋"/>
          <w:szCs w:val="21"/>
        </w:rPr>
      </w:pPr>
    </w:p>
    <w:p w14:paraId="6546A48B">
      <w:pPr>
        <w:spacing w:after="156" w:afterLines="50" w:line="360" w:lineRule="auto"/>
        <w:outlineLvl w:val="2"/>
        <w:rPr>
          <w:rFonts w:hint="eastAsia" w:ascii="宋体" w:hAnsi="宋体"/>
          <w:b/>
          <w:sz w:val="24"/>
        </w:rPr>
      </w:pPr>
      <w:bookmarkStart w:id="1454" w:name="_Toc62991001"/>
      <w:bookmarkStart w:id="1455" w:name="_Toc27017"/>
      <w:bookmarkStart w:id="1456" w:name="_Toc65244425"/>
      <w:bookmarkStart w:id="1457" w:name="_Toc65181459"/>
      <w:r>
        <w:rPr>
          <w:rFonts w:ascii="宋体" w:hAnsi="宋体"/>
          <w:b/>
          <w:sz w:val="24"/>
        </w:rPr>
        <w:br w:type="page"/>
      </w:r>
      <w:bookmarkStart w:id="1458" w:name="_Toc70604259"/>
      <w:bookmarkStart w:id="1459" w:name="_Toc1298367474"/>
      <w:bookmarkStart w:id="1460" w:name="_Toc74002237"/>
      <w:bookmarkStart w:id="1461" w:name="_Toc1722857882"/>
      <w:bookmarkStart w:id="1462" w:name="_Toc51715770"/>
      <w:bookmarkStart w:id="1463" w:name="_Toc1006111655"/>
      <w:bookmarkStart w:id="1464" w:name="_Toc1843894530"/>
      <w:bookmarkStart w:id="1465" w:name="_Toc1909752806"/>
      <w:r>
        <w:rPr>
          <w:rFonts w:hint="eastAsia" w:ascii="宋体" w:hAnsi="宋体"/>
          <w:b/>
          <w:sz w:val="24"/>
        </w:rPr>
        <w:t>附件</w:t>
      </w:r>
      <w:r>
        <w:rPr>
          <w:rFonts w:hint="eastAsia" w:ascii="Times New Roman" w:hAnsi="Times New Roman"/>
          <w:b/>
          <w:sz w:val="24"/>
        </w:rPr>
        <w:t>1</w:t>
      </w:r>
      <w:r>
        <w:rPr>
          <w:rFonts w:hint="eastAsia" w:ascii="宋体" w:hAnsi="宋体"/>
          <w:b/>
          <w:sz w:val="24"/>
        </w:rPr>
        <w:t>-</w:t>
      </w:r>
      <w:r>
        <w:rPr>
          <w:rFonts w:hint="eastAsia" w:ascii="Times New Roman" w:hAnsi="Times New Roman"/>
          <w:b/>
          <w:sz w:val="24"/>
        </w:rPr>
        <w:t>16</w:t>
      </w:r>
      <w:r>
        <w:rPr>
          <w:rFonts w:hint="eastAsia" w:ascii="宋体" w:hAnsi="宋体"/>
          <w:b/>
          <w:sz w:val="24"/>
        </w:rPr>
        <w:t>：</w:t>
      </w:r>
      <w:bookmarkEnd w:id="1454"/>
      <w:r>
        <w:rPr>
          <w:rFonts w:hint="eastAsia" w:ascii="宋体" w:hAnsi="宋体"/>
          <w:b/>
          <w:sz w:val="24"/>
        </w:rPr>
        <w:t>持有份额</w:t>
      </w:r>
      <w:r>
        <w:rPr>
          <w:rFonts w:hint="eastAsia" w:ascii="Times New Roman" w:hAnsi="Times New Roman"/>
          <w:b/>
          <w:sz w:val="24"/>
        </w:rPr>
        <w:t>10%</w:t>
      </w:r>
      <w:r>
        <w:rPr>
          <w:rFonts w:hint="eastAsia" w:ascii="宋体" w:hAnsi="宋体"/>
          <w:b/>
          <w:sz w:val="24"/>
        </w:rPr>
        <w:t>及以上基金持有人情况表</w:t>
      </w:r>
      <w:bookmarkEnd w:id="1455"/>
      <w:bookmarkEnd w:id="1456"/>
      <w:bookmarkEnd w:id="1457"/>
      <w:bookmarkEnd w:id="1458"/>
      <w:bookmarkEnd w:id="1459"/>
      <w:bookmarkEnd w:id="1460"/>
      <w:bookmarkEnd w:id="1461"/>
      <w:bookmarkEnd w:id="1462"/>
      <w:bookmarkEnd w:id="1463"/>
      <w:bookmarkEnd w:id="1464"/>
      <w:bookmarkEnd w:id="1465"/>
    </w:p>
    <w:p w14:paraId="62235211">
      <w:pPr>
        <w:spacing w:line="360" w:lineRule="auto"/>
        <w:jc w:val="center"/>
        <w:rPr>
          <w:rFonts w:hint="eastAsia" w:ascii="黑体" w:hAnsi="黑体" w:eastAsia="黑体"/>
          <w:b/>
          <w:sz w:val="30"/>
          <w:szCs w:val="30"/>
        </w:rPr>
      </w:pPr>
      <w:r>
        <w:rPr>
          <w:rFonts w:hint="eastAsia" w:ascii="黑体" w:hAnsi="黑体" w:eastAsia="黑体"/>
          <w:b/>
          <w:sz w:val="30"/>
          <w:szCs w:val="30"/>
        </w:rPr>
        <w:t>持有份额</w:t>
      </w:r>
      <w:r>
        <w:rPr>
          <w:rFonts w:hint="eastAsia" w:ascii="Times New Roman" w:hAnsi="Times New Roman" w:eastAsia="黑体"/>
          <w:b/>
          <w:sz w:val="30"/>
          <w:szCs w:val="30"/>
        </w:rPr>
        <w:t>10%</w:t>
      </w:r>
      <w:r>
        <w:rPr>
          <w:rFonts w:hint="eastAsia" w:ascii="黑体" w:hAnsi="黑体" w:eastAsia="黑体"/>
          <w:b/>
          <w:sz w:val="30"/>
          <w:szCs w:val="30"/>
        </w:rPr>
        <w:t>及以上基金持有人情况表</w:t>
      </w:r>
    </w:p>
    <w:p w14:paraId="001053C3">
      <w:pPr>
        <w:spacing w:line="312" w:lineRule="auto"/>
        <w:rPr>
          <w:rFonts w:hint="eastAsia" w:ascii="仿宋_GB2312" w:hAnsi="仿宋" w:eastAsia="仿宋_GB2312"/>
          <w:sz w:val="24"/>
          <w:szCs w:val="24"/>
        </w:rPr>
      </w:pPr>
      <w:r>
        <w:rPr>
          <w:rFonts w:hint="eastAsia" w:ascii="仿宋_GB2312" w:hAnsi="仿宋" w:eastAsia="仿宋_GB2312"/>
          <w:sz w:val="24"/>
          <w:szCs w:val="24"/>
        </w:rPr>
        <w:t>基金简称：</w:t>
      </w:r>
      <w:r>
        <w:rPr>
          <w:rFonts w:ascii="仿宋_GB2312" w:hAnsi="仿宋" w:eastAsia="仿宋_GB2312"/>
          <w:sz w:val="24"/>
          <w:szCs w:val="24"/>
        </w:rPr>
        <w:t xml:space="preserve">         </w:t>
      </w:r>
    </w:p>
    <w:p w14:paraId="0D69FD71">
      <w:pPr>
        <w:spacing w:line="312" w:lineRule="auto"/>
        <w:rPr>
          <w:rFonts w:hint="eastAsia" w:ascii="仿宋_GB2312" w:hAnsi="仿宋" w:eastAsia="仿宋_GB2312"/>
          <w:sz w:val="24"/>
          <w:szCs w:val="24"/>
        </w:rPr>
      </w:pPr>
      <w:r>
        <w:rPr>
          <w:rFonts w:hint="eastAsia" w:ascii="仿宋_GB2312" w:hAnsi="仿宋" w:eastAsia="仿宋_GB2312"/>
          <w:sz w:val="24"/>
          <w:szCs w:val="24"/>
        </w:rPr>
        <w:t>证券代码：</w:t>
      </w:r>
      <w:r>
        <w:rPr>
          <w:rFonts w:ascii="仿宋_GB2312" w:hAnsi="仿宋" w:eastAsia="仿宋_GB2312"/>
          <w:sz w:val="24"/>
          <w:szCs w:val="24"/>
        </w:rPr>
        <w:t xml:space="preserve">         </w:t>
      </w:r>
    </w:p>
    <w:p w14:paraId="362C81DD">
      <w:pPr>
        <w:spacing w:line="312" w:lineRule="auto"/>
        <w:rPr>
          <w:rFonts w:hint="eastAsia" w:ascii="仿宋_GB2312" w:hAnsi="仿宋" w:eastAsia="仿宋_GB2312"/>
          <w:sz w:val="24"/>
          <w:szCs w:val="24"/>
        </w:rPr>
      </w:pPr>
      <w:r>
        <w:rPr>
          <w:rFonts w:hint="eastAsia" w:ascii="仿宋_GB2312" w:hAnsi="仿宋" w:eastAsia="仿宋_GB2312"/>
          <w:sz w:val="24"/>
          <w:szCs w:val="24"/>
        </w:rPr>
        <w:t>总份额：</w:t>
      </w:r>
      <w:r>
        <w:rPr>
          <w:rFonts w:ascii="仿宋_GB2312" w:hAnsi="仿宋" w:eastAsia="仿宋_GB2312"/>
          <w:sz w:val="24"/>
          <w:szCs w:val="24"/>
        </w:rPr>
        <w:t xml:space="preserve">            </w:t>
      </w:r>
      <w:r>
        <w:rPr>
          <w:rFonts w:hint="eastAsia" w:ascii="仿宋_GB2312" w:hAnsi="仿宋" w:eastAsia="仿宋_GB2312"/>
          <w:sz w:val="24"/>
          <w:szCs w:val="24"/>
        </w:rPr>
        <w:t>份</w:t>
      </w:r>
    </w:p>
    <w:tbl>
      <w:tblPr>
        <w:tblStyle w:val="15"/>
        <w:tblW w:w="874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79"/>
        <w:gridCol w:w="1664"/>
        <w:gridCol w:w="1228"/>
        <w:gridCol w:w="1257"/>
        <w:gridCol w:w="1080"/>
        <w:gridCol w:w="1080"/>
        <w:gridCol w:w="1260"/>
      </w:tblGrid>
      <w:tr w14:paraId="5B6041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9" w:type="dxa"/>
          </w:tcPr>
          <w:p w14:paraId="647ECA0D">
            <w:pPr>
              <w:rPr>
                <w:rFonts w:hint="eastAsia" w:ascii="仿宋_GB2312" w:hAnsi="仿宋" w:eastAsia="仿宋_GB2312"/>
                <w:sz w:val="24"/>
                <w:szCs w:val="24"/>
              </w:rPr>
            </w:pPr>
            <w:r>
              <w:rPr>
                <w:rFonts w:hint="eastAsia" w:ascii="仿宋_GB2312" w:hAnsi="仿宋" w:eastAsia="仿宋_GB2312"/>
                <w:sz w:val="24"/>
                <w:szCs w:val="24"/>
              </w:rPr>
              <w:t>基金持有人及其一致行动人名称</w:t>
            </w:r>
          </w:p>
        </w:tc>
        <w:tc>
          <w:tcPr>
            <w:tcW w:w="1664" w:type="dxa"/>
          </w:tcPr>
          <w:p w14:paraId="6F1A4962">
            <w:pPr>
              <w:rPr>
                <w:rFonts w:hint="eastAsia" w:ascii="仿宋_GB2312" w:hAnsi="仿宋" w:eastAsia="仿宋_GB2312"/>
                <w:sz w:val="24"/>
                <w:szCs w:val="24"/>
              </w:rPr>
            </w:pPr>
            <w:r>
              <w:rPr>
                <w:rFonts w:hint="eastAsia" w:ascii="仿宋_GB2312" w:hAnsi="仿宋" w:eastAsia="仿宋_GB2312"/>
                <w:sz w:val="24"/>
                <w:szCs w:val="24"/>
              </w:rPr>
              <w:t>基金持有人账户号（若通过多个账户持有的，需分别填写）</w:t>
            </w:r>
            <w:r>
              <w:rPr>
                <w:rFonts w:ascii="仿宋_GB2312" w:hAnsi="仿宋" w:eastAsia="仿宋_GB2312"/>
                <w:sz w:val="24"/>
                <w:szCs w:val="24"/>
              </w:rPr>
              <w:t xml:space="preserve"> </w:t>
            </w:r>
          </w:p>
        </w:tc>
        <w:tc>
          <w:tcPr>
            <w:tcW w:w="1228" w:type="dxa"/>
          </w:tcPr>
          <w:p w14:paraId="5E7E2DAF">
            <w:pPr>
              <w:rPr>
                <w:rFonts w:hint="eastAsia" w:ascii="仿宋_GB2312" w:hAnsi="仿宋" w:eastAsia="仿宋_GB2312"/>
                <w:sz w:val="24"/>
                <w:szCs w:val="24"/>
              </w:rPr>
            </w:pPr>
            <w:r>
              <w:rPr>
                <w:rFonts w:hint="eastAsia" w:ascii="仿宋_GB2312" w:hAnsi="仿宋" w:eastAsia="仿宋_GB2312"/>
                <w:sz w:val="24"/>
                <w:szCs w:val="24"/>
              </w:rPr>
              <w:t>持有限售份额数量（份）</w:t>
            </w:r>
            <w:r>
              <w:rPr>
                <w:rFonts w:ascii="仿宋_GB2312" w:hAnsi="仿宋" w:eastAsia="仿宋_GB2312"/>
                <w:sz w:val="24"/>
                <w:szCs w:val="24"/>
              </w:rPr>
              <w:t>[</w:t>
            </w:r>
            <w:r>
              <w:rPr>
                <w:rFonts w:ascii="Times New Roman" w:hAnsi="Times New Roman" w:eastAsia="仿宋_GB2312"/>
                <w:sz w:val="24"/>
                <w:szCs w:val="24"/>
              </w:rPr>
              <w:t>1</w:t>
            </w:r>
            <w:r>
              <w:rPr>
                <w:rFonts w:ascii="仿宋_GB2312" w:hAnsi="仿宋" w:eastAsia="仿宋_GB2312"/>
                <w:sz w:val="24"/>
                <w:szCs w:val="24"/>
              </w:rPr>
              <w:t>]</w:t>
            </w:r>
          </w:p>
        </w:tc>
        <w:tc>
          <w:tcPr>
            <w:tcW w:w="1257" w:type="dxa"/>
          </w:tcPr>
          <w:p w14:paraId="29AB80CC">
            <w:pPr>
              <w:rPr>
                <w:rFonts w:hint="eastAsia" w:ascii="仿宋_GB2312" w:hAnsi="仿宋" w:eastAsia="仿宋_GB2312"/>
                <w:sz w:val="24"/>
                <w:szCs w:val="24"/>
              </w:rPr>
            </w:pPr>
            <w:r>
              <w:rPr>
                <w:rFonts w:hint="eastAsia" w:ascii="仿宋_GB2312" w:hAnsi="仿宋" w:eastAsia="仿宋_GB2312"/>
                <w:sz w:val="24"/>
                <w:szCs w:val="24"/>
              </w:rPr>
              <w:t>持有非限售流通份额数量（份）</w:t>
            </w:r>
            <w:r>
              <w:rPr>
                <w:rFonts w:ascii="仿宋_GB2312" w:hAnsi="仿宋" w:eastAsia="仿宋_GB2312"/>
                <w:sz w:val="24"/>
                <w:szCs w:val="24"/>
              </w:rPr>
              <w:t>[</w:t>
            </w:r>
            <w:r>
              <w:rPr>
                <w:rFonts w:ascii="Times New Roman" w:hAnsi="Times New Roman" w:eastAsia="仿宋_GB2312"/>
                <w:sz w:val="24"/>
                <w:szCs w:val="24"/>
              </w:rPr>
              <w:t>2</w:t>
            </w:r>
            <w:r>
              <w:rPr>
                <w:rFonts w:ascii="仿宋_GB2312" w:hAnsi="仿宋" w:eastAsia="仿宋_GB2312"/>
                <w:sz w:val="24"/>
                <w:szCs w:val="24"/>
              </w:rPr>
              <w:t>]</w:t>
            </w:r>
          </w:p>
        </w:tc>
        <w:tc>
          <w:tcPr>
            <w:tcW w:w="1080" w:type="dxa"/>
          </w:tcPr>
          <w:p w14:paraId="3378CD01">
            <w:pPr>
              <w:rPr>
                <w:rFonts w:hint="eastAsia" w:ascii="仿宋_GB2312" w:hAnsi="仿宋" w:eastAsia="仿宋_GB2312"/>
                <w:sz w:val="24"/>
                <w:szCs w:val="24"/>
              </w:rPr>
            </w:pPr>
            <w:r>
              <w:rPr>
                <w:rFonts w:ascii="仿宋_GB2312" w:hAnsi="仿宋" w:eastAsia="仿宋_GB2312"/>
                <w:sz w:val="24"/>
                <w:szCs w:val="24"/>
              </w:rPr>
              <w:t>[</w:t>
            </w:r>
            <w:r>
              <w:rPr>
                <w:rFonts w:ascii="Times New Roman" w:hAnsi="Times New Roman" w:eastAsia="仿宋_GB2312"/>
                <w:sz w:val="24"/>
                <w:szCs w:val="24"/>
              </w:rPr>
              <w:t>2</w:t>
            </w:r>
            <w:r>
              <w:rPr>
                <w:rFonts w:ascii="仿宋_GB2312" w:hAnsi="仿宋" w:eastAsia="仿宋_GB2312"/>
                <w:sz w:val="24"/>
                <w:szCs w:val="24"/>
              </w:rPr>
              <w:t>]</w:t>
            </w:r>
            <w:r>
              <w:rPr>
                <w:rFonts w:hint="eastAsia" w:ascii="仿宋_GB2312" w:hAnsi="仿宋" w:eastAsia="仿宋_GB2312"/>
                <w:sz w:val="24"/>
                <w:szCs w:val="24"/>
              </w:rPr>
              <w:t>占总份额比例（</w:t>
            </w:r>
            <w:r>
              <w:rPr>
                <w:rFonts w:ascii="Times New Roman" w:hAnsi="Times New Roman" w:eastAsia="仿宋_GB2312"/>
                <w:sz w:val="24"/>
                <w:szCs w:val="24"/>
              </w:rPr>
              <w:t>%</w:t>
            </w:r>
            <w:r>
              <w:rPr>
                <w:rFonts w:hint="eastAsia" w:ascii="仿宋_GB2312" w:hAnsi="仿宋" w:eastAsia="仿宋_GB2312"/>
                <w:sz w:val="24"/>
                <w:szCs w:val="24"/>
              </w:rPr>
              <w:t>）</w:t>
            </w:r>
          </w:p>
        </w:tc>
        <w:tc>
          <w:tcPr>
            <w:tcW w:w="1080" w:type="dxa"/>
          </w:tcPr>
          <w:p w14:paraId="3C5D705C">
            <w:pPr>
              <w:rPr>
                <w:rFonts w:hint="eastAsia" w:ascii="仿宋_GB2312" w:hAnsi="仿宋" w:eastAsia="仿宋_GB2312"/>
                <w:sz w:val="24"/>
                <w:szCs w:val="24"/>
              </w:rPr>
            </w:pPr>
            <w:r>
              <w:rPr>
                <w:rFonts w:hint="eastAsia" w:ascii="仿宋_GB2312" w:hAnsi="仿宋" w:eastAsia="仿宋_GB2312"/>
                <w:sz w:val="24"/>
                <w:szCs w:val="24"/>
              </w:rPr>
              <w:t>持有份额数量合计</w:t>
            </w:r>
          </w:p>
          <w:p w14:paraId="67AC60D2">
            <w:pPr>
              <w:rPr>
                <w:rFonts w:hint="eastAsia" w:ascii="仿宋_GB2312" w:hAnsi="仿宋" w:eastAsia="仿宋_GB2312"/>
                <w:sz w:val="24"/>
                <w:szCs w:val="24"/>
              </w:rPr>
            </w:pPr>
            <w:r>
              <w:rPr>
                <w:rFonts w:hint="eastAsia" w:ascii="仿宋_GB2312" w:hAnsi="仿宋" w:eastAsia="仿宋_GB2312"/>
                <w:sz w:val="24"/>
                <w:szCs w:val="24"/>
              </w:rPr>
              <w:t>（份）</w:t>
            </w:r>
            <w:r>
              <w:rPr>
                <w:rFonts w:ascii="仿宋_GB2312" w:hAnsi="仿宋" w:eastAsia="仿宋_GB2312"/>
                <w:sz w:val="24"/>
                <w:szCs w:val="24"/>
              </w:rPr>
              <w:t>[</w:t>
            </w:r>
            <w:r>
              <w:rPr>
                <w:rFonts w:ascii="Times New Roman" w:hAnsi="Times New Roman" w:eastAsia="仿宋_GB2312"/>
                <w:sz w:val="24"/>
                <w:szCs w:val="24"/>
              </w:rPr>
              <w:t>3</w:t>
            </w:r>
            <w:r>
              <w:rPr>
                <w:rFonts w:ascii="仿宋_GB2312" w:hAnsi="仿宋" w:eastAsia="仿宋_GB2312"/>
                <w:sz w:val="24"/>
                <w:szCs w:val="24"/>
              </w:rPr>
              <w:t>]</w:t>
            </w:r>
          </w:p>
        </w:tc>
        <w:tc>
          <w:tcPr>
            <w:tcW w:w="1260" w:type="dxa"/>
          </w:tcPr>
          <w:p w14:paraId="5B0B4B9A">
            <w:pPr>
              <w:rPr>
                <w:rFonts w:hint="eastAsia" w:ascii="仿宋_GB2312" w:hAnsi="仿宋" w:eastAsia="仿宋_GB2312"/>
                <w:sz w:val="24"/>
                <w:szCs w:val="24"/>
              </w:rPr>
            </w:pPr>
            <w:r>
              <w:rPr>
                <w:rFonts w:ascii="仿宋_GB2312" w:hAnsi="仿宋" w:eastAsia="仿宋_GB2312"/>
                <w:sz w:val="24"/>
                <w:szCs w:val="24"/>
              </w:rPr>
              <w:t>[</w:t>
            </w:r>
            <w:r>
              <w:rPr>
                <w:rFonts w:ascii="Times New Roman" w:hAnsi="Times New Roman" w:eastAsia="仿宋_GB2312"/>
                <w:sz w:val="24"/>
                <w:szCs w:val="24"/>
              </w:rPr>
              <w:t>3</w:t>
            </w:r>
            <w:r>
              <w:rPr>
                <w:rFonts w:ascii="仿宋_GB2312" w:hAnsi="仿宋" w:eastAsia="仿宋_GB2312"/>
                <w:sz w:val="24"/>
                <w:szCs w:val="24"/>
              </w:rPr>
              <w:t>]</w:t>
            </w:r>
            <w:r>
              <w:rPr>
                <w:rFonts w:hint="eastAsia" w:ascii="仿宋_GB2312" w:hAnsi="仿宋" w:eastAsia="仿宋_GB2312"/>
                <w:sz w:val="24"/>
                <w:szCs w:val="24"/>
              </w:rPr>
              <w:t>占总份额比例（</w:t>
            </w:r>
            <w:r>
              <w:rPr>
                <w:rFonts w:ascii="Times New Roman" w:hAnsi="Times New Roman" w:eastAsia="仿宋_GB2312"/>
                <w:sz w:val="24"/>
                <w:szCs w:val="24"/>
              </w:rPr>
              <w:t>%</w:t>
            </w:r>
            <w:r>
              <w:rPr>
                <w:rFonts w:hint="eastAsia" w:ascii="仿宋_GB2312" w:hAnsi="仿宋" w:eastAsia="仿宋_GB2312"/>
                <w:sz w:val="24"/>
                <w:szCs w:val="24"/>
              </w:rPr>
              <w:t>）</w:t>
            </w:r>
          </w:p>
        </w:tc>
      </w:tr>
      <w:tr w14:paraId="6FB942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9" w:type="dxa"/>
          </w:tcPr>
          <w:p w14:paraId="16C4E89D">
            <w:pPr>
              <w:rPr>
                <w:rFonts w:hint="eastAsia" w:ascii="仿宋_GB2312" w:hAnsi="仿宋" w:eastAsia="仿宋_GB2312"/>
                <w:sz w:val="24"/>
                <w:szCs w:val="24"/>
              </w:rPr>
            </w:pPr>
          </w:p>
        </w:tc>
        <w:tc>
          <w:tcPr>
            <w:tcW w:w="1664" w:type="dxa"/>
          </w:tcPr>
          <w:p w14:paraId="1B1C8330">
            <w:pPr>
              <w:rPr>
                <w:rFonts w:hint="eastAsia" w:ascii="仿宋_GB2312" w:hAnsi="仿宋" w:eastAsia="仿宋_GB2312"/>
                <w:sz w:val="24"/>
                <w:szCs w:val="24"/>
              </w:rPr>
            </w:pPr>
          </w:p>
        </w:tc>
        <w:tc>
          <w:tcPr>
            <w:tcW w:w="1228" w:type="dxa"/>
          </w:tcPr>
          <w:p w14:paraId="2FE18C19">
            <w:pPr>
              <w:rPr>
                <w:rFonts w:hint="eastAsia" w:ascii="仿宋_GB2312" w:hAnsi="仿宋" w:eastAsia="仿宋_GB2312"/>
                <w:sz w:val="24"/>
                <w:szCs w:val="24"/>
              </w:rPr>
            </w:pPr>
          </w:p>
        </w:tc>
        <w:tc>
          <w:tcPr>
            <w:tcW w:w="1257" w:type="dxa"/>
          </w:tcPr>
          <w:p w14:paraId="7AC875BE">
            <w:pPr>
              <w:rPr>
                <w:rFonts w:hint="eastAsia" w:ascii="仿宋_GB2312" w:hAnsi="仿宋" w:eastAsia="仿宋_GB2312"/>
                <w:sz w:val="24"/>
                <w:szCs w:val="24"/>
              </w:rPr>
            </w:pPr>
          </w:p>
        </w:tc>
        <w:tc>
          <w:tcPr>
            <w:tcW w:w="1080" w:type="dxa"/>
          </w:tcPr>
          <w:p w14:paraId="7759F1FB">
            <w:pPr>
              <w:rPr>
                <w:rFonts w:hint="eastAsia" w:ascii="仿宋_GB2312" w:hAnsi="仿宋" w:eastAsia="仿宋_GB2312"/>
                <w:sz w:val="24"/>
                <w:szCs w:val="24"/>
              </w:rPr>
            </w:pPr>
          </w:p>
        </w:tc>
        <w:tc>
          <w:tcPr>
            <w:tcW w:w="1080" w:type="dxa"/>
          </w:tcPr>
          <w:p w14:paraId="50A5230B">
            <w:pPr>
              <w:rPr>
                <w:rFonts w:hint="eastAsia" w:ascii="仿宋_GB2312" w:hAnsi="仿宋" w:eastAsia="仿宋_GB2312"/>
                <w:sz w:val="24"/>
                <w:szCs w:val="24"/>
              </w:rPr>
            </w:pPr>
          </w:p>
        </w:tc>
        <w:tc>
          <w:tcPr>
            <w:tcW w:w="1260" w:type="dxa"/>
          </w:tcPr>
          <w:p w14:paraId="6A3E3662">
            <w:pPr>
              <w:rPr>
                <w:rFonts w:hint="eastAsia" w:ascii="仿宋_GB2312" w:hAnsi="仿宋" w:eastAsia="仿宋_GB2312"/>
                <w:sz w:val="24"/>
                <w:szCs w:val="24"/>
              </w:rPr>
            </w:pPr>
          </w:p>
        </w:tc>
      </w:tr>
      <w:tr w14:paraId="44AE20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9" w:type="dxa"/>
          </w:tcPr>
          <w:p w14:paraId="312D1D8E">
            <w:pPr>
              <w:rPr>
                <w:rFonts w:hint="eastAsia" w:ascii="仿宋_GB2312" w:hAnsi="仿宋" w:eastAsia="仿宋_GB2312"/>
                <w:sz w:val="24"/>
                <w:szCs w:val="24"/>
              </w:rPr>
            </w:pPr>
          </w:p>
        </w:tc>
        <w:tc>
          <w:tcPr>
            <w:tcW w:w="1664" w:type="dxa"/>
          </w:tcPr>
          <w:p w14:paraId="2AD39CA4">
            <w:pPr>
              <w:rPr>
                <w:rFonts w:hint="eastAsia" w:ascii="仿宋_GB2312" w:hAnsi="仿宋" w:eastAsia="仿宋_GB2312"/>
                <w:sz w:val="24"/>
                <w:szCs w:val="24"/>
              </w:rPr>
            </w:pPr>
          </w:p>
        </w:tc>
        <w:tc>
          <w:tcPr>
            <w:tcW w:w="1228" w:type="dxa"/>
          </w:tcPr>
          <w:p w14:paraId="132D0112">
            <w:pPr>
              <w:rPr>
                <w:rFonts w:hint="eastAsia" w:ascii="仿宋_GB2312" w:hAnsi="仿宋" w:eastAsia="仿宋_GB2312"/>
                <w:sz w:val="24"/>
                <w:szCs w:val="24"/>
              </w:rPr>
            </w:pPr>
          </w:p>
        </w:tc>
        <w:tc>
          <w:tcPr>
            <w:tcW w:w="1257" w:type="dxa"/>
          </w:tcPr>
          <w:p w14:paraId="408EB993">
            <w:pPr>
              <w:rPr>
                <w:rFonts w:hint="eastAsia" w:ascii="仿宋_GB2312" w:hAnsi="仿宋" w:eastAsia="仿宋_GB2312"/>
                <w:sz w:val="24"/>
                <w:szCs w:val="24"/>
              </w:rPr>
            </w:pPr>
          </w:p>
        </w:tc>
        <w:tc>
          <w:tcPr>
            <w:tcW w:w="1080" w:type="dxa"/>
          </w:tcPr>
          <w:p w14:paraId="3E72126C">
            <w:pPr>
              <w:rPr>
                <w:rFonts w:hint="eastAsia" w:ascii="仿宋_GB2312" w:hAnsi="仿宋" w:eastAsia="仿宋_GB2312"/>
                <w:sz w:val="24"/>
                <w:szCs w:val="24"/>
              </w:rPr>
            </w:pPr>
          </w:p>
        </w:tc>
        <w:tc>
          <w:tcPr>
            <w:tcW w:w="1080" w:type="dxa"/>
          </w:tcPr>
          <w:p w14:paraId="393980CB">
            <w:pPr>
              <w:rPr>
                <w:rFonts w:hint="eastAsia" w:ascii="仿宋_GB2312" w:hAnsi="仿宋" w:eastAsia="仿宋_GB2312"/>
                <w:sz w:val="24"/>
                <w:szCs w:val="24"/>
              </w:rPr>
            </w:pPr>
          </w:p>
        </w:tc>
        <w:tc>
          <w:tcPr>
            <w:tcW w:w="1260" w:type="dxa"/>
          </w:tcPr>
          <w:p w14:paraId="6E0EB121">
            <w:pPr>
              <w:rPr>
                <w:rFonts w:hint="eastAsia" w:ascii="仿宋_GB2312" w:hAnsi="仿宋" w:eastAsia="仿宋_GB2312"/>
                <w:sz w:val="24"/>
                <w:szCs w:val="24"/>
              </w:rPr>
            </w:pPr>
          </w:p>
        </w:tc>
      </w:tr>
      <w:tr w14:paraId="52427E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179" w:type="dxa"/>
          </w:tcPr>
          <w:p w14:paraId="67208192">
            <w:pPr>
              <w:rPr>
                <w:rFonts w:hint="eastAsia" w:ascii="仿宋_GB2312" w:hAnsi="仿宋" w:eastAsia="仿宋_GB2312"/>
                <w:sz w:val="24"/>
                <w:szCs w:val="24"/>
              </w:rPr>
            </w:pPr>
          </w:p>
        </w:tc>
        <w:tc>
          <w:tcPr>
            <w:tcW w:w="1664" w:type="dxa"/>
          </w:tcPr>
          <w:p w14:paraId="6517A00B">
            <w:pPr>
              <w:rPr>
                <w:rFonts w:hint="eastAsia" w:ascii="仿宋_GB2312" w:hAnsi="仿宋" w:eastAsia="仿宋_GB2312"/>
                <w:sz w:val="24"/>
                <w:szCs w:val="24"/>
              </w:rPr>
            </w:pPr>
          </w:p>
        </w:tc>
        <w:tc>
          <w:tcPr>
            <w:tcW w:w="1228" w:type="dxa"/>
          </w:tcPr>
          <w:p w14:paraId="5663B650">
            <w:pPr>
              <w:rPr>
                <w:rFonts w:hint="eastAsia" w:ascii="仿宋_GB2312" w:hAnsi="仿宋" w:eastAsia="仿宋_GB2312"/>
                <w:sz w:val="24"/>
                <w:szCs w:val="24"/>
              </w:rPr>
            </w:pPr>
          </w:p>
        </w:tc>
        <w:tc>
          <w:tcPr>
            <w:tcW w:w="1257" w:type="dxa"/>
          </w:tcPr>
          <w:p w14:paraId="4A55FF9E">
            <w:pPr>
              <w:rPr>
                <w:rFonts w:hint="eastAsia" w:ascii="仿宋_GB2312" w:hAnsi="仿宋" w:eastAsia="仿宋_GB2312"/>
                <w:sz w:val="24"/>
                <w:szCs w:val="24"/>
              </w:rPr>
            </w:pPr>
          </w:p>
        </w:tc>
        <w:tc>
          <w:tcPr>
            <w:tcW w:w="1080" w:type="dxa"/>
          </w:tcPr>
          <w:p w14:paraId="603C2118">
            <w:pPr>
              <w:rPr>
                <w:rFonts w:hint="eastAsia" w:ascii="仿宋_GB2312" w:hAnsi="仿宋" w:eastAsia="仿宋_GB2312"/>
                <w:sz w:val="24"/>
                <w:szCs w:val="24"/>
              </w:rPr>
            </w:pPr>
          </w:p>
        </w:tc>
        <w:tc>
          <w:tcPr>
            <w:tcW w:w="1080" w:type="dxa"/>
          </w:tcPr>
          <w:p w14:paraId="7DCE879B">
            <w:pPr>
              <w:rPr>
                <w:rFonts w:hint="eastAsia" w:ascii="仿宋_GB2312" w:hAnsi="仿宋" w:eastAsia="仿宋_GB2312"/>
                <w:sz w:val="24"/>
                <w:szCs w:val="24"/>
              </w:rPr>
            </w:pPr>
          </w:p>
        </w:tc>
        <w:tc>
          <w:tcPr>
            <w:tcW w:w="1260" w:type="dxa"/>
          </w:tcPr>
          <w:p w14:paraId="7735491B">
            <w:pPr>
              <w:rPr>
                <w:rFonts w:hint="eastAsia" w:ascii="仿宋_GB2312" w:hAnsi="仿宋" w:eastAsia="仿宋_GB2312"/>
                <w:sz w:val="24"/>
                <w:szCs w:val="24"/>
              </w:rPr>
            </w:pPr>
          </w:p>
        </w:tc>
      </w:tr>
      <w:tr w14:paraId="593440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9" w:type="dxa"/>
          </w:tcPr>
          <w:p w14:paraId="5BED926D">
            <w:pPr>
              <w:rPr>
                <w:rFonts w:hint="eastAsia" w:ascii="仿宋_GB2312" w:hAnsi="仿宋" w:eastAsia="仿宋_GB2312"/>
                <w:sz w:val="24"/>
                <w:szCs w:val="24"/>
              </w:rPr>
            </w:pPr>
          </w:p>
        </w:tc>
        <w:tc>
          <w:tcPr>
            <w:tcW w:w="1664" w:type="dxa"/>
          </w:tcPr>
          <w:p w14:paraId="441742A7">
            <w:pPr>
              <w:rPr>
                <w:rFonts w:hint="eastAsia" w:ascii="仿宋_GB2312" w:hAnsi="仿宋" w:eastAsia="仿宋_GB2312"/>
                <w:sz w:val="24"/>
                <w:szCs w:val="24"/>
              </w:rPr>
            </w:pPr>
          </w:p>
        </w:tc>
        <w:tc>
          <w:tcPr>
            <w:tcW w:w="1228" w:type="dxa"/>
          </w:tcPr>
          <w:p w14:paraId="4B64DF74">
            <w:pPr>
              <w:rPr>
                <w:rFonts w:hint="eastAsia" w:ascii="仿宋_GB2312" w:hAnsi="仿宋" w:eastAsia="仿宋_GB2312"/>
                <w:sz w:val="24"/>
                <w:szCs w:val="24"/>
              </w:rPr>
            </w:pPr>
          </w:p>
        </w:tc>
        <w:tc>
          <w:tcPr>
            <w:tcW w:w="1257" w:type="dxa"/>
          </w:tcPr>
          <w:p w14:paraId="77DD365C">
            <w:pPr>
              <w:rPr>
                <w:rFonts w:hint="eastAsia" w:ascii="仿宋_GB2312" w:hAnsi="仿宋" w:eastAsia="仿宋_GB2312"/>
                <w:sz w:val="24"/>
                <w:szCs w:val="24"/>
              </w:rPr>
            </w:pPr>
          </w:p>
        </w:tc>
        <w:tc>
          <w:tcPr>
            <w:tcW w:w="1080" w:type="dxa"/>
          </w:tcPr>
          <w:p w14:paraId="7C7B63B9">
            <w:pPr>
              <w:rPr>
                <w:rFonts w:hint="eastAsia" w:ascii="仿宋_GB2312" w:hAnsi="仿宋" w:eastAsia="仿宋_GB2312"/>
                <w:sz w:val="24"/>
                <w:szCs w:val="24"/>
              </w:rPr>
            </w:pPr>
          </w:p>
        </w:tc>
        <w:tc>
          <w:tcPr>
            <w:tcW w:w="1080" w:type="dxa"/>
          </w:tcPr>
          <w:p w14:paraId="24ADBD99">
            <w:pPr>
              <w:rPr>
                <w:rFonts w:hint="eastAsia" w:ascii="仿宋_GB2312" w:hAnsi="仿宋" w:eastAsia="仿宋_GB2312"/>
                <w:sz w:val="24"/>
                <w:szCs w:val="24"/>
              </w:rPr>
            </w:pPr>
          </w:p>
        </w:tc>
        <w:tc>
          <w:tcPr>
            <w:tcW w:w="1260" w:type="dxa"/>
          </w:tcPr>
          <w:p w14:paraId="384F6721">
            <w:pPr>
              <w:rPr>
                <w:rFonts w:hint="eastAsia" w:ascii="仿宋_GB2312" w:hAnsi="仿宋" w:eastAsia="仿宋_GB2312"/>
                <w:sz w:val="24"/>
                <w:szCs w:val="24"/>
              </w:rPr>
            </w:pPr>
          </w:p>
        </w:tc>
      </w:tr>
      <w:tr w14:paraId="2AD54E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9" w:type="dxa"/>
          </w:tcPr>
          <w:p w14:paraId="44AC433A">
            <w:pPr>
              <w:rPr>
                <w:rFonts w:hint="eastAsia" w:ascii="仿宋_GB2312" w:hAnsi="仿宋" w:eastAsia="仿宋_GB2312"/>
                <w:sz w:val="24"/>
                <w:szCs w:val="24"/>
              </w:rPr>
            </w:pPr>
          </w:p>
        </w:tc>
        <w:tc>
          <w:tcPr>
            <w:tcW w:w="1664" w:type="dxa"/>
          </w:tcPr>
          <w:p w14:paraId="1F9BF492">
            <w:pPr>
              <w:rPr>
                <w:rFonts w:hint="eastAsia" w:ascii="仿宋_GB2312" w:hAnsi="仿宋" w:eastAsia="仿宋_GB2312"/>
                <w:sz w:val="24"/>
                <w:szCs w:val="24"/>
              </w:rPr>
            </w:pPr>
          </w:p>
        </w:tc>
        <w:tc>
          <w:tcPr>
            <w:tcW w:w="1228" w:type="dxa"/>
          </w:tcPr>
          <w:p w14:paraId="3D02391D">
            <w:pPr>
              <w:rPr>
                <w:rFonts w:hint="eastAsia" w:ascii="仿宋_GB2312" w:hAnsi="仿宋" w:eastAsia="仿宋_GB2312"/>
                <w:sz w:val="24"/>
                <w:szCs w:val="24"/>
              </w:rPr>
            </w:pPr>
          </w:p>
        </w:tc>
        <w:tc>
          <w:tcPr>
            <w:tcW w:w="1257" w:type="dxa"/>
          </w:tcPr>
          <w:p w14:paraId="1955F098">
            <w:pPr>
              <w:rPr>
                <w:rFonts w:hint="eastAsia" w:ascii="仿宋_GB2312" w:hAnsi="仿宋" w:eastAsia="仿宋_GB2312"/>
                <w:sz w:val="24"/>
                <w:szCs w:val="24"/>
              </w:rPr>
            </w:pPr>
          </w:p>
        </w:tc>
        <w:tc>
          <w:tcPr>
            <w:tcW w:w="1080" w:type="dxa"/>
          </w:tcPr>
          <w:p w14:paraId="10FBAFA5">
            <w:pPr>
              <w:rPr>
                <w:rFonts w:hint="eastAsia" w:ascii="仿宋_GB2312" w:hAnsi="仿宋" w:eastAsia="仿宋_GB2312"/>
                <w:sz w:val="24"/>
                <w:szCs w:val="24"/>
              </w:rPr>
            </w:pPr>
          </w:p>
        </w:tc>
        <w:tc>
          <w:tcPr>
            <w:tcW w:w="1080" w:type="dxa"/>
          </w:tcPr>
          <w:p w14:paraId="228DF7CD">
            <w:pPr>
              <w:rPr>
                <w:rFonts w:hint="eastAsia" w:ascii="仿宋_GB2312" w:hAnsi="仿宋" w:eastAsia="仿宋_GB2312"/>
                <w:sz w:val="24"/>
                <w:szCs w:val="24"/>
              </w:rPr>
            </w:pPr>
          </w:p>
        </w:tc>
        <w:tc>
          <w:tcPr>
            <w:tcW w:w="1260" w:type="dxa"/>
          </w:tcPr>
          <w:p w14:paraId="3B68496A">
            <w:pPr>
              <w:rPr>
                <w:rFonts w:hint="eastAsia" w:ascii="仿宋_GB2312" w:hAnsi="仿宋" w:eastAsia="仿宋_GB2312"/>
                <w:sz w:val="24"/>
                <w:szCs w:val="24"/>
              </w:rPr>
            </w:pPr>
          </w:p>
        </w:tc>
      </w:tr>
    </w:tbl>
    <w:p w14:paraId="542FCE5F">
      <w:pPr>
        <w:spacing w:line="360" w:lineRule="auto"/>
        <w:ind w:firstLine="480" w:firstLineChars="200"/>
        <w:rPr>
          <w:rFonts w:hint="eastAsia" w:ascii="仿宋_GB2312" w:hAnsi="仿宋" w:eastAsia="仿宋_GB2312"/>
          <w:sz w:val="24"/>
          <w:szCs w:val="24"/>
        </w:rPr>
      </w:pPr>
    </w:p>
    <w:p w14:paraId="490CF39E">
      <w:pPr>
        <w:spacing w:line="312" w:lineRule="auto"/>
        <w:ind w:firstLine="480" w:firstLineChars="200"/>
        <w:rPr>
          <w:rFonts w:hint="eastAsia" w:ascii="仿宋_GB2312" w:hAnsi="仿宋" w:eastAsia="仿宋_GB2312"/>
          <w:sz w:val="24"/>
          <w:szCs w:val="24"/>
        </w:rPr>
      </w:pPr>
      <w:r>
        <w:rPr>
          <w:rFonts w:hint="eastAsia" w:ascii="仿宋_GB2312" w:hAnsi="仿宋" w:eastAsia="仿宋_GB2312"/>
          <w:sz w:val="24"/>
          <w:szCs w:val="24"/>
        </w:rPr>
        <w:t>注意事项：公募</w:t>
      </w:r>
      <w:r>
        <w:rPr>
          <w:rFonts w:hint="eastAsia" w:ascii="Times New Roman" w:hAnsi="Times New Roman" w:eastAsia="仿宋_GB2312"/>
          <w:sz w:val="24"/>
          <w:szCs w:val="24"/>
        </w:rPr>
        <w:t>REITs</w:t>
      </w:r>
      <w:r>
        <w:rPr>
          <w:rFonts w:hint="eastAsia" w:ascii="仿宋_GB2312" w:hAnsi="仿宋" w:eastAsia="仿宋_GB2312"/>
          <w:sz w:val="24"/>
          <w:szCs w:val="24"/>
        </w:rPr>
        <w:t>上市前，基金管理人应当通过</w:t>
      </w:r>
      <w:r>
        <w:rPr>
          <w:rFonts w:hint="eastAsia" w:ascii="Times New Roman" w:hAnsi="Times New Roman" w:eastAsia="仿宋_GB2312"/>
          <w:sz w:val="24"/>
          <w:szCs w:val="24"/>
        </w:rPr>
        <w:t>REITs</w:t>
      </w:r>
      <w:r>
        <w:rPr>
          <w:rFonts w:hint="eastAsia" w:ascii="仿宋_GB2312" w:hAnsi="仿宋" w:eastAsia="仿宋_GB2312"/>
          <w:sz w:val="24"/>
          <w:szCs w:val="24"/>
        </w:rPr>
        <w:t>业务管理系统平台菜单</w:t>
      </w:r>
      <w:r>
        <w:rPr>
          <w:rFonts w:hint="eastAsia" w:ascii="仿宋_GB2312" w:hAnsi="仿宋" w:eastAsia="仿宋_GB2312" w:cs="宋体"/>
          <w:color w:val="000000"/>
          <w:kern w:val="0"/>
          <w:sz w:val="24"/>
        </w:rPr>
        <w:t>“在线填报-</w:t>
      </w:r>
      <w:r>
        <w:rPr>
          <w:rFonts w:hint="eastAsia" w:ascii="Times New Roman" w:hAnsi="Times New Roman" w:eastAsia="仿宋_GB2312" w:cs="宋体"/>
          <w:color w:val="000000"/>
          <w:kern w:val="0"/>
          <w:sz w:val="24"/>
        </w:rPr>
        <w:t>REITs</w:t>
      </w:r>
      <w:r>
        <w:rPr>
          <w:rFonts w:hint="eastAsia" w:ascii="仿宋_GB2312" w:hAnsi="仿宋" w:eastAsia="仿宋_GB2312" w:cs="宋体"/>
          <w:color w:val="000000"/>
          <w:kern w:val="0"/>
          <w:sz w:val="24"/>
        </w:rPr>
        <w:t>一致行动人”</w:t>
      </w:r>
      <w:r>
        <w:rPr>
          <w:rFonts w:hint="eastAsia" w:ascii="仿宋_GB2312" w:hAnsi="仿宋" w:eastAsia="仿宋_GB2312"/>
          <w:sz w:val="24"/>
          <w:szCs w:val="24"/>
        </w:rPr>
        <w:t>报送基金持有人及其一致行动人持有份额情况并持续维护。</w:t>
      </w:r>
    </w:p>
    <w:p w14:paraId="10EADDD3">
      <w:pPr>
        <w:spacing w:line="312" w:lineRule="auto"/>
        <w:ind w:firstLine="480" w:firstLineChars="200"/>
        <w:rPr>
          <w:rFonts w:hint="eastAsia" w:ascii="仿宋_GB2312" w:hAnsi="仿宋" w:eastAsia="仿宋_GB2312"/>
          <w:sz w:val="24"/>
          <w:szCs w:val="24"/>
        </w:rPr>
      </w:pPr>
      <w:r>
        <w:rPr>
          <w:rFonts w:hint="eastAsia" w:ascii="仿宋_GB2312" w:hAnsi="仿宋" w:eastAsia="仿宋_GB2312"/>
          <w:sz w:val="24"/>
          <w:szCs w:val="24"/>
        </w:rPr>
        <w:t>存在多组股东及其一致行动人的，应当分别填写本表。</w:t>
      </w:r>
    </w:p>
    <w:p w14:paraId="1D4CB0EF">
      <w:pPr>
        <w:spacing w:line="312" w:lineRule="auto"/>
        <w:jc w:val="right"/>
        <w:rPr>
          <w:rFonts w:hint="eastAsia" w:ascii="Times New Roman" w:hAnsi="Times New Roman" w:eastAsia="仿宋_GB2312"/>
          <w:sz w:val="24"/>
          <w:szCs w:val="24"/>
        </w:rPr>
      </w:pPr>
      <w:r>
        <w:rPr>
          <w:rFonts w:hint="eastAsia" w:ascii="Times New Roman" w:hAnsi="Times New Roman" w:eastAsia="仿宋_GB2312"/>
          <w:sz w:val="24"/>
          <w:szCs w:val="24"/>
        </w:rPr>
        <w:t>**基金管理有限公司（加盖公章）</w:t>
      </w:r>
    </w:p>
    <w:p w14:paraId="222C8D07">
      <w:pPr>
        <w:spacing w:line="312" w:lineRule="auto"/>
        <w:jc w:val="right"/>
        <w:rPr>
          <w:rFonts w:ascii="Times New Roman" w:hAnsi="Times New Roman" w:eastAsia="仿宋_GB2312"/>
          <w:sz w:val="24"/>
          <w:szCs w:val="24"/>
        </w:rPr>
      </w:pPr>
      <w:r>
        <w:rPr>
          <w:rFonts w:hint="eastAsia" w:ascii="Times New Roman" w:hAnsi="Times New Roman" w:eastAsia="仿宋_GB2312"/>
          <w:sz w:val="24"/>
          <w:szCs w:val="24"/>
        </w:rPr>
        <w:t>**年**月**日</w:t>
      </w:r>
    </w:p>
    <w:p w14:paraId="222B14F8">
      <w:pPr>
        <w:jc w:val="left"/>
        <w:rPr>
          <w:rFonts w:ascii="Times New Roman" w:hAnsi="Times New Roman" w:eastAsia="仿宋_GB2312"/>
          <w:sz w:val="24"/>
          <w:szCs w:val="24"/>
        </w:rPr>
      </w:pPr>
      <w:r>
        <w:rPr>
          <w:rFonts w:ascii="Times New Roman" w:hAnsi="Times New Roman" w:eastAsia="仿宋_GB2312"/>
          <w:sz w:val="24"/>
          <w:szCs w:val="24"/>
        </w:rPr>
        <w:br w:type="page"/>
      </w:r>
    </w:p>
    <w:p w14:paraId="73BE0C04">
      <w:pPr>
        <w:spacing w:after="156" w:afterLines="50" w:line="360" w:lineRule="auto"/>
        <w:outlineLvl w:val="2"/>
        <w:rPr>
          <w:rFonts w:hint="eastAsia" w:ascii="宋体" w:hAnsi="宋体"/>
          <w:b/>
          <w:sz w:val="24"/>
        </w:rPr>
      </w:pPr>
      <w:bookmarkStart w:id="1466" w:name="_Toc62991000"/>
      <w:bookmarkStart w:id="1467" w:name="_Toc1696593449"/>
      <w:bookmarkStart w:id="1468" w:name="_Toc1255809223"/>
      <w:bookmarkStart w:id="1469" w:name="_Toc417891282"/>
      <w:bookmarkStart w:id="1470" w:name="_Toc95776952"/>
      <w:bookmarkStart w:id="1471" w:name="_Toc1125933562"/>
      <w:bookmarkStart w:id="1472" w:name="_Toc5948"/>
      <w:bookmarkStart w:id="1473" w:name="_Toc65181458"/>
      <w:bookmarkStart w:id="1474" w:name="_Toc583499030"/>
      <w:bookmarkStart w:id="1475" w:name="_Toc1499765968"/>
      <w:bookmarkStart w:id="1476" w:name="_Toc70604260"/>
      <w:r>
        <w:rPr>
          <w:rFonts w:hint="eastAsia" w:ascii="宋体" w:hAnsi="宋体"/>
          <w:b/>
          <w:sz w:val="24"/>
        </w:rPr>
        <w:t>附件</w:t>
      </w:r>
      <w:r>
        <w:rPr>
          <w:rFonts w:hint="eastAsia" w:ascii="Times New Roman" w:hAnsi="Times New Roman"/>
          <w:b/>
          <w:sz w:val="24"/>
        </w:rPr>
        <w:t>1</w:t>
      </w:r>
      <w:r>
        <w:rPr>
          <w:rFonts w:hint="eastAsia" w:ascii="宋体" w:hAnsi="宋体"/>
          <w:b/>
          <w:sz w:val="24"/>
        </w:rPr>
        <w:t>-</w:t>
      </w:r>
      <w:r>
        <w:rPr>
          <w:rFonts w:hint="eastAsia" w:ascii="Times New Roman" w:hAnsi="Times New Roman"/>
          <w:b/>
          <w:sz w:val="24"/>
        </w:rPr>
        <w:t>17</w:t>
      </w:r>
      <w:r>
        <w:rPr>
          <w:rFonts w:hint="eastAsia" w:ascii="宋体" w:hAnsi="宋体"/>
          <w:b/>
          <w:sz w:val="24"/>
        </w:rPr>
        <w:t>：</w:t>
      </w:r>
      <w:bookmarkEnd w:id="1466"/>
      <w:r>
        <w:rPr>
          <w:rFonts w:hint="eastAsia" w:ascii="宋体" w:hAnsi="宋体"/>
          <w:b/>
          <w:sz w:val="24"/>
        </w:rPr>
        <w:t>持有人结构申报表</w:t>
      </w:r>
      <w:bookmarkEnd w:id="1467"/>
      <w:bookmarkEnd w:id="1468"/>
      <w:bookmarkEnd w:id="1469"/>
      <w:bookmarkEnd w:id="1470"/>
      <w:bookmarkEnd w:id="1471"/>
      <w:bookmarkEnd w:id="1472"/>
      <w:bookmarkEnd w:id="1473"/>
      <w:bookmarkEnd w:id="1474"/>
      <w:bookmarkEnd w:id="1475"/>
      <w:bookmarkEnd w:id="1476"/>
    </w:p>
    <w:p w14:paraId="5CDFDC54">
      <w:pPr>
        <w:spacing w:line="360" w:lineRule="auto"/>
        <w:jc w:val="center"/>
        <w:rPr>
          <w:rFonts w:hint="eastAsia" w:ascii="黑体" w:hAnsi="黑体" w:eastAsia="黑体"/>
          <w:b/>
          <w:sz w:val="30"/>
          <w:szCs w:val="30"/>
        </w:rPr>
      </w:pPr>
      <w:r>
        <w:rPr>
          <w:rFonts w:hint="eastAsia" w:ascii="黑体" w:hAnsi="黑体" w:eastAsia="黑体"/>
          <w:b/>
          <w:sz w:val="30"/>
          <w:szCs w:val="30"/>
        </w:rPr>
        <w:t>上证公募</w:t>
      </w:r>
      <w:r>
        <w:rPr>
          <w:rFonts w:hint="eastAsia" w:ascii="Times New Roman" w:hAnsi="Times New Roman" w:eastAsia="黑体"/>
          <w:b/>
          <w:sz w:val="30"/>
          <w:szCs w:val="30"/>
        </w:rPr>
        <w:t>REITs</w:t>
      </w:r>
      <w:r>
        <w:rPr>
          <w:rFonts w:hint="eastAsia" w:ascii="黑体" w:hAnsi="黑体" w:eastAsia="黑体"/>
          <w:b/>
          <w:sz w:val="30"/>
          <w:szCs w:val="30"/>
        </w:rPr>
        <w:t>持有人结构申报表</w:t>
      </w:r>
    </w:p>
    <w:p w14:paraId="13146B7E">
      <w:pPr>
        <w:spacing w:line="360" w:lineRule="auto"/>
        <w:rPr>
          <w:rFonts w:ascii="仿宋_GB2312" w:eastAsia="仿宋_GB2312"/>
          <w:sz w:val="24"/>
          <w:szCs w:val="24"/>
        </w:rPr>
      </w:pPr>
      <w:r>
        <w:rPr>
          <w:rFonts w:hint="eastAsia" w:ascii="仿宋_GB2312" w:eastAsia="仿宋_GB2312"/>
          <w:sz w:val="24"/>
          <w:szCs w:val="24"/>
        </w:rPr>
        <w:t xml:space="preserve">管 理 人： </w:t>
      </w:r>
    </w:p>
    <w:p w14:paraId="116C869C">
      <w:pPr>
        <w:spacing w:line="360" w:lineRule="auto"/>
        <w:rPr>
          <w:rFonts w:ascii="仿宋_GB2312" w:eastAsia="仿宋_GB2312"/>
          <w:sz w:val="24"/>
          <w:szCs w:val="24"/>
        </w:rPr>
      </w:pPr>
      <w:r>
        <w:rPr>
          <w:rFonts w:hint="eastAsia" w:ascii="仿宋_GB2312" w:eastAsia="仿宋_GB2312"/>
          <w:sz w:val="24"/>
          <w:szCs w:val="24"/>
        </w:rPr>
        <w:t xml:space="preserve">基金名称：                 </w:t>
      </w:r>
    </w:p>
    <w:p w14:paraId="0B74CD3E">
      <w:pPr>
        <w:spacing w:line="360" w:lineRule="auto"/>
        <w:rPr>
          <w:rFonts w:ascii="仿宋_GB2312" w:eastAsia="仿宋_GB2312"/>
          <w:sz w:val="24"/>
          <w:szCs w:val="24"/>
        </w:rPr>
      </w:pPr>
      <w:r>
        <w:rPr>
          <w:rFonts w:hint="eastAsia" w:ascii="仿宋_GB2312" w:eastAsia="仿宋_GB2312"/>
          <w:sz w:val="24"/>
          <w:szCs w:val="24"/>
        </w:rPr>
        <w:t xml:space="preserve">简    称：                       </w:t>
      </w:r>
    </w:p>
    <w:p w14:paraId="1AF26A57">
      <w:pPr>
        <w:spacing w:line="360" w:lineRule="auto"/>
        <w:rPr>
          <w:rFonts w:ascii="仿宋_GB2312" w:eastAsia="仿宋_GB2312"/>
          <w:sz w:val="24"/>
          <w:szCs w:val="24"/>
        </w:rPr>
      </w:pPr>
      <w:r>
        <w:rPr>
          <w:rFonts w:hint="eastAsia" w:ascii="仿宋_GB2312" w:eastAsia="仿宋_GB2312"/>
          <w:sz w:val="24"/>
          <w:szCs w:val="24"/>
        </w:rPr>
        <w:t>代    码：</w:t>
      </w:r>
    </w:p>
    <w:tbl>
      <w:tblPr>
        <w:tblStyle w:val="15"/>
        <w:tblW w:w="847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72"/>
      </w:tblGrid>
      <w:tr w14:paraId="2B0172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72" w:type="dxa"/>
          </w:tcPr>
          <w:p w14:paraId="60E64287">
            <w:pPr>
              <w:spacing w:line="360" w:lineRule="auto"/>
              <w:ind w:firstLine="480" w:firstLineChars="200"/>
              <w:rPr>
                <w:rFonts w:ascii="仿宋_GB2312" w:eastAsia="仿宋_GB2312"/>
                <w:sz w:val="24"/>
                <w:szCs w:val="24"/>
              </w:rPr>
            </w:pPr>
          </w:p>
          <w:p w14:paraId="7C931459">
            <w:pPr>
              <w:spacing w:line="360" w:lineRule="auto"/>
              <w:ind w:firstLine="480" w:firstLineChars="200"/>
              <w:rPr>
                <w:rFonts w:ascii="仿宋_GB2312" w:eastAsia="仿宋_GB2312"/>
                <w:sz w:val="24"/>
                <w:szCs w:val="24"/>
              </w:rPr>
            </w:pPr>
            <w:r>
              <w:rPr>
                <w:rFonts w:hint="eastAsia" w:ascii="仿宋_GB2312" w:eastAsia="仿宋_GB2312"/>
                <w:sz w:val="24"/>
                <w:szCs w:val="24"/>
              </w:rPr>
              <w:t xml:space="preserve">我公司确认，截至 </w:t>
            </w:r>
            <w:r>
              <w:rPr>
                <w:rFonts w:hint="eastAsia" w:ascii="仿宋_GB2312" w:eastAsia="仿宋_GB2312"/>
                <w:sz w:val="24"/>
                <w:szCs w:val="24"/>
                <w:u w:val="single"/>
              </w:rPr>
              <w:t xml:space="preserve">        </w:t>
            </w:r>
            <w:r>
              <w:rPr>
                <w:rFonts w:hint="eastAsia" w:ascii="仿宋_GB2312" w:eastAsia="仿宋_GB2312"/>
                <w:sz w:val="24"/>
                <w:szCs w:val="24"/>
              </w:rPr>
              <w:t>年</w:t>
            </w:r>
            <w:r>
              <w:rPr>
                <w:rFonts w:hint="eastAsia" w:ascii="仿宋_GB2312" w:eastAsia="仿宋_GB2312"/>
                <w:sz w:val="24"/>
                <w:szCs w:val="24"/>
                <w:u w:val="single"/>
              </w:rPr>
              <w:t xml:space="preserve">    </w:t>
            </w:r>
            <w:r>
              <w:rPr>
                <w:rFonts w:hint="eastAsia" w:ascii="仿宋_GB2312" w:eastAsia="仿宋_GB2312"/>
                <w:sz w:val="24"/>
                <w:szCs w:val="24"/>
              </w:rPr>
              <w:t>月</w:t>
            </w:r>
            <w:r>
              <w:rPr>
                <w:rFonts w:hint="eastAsia" w:ascii="仿宋_GB2312" w:eastAsia="仿宋_GB2312"/>
                <w:sz w:val="24"/>
                <w:szCs w:val="24"/>
                <w:u w:val="single"/>
              </w:rPr>
              <w:t xml:space="preserve">    </w:t>
            </w:r>
            <w:r>
              <w:rPr>
                <w:rFonts w:hint="eastAsia" w:ascii="仿宋_GB2312" w:eastAsia="仿宋_GB2312"/>
                <w:sz w:val="24"/>
                <w:szCs w:val="24"/>
              </w:rPr>
              <w:t>日，基金持有人结构为：</w:t>
            </w:r>
          </w:p>
          <w:p w14:paraId="31809C55">
            <w:pPr>
              <w:spacing w:line="360" w:lineRule="auto"/>
              <w:ind w:firstLine="480" w:firstLineChars="200"/>
              <w:rPr>
                <w:rFonts w:ascii="仿宋_GB2312" w:eastAsia="仿宋_GB2312"/>
                <w:sz w:val="24"/>
                <w:szCs w:val="24"/>
              </w:rPr>
            </w:pPr>
            <w:r>
              <w:rPr>
                <w:rFonts w:hint="eastAsia" w:ascii="仿宋_GB2312" w:eastAsia="仿宋_GB2312"/>
                <w:sz w:val="24"/>
                <w:szCs w:val="24"/>
              </w:rPr>
              <w:t xml:space="preserve">一、总规模 </w:t>
            </w:r>
            <w:r>
              <w:rPr>
                <w:rFonts w:hint="eastAsia" w:ascii="仿宋_GB2312" w:eastAsia="仿宋_GB2312"/>
                <w:sz w:val="24"/>
                <w:szCs w:val="24"/>
                <w:u w:val="single"/>
              </w:rPr>
              <w:t xml:space="preserve">               </w:t>
            </w:r>
            <w:r>
              <w:rPr>
                <w:rFonts w:hint="eastAsia" w:ascii="仿宋_GB2312" w:eastAsia="仿宋_GB2312"/>
                <w:sz w:val="24"/>
                <w:szCs w:val="24"/>
              </w:rPr>
              <w:t>（份基金单位）</w:t>
            </w:r>
          </w:p>
          <w:p w14:paraId="2DFA486A">
            <w:pPr>
              <w:spacing w:line="360" w:lineRule="auto"/>
              <w:ind w:firstLine="480" w:firstLineChars="200"/>
              <w:rPr>
                <w:rFonts w:ascii="仿宋_GB2312" w:eastAsia="仿宋_GB2312"/>
                <w:sz w:val="24"/>
                <w:szCs w:val="24"/>
              </w:rPr>
            </w:pPr>
            <w:r>
              <w:rPr>
                <w:rFonts w:hint="eastAsia" w:ascii="仿宋_GB2312" w:eastAsia="仿宋_GB2312"/>
                <w:sz w:val="24"/>
                <w:szCs w:val="24"/>
              </w:rPr>
              <w:t>场内投资者持有基金份额</w:t>
            </w:r>
            <w:r>
              <w:rPr>
                <w:rFonts w:hint="eastAsia" w:ascii="仿宋_GB2312" w:eastAsia="仿宋_GB2312"/>
                <w:sz w:val="24"/>
                <w:szCs w:val="24"/>
                <w:u w:val="single"/>
              </w:rPr>
              <w:t xml:space="preserve">                </w:t>
            </w:r>
            <w:r>
              <w:rPr>
                <w:rFonts w:hint="eastAsia" w:ascii="仿宋_GB2312" w:eastAsia="仿宋_GB2312"/>
                <w:sz w:val="24"/>
                <w:szCs w:val="24"/>
              </w:rPr>
              <w:t>（份基金单位），其中机构投资者持有基金份额</w:t>
            </w:r>
            <w:r>
              <w:rPr>
                <w:rFonts w:hint="eastAsia" w:ascii="仿宋_GB2312" w:eastAsia="仿宋_GB2312"/>
                <w:sz w:val="24"/>
                <w:szCs w:val="24"/>
                <w:u w:val="single"/>
              </w:rPr>
              <w:t xml:space="preserve">                   </w:t>
            </w:r>
            <w:r>
              <w:rPr>
                <w:rFonts w:hint="eastAsia" w:ascii="仿宋_GB2312" w:eastAsia="仿宋_GB2312"/>
                <w:sz w:val="24"/>
                <w:szCs w:val="24"/>
              </w:rPr>
              <w:t>（份基金单位），个人投资者持有基金份额</w:t>
            </w:r>
            <w:r>
              <w:rPr>
                <w:rFonts w:hint="eastAsia" w:ascii="仿宋_GB2312" w:eastAsia="仿宋_GB2312"/>
                <w:sz w:val="24"/>
                <w:szCs w:val="24"/>
                <w:u w:val="single"/>
              </w:rPr>
              <w:t xml:space="preserve">               </w:t>
            </w:r>
            <w:r>
              <w:rPr>
                <w:rFonts w:hint="eastAsia" w:ascii="仿宋_GB2312" w:eastAsia="仿宋_GB2312"/>
                <w:sz w:val="24"/>
                <w:szCs w:val="24"/>
              </w:rPr>
              <w:t>（份基金单位）。</w:t>
            </w:r>
          </w:p>
          <w:p w14:paraId="75B8D4AF">
            <w:pPr>
              <w:spacing w:line="360" w:lineRule="auto"/>
              <w:ind w:firstLine="480" w:firstLineChars="200"/>
              <w:rPr>
                <w:rFonts w:ascii="仿宋_GB2312" w:eastAsia="仿宋_GB2312"/>
                <w:sz w:val="24"/>
                <w:szCs w:val="24"/>
              </w:rPr>
            </w:pPr>
            <w:r>
              <w:rPr>
                <w:rFonts w:hint="eastAsia" w:ascii="仿宋_GB2312" w:eastAsia="仿宋_GB2312"/>
                <w:sz w:val="24"/>
                <w:szCs w:val="24"/>
              </w:rPr>
              <w:t>场外投资者持有基金份额</w:t>
            </w:r>
            <w:r>
              <w:rPr>
                <w:rFonts w:hint="eastAsia" w:ascii="仿宋_GB2312" w:eastAsia="仿宋_GB2312"/>
                <w:sz w:val="24"/>
                <w:szCs w:val="24"/>
                <w:u w:val="single"/>
              </w:rPr>
              <w:t xml:space="preserve">                 </w:t>
            </w:r>
            <w:r>
              <w:rPr>
                <w:rFonts w:hint="eastAsia" w:ascii="仿宋_GB2312" w:eastAsia="仿宋_GB2312"/>
                <w:sz w:val="24"/>
                <w:szCs w:val="24"/>
              </w:rPr>
              <w:t>（份基金单位），其中机构投资者持有基金份额</w:t>
            </w:r>
            <w:r>
              <w:rPr>
                <w:rFonts w:hint="eastAsia" w:ascii="仿宋_GB2312" w:eastAsia="仿宋_GB2312"/>
                <w:sz w:val="24"/>
                <w:szCs w:val="24"/>
                <w:u w:val="single"/>
              </w:rPr>
              <w:t xml:space="preserve">                 </w:t>
            </w:r>
            <w:r>
              <w:rPr>
                <w:rFonts w:hint="eastAsia" w:ascii="仿宋_GB2312" w:eastAsia="仿宋_GB2312"/>
                <w:sz w:val="24"/>
                <w:szCs w:val="24"/>
              </w:rPr>
              <w:t>（份基金单位），个人投资者持有基金份额</w:t>
            </w:r>
            <w:r>
              <w:rPr>
                <w:rFonts w:hint="eastAsia" w:ascii="仿宋_GB2312" w:eastAsia="仿宋_GB2312"/>
                <w:sz w:val="24"/>
                <w:szCs w:val="24"/>
                <w:u w:val="single"/>
              </w:rPr>
              <w:t xml:space="preserve">                </w:t>
            </w:r>
            <w:r>
              <w:rPr>
                <w:rFonts w:hint="eastAsia" w:ascii="仿宋_GB2312" w:eastAsia="仿宋_GB2312"/>
                <w:sz w:val="24"/>
                <w:szCs w:val="24"/>
              </w:rPr>
              <w:t>（份基金单位）。</w:t>
            </w:r>
          </w:p>
          <w:p w14:paraId="4EC43708">
            <w:pPr>
              <w:spacing w:line="360" w:lineRule="auto"/>
              <w:ind w:firstLine="480" w:firstLineChars="200"/>
              <w:rPr>
                <w:rFonts w:ascii="仿宋_GB2312" w:eastAsia="仿宋_GB2312"/>
                <w:sz w:val="24"/>
                <w:szCs w:val="24"/>
              </w:rPr>
            </w:pPr>
            <w:r>
              <w:rPr>
                <w:rFonts w:hint="eastAsia" w:ascii="仿宋_GB2312" w:eastAsia="仿宋_GB2312"/>
                <w:sz w:val="24"/>
                <w:szCs w:val="24"/>
              </w:rPr>
              <w:t>二、持有人总户数</w:t>
            </w:r>
            <w:r>
              <w:rPr>
                <w:rFonts w:hint="eastAsia" w:ascii="仿宋_GB2312" w:eastAsia="仿宋_GB2312"/>
                <w:sz w:val="24"/>
                <w:szCs w:val="24"/>
                <w:u w:val="single"/>
              </w:rPr>
              <w:t xml:space="preserve">        </w:t>
            </w:r>
            <w:r>
              <w:rPr>
                <w:rFonts w:hint="eastAsia" w:ascii="仿宋_GB2312" w:eastAsia="仿宋_GB2312"/>
                <w:sz w:val="24"/>
                <w:szCs w:val="24"/>
              </w:rPr>
              <w:t>（户）</w:t>
            </w:r>
          </w:p>
          <w:p w14:paraId="588018AE">
            <w:pPr>
              <w:spacing w:line="360" w:lineRule="auto"/>
              <w:ind w:firstLine="480" w:firstLineChars="200"/>
              <w:rPr>
                <w:rFonts w:ascii="仿宋_GB2312" w:eastAsia="仿宋_GB2312"/>
                <w:sz w:val="24"/>
                <w:szCs w:val="24"/>
              </w:rPr>
            </w:pPr>
            <w:r>
              <w:rPr>
                <w:rFonts w:hint="eastAsia" w:ascii="仿宋_GB2312" w:eastAsia="仿宋_GB2312"/>
                <w:sz w:val="24"/>
                <w:szCs w:val="24"/>
              </w:rPr>
              <w:t>场内持有人总户数</w:t>
            </w:r>
            <w:r>
              <w:rPr>
                <w:rFonts w:hint="eastAsia" w:ascii="仿宋_GB2312" w:eastAsia="仿宋_GB2312"/>
                <w:sz w:val="24"/>
                <w:szCs w:val="24"/>
                <w:u w:val="single"/>
              </w:rPr>
              <w:t xml:space="preserve">        </w:t>
            </w:r>
            <w:r>
              <w:rPr>
                <w:rFonts w:hint="eastAsia" w:ascii="仿宋_GB2312" w:eastAsia="仿宋_GB2312"/>
                <w:sz w:val="24"/>
                <w:szCs w:val="24"/>
              </w:rPr>
              <w:t>（户），场外持有人总户数</w:t>
            </w:r>
            <w:r>
              <w:rPr>
                <w:rFonts w:hint="eastAsia" w:ascii="仿宋_GB2312" w:eastAsia="仿宋_GB2312"/>
                <w:sz w:val="24"/>
                <w:szCs w:val="24"/>
                <w:u w:val="single"/>
              </w:rPr>
              <w:t xml:space="preserve">        </w:t>
            </w:r>
            <w:r>
              <w:rPr>
                <w:rFonts w:hint="eastAsia" w:ascii="仿宋_GB2312" w:eastAsia="仿宋_GB2312"/>
                <w:sz w:val="24"/>
                <w:szCs w:val="24"/>
              </w:rPr>
              <w:t>（户）。</w:t>
            </w:r>
          </w:p>
          <w:p w14:paraId="453F9ED5">
            <w:pPr>
              <w:spacing w:line="360" w:lineRule="auto"/>
              <w:ind w:firstLine="482" w:firstLineChars="200"/>
              <w:rPr>
                <w:rFonts w:ascii="仿宋_GB2312" w:eastAsia="仿宋_GB2312"/>
                <w:b/>
                <w:sz w:val="24"/>
                <w:szCs w:val="24"/>
              </w:rPr>
            </w:pPr>
          </w:p>
          <w:p w14:paraId="34BD2021">
            <w:pPr>
              <w:spacing w:line="360" w:lineRule="auto"/>
              <w:ind w:firstLine="482" w:firstLineChars="200"/>
              <w:rPr>
                <w:rFonts w:ascii="仿宋_GB2312" w:eastAsia="仿宋_GB2312"/>
                <w:b/>
                <w:sz w:val="24"/>
                <w:szCs w:val="24"/>
              </w:rPr>
            </w:pPr>
            <w:r>
              <w:rPr>
                <w:rFonts w:hint="eastAsia" w:ascii="仿宋_GB2312" w:eastAsia="仿宋_GB2312"/>
                <w:b/>
                <w:sz w:val="24"/>
                <w:szCs w:val="24"/>
              </w:rPr>
              <w:t>我公司承诺：上述基金持有人结构全面、真实、准确。</w:t>
            </w:r>
          </w:p>
          <w:p w14:paraId="56866828">
            <w:pPr>
              <w:spacing w:line="360" w:lineRule="auto"/>
              <w:ind w:firstLine="482" w:firstLineChars="200"/>
              <w:rPr>
                <w:rFonts w:ascii="仿宋_GB2312" w:eastAsia="仿宋_GB2312"/>
                <w:b/>
                <w:sz w:val="24"/>
                <w:szCs w:val="24"/>
              </w:rPr>
            </w:pPr>
          </w:p>
          <w:p w14:paraId="7D569C05">
            <w:pPr>
              <w:spacing w:line="360" w:lineRule="auto"/>
              <w:ind w:firstLine="4096" w:firstLineChars="1700"/>
              <w:rPr>
                <w:rFonts w:ascii="仿宋_GB2312" w:eastAsia="仿宋_GB2312"/>
                <w:b/>
                <w:sz w:val="24"/>
                <w:szCs w:val="24"/>
              </w:rPr>
            </w:pPr>
            <w:r>
              <w:rPr>
                <w:rFonts w:hint="eastAsia" w:ascii="仿宋_GB2312" w:eastAsia="仿宋_GB2312"/>
                <w:b/>
                <w:sz w:val="24"/>
                <w:szCs w:val="24"/>
              </w:rPr>
              <w:t>□管理人已设置</w:t>
            </w:r>
            <w:r>
              <w:rPr>
                <w:rFonts w:hint="eastAsia" w:ascii="Times New Roman" w:hAnsi="Times New Roman" w:eastAsia="仿宋_GB2312"/>
                <w:b/>
                <w:sz w:val="24"/>
                <w:szCs w:val="24"/>
              </w:rPr>
              <w:t>044</w:t>
            </w:r>
            <w:r>
              <w:rPr>
                <w:rFonts w:hint="eastAsia" w:ascii="仿宋_GB2312" w:eastAsia="仿宋_GB2312"/>
                <w:b/>
                <w:sz w:val="24"/>
                <w:szCs w:val="24"/>
              </w:rPr>
              <w:t>/</w:t>
            </w:r>
            <w:r>
              <w:rPr>
                <w:rFonts w:hint="eastAsia" w:ascii="Times New Roman" w:hAnsi="Times New Roman" w:eastAsia="仿宋_GB2312"/>
                <w:b/>
                <w:sz w:val="24"/>
                <w:szCs w:val="24"/>
              </w:rPr>
              <w:t>045</w:t>
            </w:r>
            <w:r>
              <w:rPr>
                <w:rFonts w:hint="eastAsia" w:ascii="仿宋_GB2312" w:eastAsia="仿宋_GB2312"/>
                <w:b/>
                <w:sz w:val="24"/>
                <w:szCs w:val="24"/>
              </w:rPr>
              <w:t>业务控制</w:t>
            </w:r>
          </w:p>
          <w:p w14:paraId="7EAC75AE">
            <w:pPr>
              <w:spacing w:line="360" w:lineRule="auto"/>
              <w:ind w:firstLine="900"/>
              <w:rPr>
                <w:rFonts w:ascii="仿宋_GB2312" w:eastAsia="仿宋_GB2312"/>
                <w:b/>
                <w:sz w:val="24"/>
                <w:szCs w:val="24"/>
              </w:rPr>
            </w:pPr>
            <w:r>
              <w:rPr>
                <w:rFonts w:hint="eastAsia" w:ascii="仿宋_GB2312" w:eastAsia="仿宋_GB2312"/>
                <w:sz w:val="24"/>
                <w:szCs w:val="24"/>
              </w:rPr>
              <w:t xml:space="preserve">                          </w:t>
            </w:r>
            <w:r>
              <w:rPr>
                <w:rFonts w:hint="eastAsia" w:ascii="仿宋_GB2312" w:eastAsia="仿宋_GB2312"/>
                <w:b/>
                <w:sz w:val="24"/>
                <w:szCs w:val="24"/>
              </w:rPr>
              <w:t>（中国结算勾选上框并盖章后此表生效）</w:t>
            </w:r>
          </w:p>
          <w:p w14:paraId="392B9CCE">
            <w:pPr>
              <w:spacing w:line="360" w:lineRule="auto"/>
              <w:ind w:left="6720" w:hanging="6720" w:hangingChars="2800"/>
              <w:rPr>
                <w:rFonts w:hint="eastAsia" w:ascii="仿宋_GB2312" w:hAnsi="宋体" w:eastAsia="仿宋_GB2312"/>
                <w:sz w:val="24"/>
                <w:szCs w:val="24"/>
              </w:rPr>
            </w:pPr>
            <w:r>
              <w:rPr>
                <w:rFonts w:hint="eastAsia" w:ascii="仿宋_GB2312" w:eastAsia="仿宋_GB2312"/>
                <w:sz w:val="24"/>
                <w:szCs w:val="24"/>
              </w:rPr>
              <w:t xml:space="preserve">          </w:t>
            </w:r>
            <w:r>
              <w:rPr>
                <w:rFonts w:hint="eastAsia" w:ascii="仿宋_GB2312" w:hAnsi="宋体" w:eastAsia="仿宋_GB2312"/>
                <w:sz w:val="24"/>
                <w:szCs w:val="24"/>
              </w:rPr>
              <w:t xml:space="preserve">             </w:t>
            </w:r>
          </w:p>
          <w:p w14:paraId="592B69C5">
            <w:pPr>
              <w:spacing w:line="360" w:lineRule="auto"/>
              <w:ind w:left="6720" w:hanging="6720" w:hangingChars="2800"/>
              <w:jc w:val="center"/>
              <w:rPr>
                <w:rFonts w:ascii="仿宋_GB2312" w:eastAsia="仿宋_GB2312"/>
                <w:sz w:val="24"/>
                <w:szCs w:val="24"/>
              </w:rPr>
            </w:pPr>
            <w:r>
              <w:rPr>
                <w:rFonts w:hint="eastAsia" w:ascii="仿宋_GB2312" w:hAnsi="宋体" w:eastAsia="仿宋_GB2312"/>
                <w:sz w:val="24"/>
                <w:szCs w:val="24"/>
              </w:rPr>
              <w:t xml:space="preserve">                  </w:t>
            </w:r>
            <w:r>
              <w:rPr>
                <w:rFonts w:hint="eastAsia" w:ascii="仿宋_GB2312" w:eastAsia="仿宋_GB2312"/>
                <w:sz w:val="24"/>
                <w:szCs w:val="24"/>
              </w:rPr>
              <w:t>公司                     中国结算基金业务部</w:t>
            </w:r>
          </w:p>
          <w:p w14:paraId="718589B9">
            <w:pPr>
              <w:spacing w:line="360" w:lineRule="auto"/>
              <w:rPr>
                <w:rFonts w:ascii="仿宋_GB2312" w:eastAsia="仿宋_GB2312"/>
                <w:sz w:val="24"/>
                <w:szCs w:val="24"/>
              </w:rPr>
            </w:pPr>
            <w:r>
              <w:rPr>
                <w:rFonts w:hint="eastAsia" w:ascii="仿宋_GB2312" w:eastAsia="仿宋_GB2312"/>
                <w:sz w:val="24"/>
                <w:szCs w:val="24"/>
              </w:rPr>
              <w:t xml:space="preserve">                   年  月  日                          年  月  日                                </w:t>
            </w:r>
          </w:p>
        </w:tc>
      </w:tr>
    </w:tbl>
    <w:p w14:paraId="7189A8D7">
      <w:pPr>
        <w:rPr>
          <w:szCs w:val="21"/>
        </w:rPr>
      </w:pPr>
      <w:r>
        <w:rPr>
          <w:rFonts w:hint="eastAsia"/>
          <w:szCs w:val="21"/>
        </w:rPr>
        <w:t>注：</w:t>
      </w:r>
    </w:p>
    <w:p w14:paraId="491F2FE6">
      <w:pPr>
        <w:ind w:left="210" w:leftChars="100"/>
        <w:rPr>
          <w:szCs w:val="21"/>
        </w:rPr>
      </w:pPr>
      <w:r>
        <w:rPr>
          <w:rFonts w:hint="eastAsia" w:ascii="Times New Roman" w:hAnsi="Times New Roman"/>
          <w:szCs w:val="21"/>
        </w:rPr>
        <w:t>1</w:t>
      </w:r>
      <w:r>
        <w:rPr>
          <w:rFonts w:hint="eastAsia"/>
          <w:szCs w:val="21"/>
        </w:rPr>
        <w:t>公募</w:t>
      </w:r>
      <w:r>
        <w:rPr>
          <w:rFonts w:hint="eastAsia" w:ascii="Times New Roman" w:hAnsi="Times New Roman"/>
          <w:szCs w:val="21"/>
        </w:rPr>
        <w:t>REITs</w:t>
      </w:r>
      <w:r>
        <w:rPr>
          <w:rFonts w:hint="eastAsia"/>
          <w:szCs w:val="21"/>
        </w:rPr>
        <w:t>向上交所申请上市需提交此表；</w:t>
      </w:r>
    </w:p>
    <w:p w14:paraId="4C7D64B1">
      <w:pPr>
        <w:ind w:left="210" w:leftChars="100"/>
        <w:rPr>
          <w:szCs w:val="21"/>
        </w:rPr>
      </w:pPr>
      <w:r>
        <w:rPr>
          <w:rFonts w:hint="eastAsia" w:ascii="Times New Roman" w:hAnsi="Times New Roman"/>
          <w:szCs w:val="21"/>
        </w:rPr>
        <w:t>2</w:t>
      </w:r>
      <w:r>
        <w:rPr>
          <w:rFonts w:hint="eastAsia"/>
          <w:szCs w:val="21"/>
        </w:rPr>
        <w:t>需不晚于截至日期导入禁止场内份额强制调整（</w:t>
      </w:r>
      <w:r>
        <w:rPr>
          <w:rFonts w:hint="eastAsia" w:ascii="Times New Roman" w:hAnsi="Times New Roman"/>
          <w:szCs w:val="21"/>
        </w:rPr>
        <w:t>044</w:t>
      </w:r>
      <w:r>
        <w:rPr>
          <w:rFonts w:hint="eastAsia"/>
          <w:szCs w:val="21"/>
        </w:rPr>
        <w:t>/</w:t>
      </w:r>
      <w:r>
        <w:rPr>
          <w:rFonts w:hint="eastAsia" w:ascii="Times New Roman" w:hAnsi="Times New Roman"/>
          <w:szCs w:val="21"/>
        </w:rPr>
        <w:t>045</w:t>
      </w:r>
      <w:r>
        <w:rPr>
          <w:rFonts w:hint="eastAsia"/>
          <w:szCs w:val="21"/>
        </w:rPr>
        <w:t>）业务控制；</w:t>
      </w:r>
    </w:p>
    <w:p w14:paraId="018CC7DA">
      <w:pPr>
        <w:ind w:left="210" w:leftChars="100"/>
        <w:rPr>
          <w:szCs w:val="21"/>
        </w:rPr>
      </w:pPr>
      <w:r>
        <w:rPr>
          <w:rFonts w:hint="eastAsia" w:ascii="Times New Roman" w:hAnsi="Times New Roman"/>
          <w:szCs w:val="21"/>
        </w:rPr>
        <w:t>3</w:t>
      </w:r>
      <w:r>
        <w:rPr>
          <w:rFonts w:hint="eastAsia"/>
          <w:szCs w:val="21"/>
        </w:rPr>
        <w:t>此表需于截至日期下一交易日</w:t>
      </w:r>
      <w:r>
        <w:rPr>
          <w:rFonts w:hint="eastAsia" w:ascii="Times New Roman" w:hAnsi="Times New Roman"/>
          <w:szCs w:val="21"/>
        </w:rPr>
        <w:t>10</w:t>
      </w:r>
      <w:r>
        <w:rPr>
          <w:rFonts w:hint="eastAsia"/>
          <w:szCs w:val="21"/>
        </w:rPr>
        <w:t>点前通过邮件发送至中国结算基金业务部相关业务人员；</w:t>
      </w:r>
    </w:p>
    <w:p w14:paraId="10DB98BE">
      <w:pPr>
        <w:ind w:left="210" w:leftChars="100"/>
        <w:rPr>
          <w:szCs w:val="21"/>
        </w:rPr>
      </w:pPr>
      <w:r>
        <w:rPr>
          <w:rFonts w:hint="eastAsia" w:ascii="Times New Roman" w:hAnsi="Times New Roman"/>
          <w:szCs w:val="21"/>
        </w:rPr>
        <w:t>4</w:t>
      </w:r>
      <w:r>
        <w:rPr>
          <w:rFonts w:hint="eastAsia"/>
          <w:szCs w:val="21"/>
        </w:rPr>
        <w:t>中国结算基金业务部于截至日期下一交易日核验此表。</w:t>
      </w:r>
      <w:r>
        <w:rPr>
          <w:rFonts w:hint="eastAsia"/>
          <w:szCs w:val="21"/>
        </w:rPr>
        <w:br w:type="page"/>
      </w:r>
    </w:p>
    <w:p w14:paraId="537F5A62">
      <w:pPr>
        <w:pStyle w:val="30"/>
        <w:numPr>
          <w:ilvl w:val="0"/>
          <w:numId w:val="66"/>
        </w:numPr>
        <w:spacing w:line="360" w:lineRule="auto"/>
        <w:ind w:firstLineChars="0"/>
        <w:outlineLvl w:val="1"/>
        <w:rPr>
          <w:rFonts w:hint="eastAsia" w:ascii="黑体" w:hAnsi="黑体" w:eastAsia="黑体"/>
          <w:b/>
          <w:sz w:val="32"/>
          <w:szCs w:val="32"/>
        </w:rPr>
      </w:pPr>
      <w:bookmarkStart w:id="1477" w:name="_Toc69804832"/>
      <w:bookmarkEnd w:id="1477"/>
      <w:bookmarkStart w:id="1478" w:name="_Toc69303803"/>
      <w:bookmarkEnd w:id="1478"/>
      <w:bookmarkStart w:id="1479" w:name="_Toc69303809"/>
      <w:bookmarkEnd w:id="1479"/>
      <w:bookmarkStart w:id="1480" w:name="_Toc69303806"/>
      <w:bookmarkEnd w:id="1480"/>
      <w:bookmarkStart w:id="1481" w:name="_Toc69804830"/>
      <w:bookmarkEnd w:id="1481"/>
      <w:bookmarkStart w:id="1482" w:name="_Toc69303805"/>
      <w:bookmarkEnd w:id="1482"/>
      <w:bookmarkStart w:id="1483" w:name="_Toc69804829"/>
      <w:bookmarkEnd w:id="1483"/>
      <w:bookmarkStart w:id="1484" w:name="_Toc69303808"/>
      <w:bookmarkEnd w:id="1484"/>
      <w:bookmarkStart w:id="1485" w:name="_Toc69804834"/>
      <w:bookmarkEnd w:id="1485"/>
      <w:bookmarkStart w:id="1486" w:name="_Toc69804828"/>
      <w:bookmarkEnd w:id="1486"/>
      <w:bookmarkStart w:id="1487" w:name="_Toc69804827"/>
      <w:bookmarkEnd w:id="1487"/>
      <w:bookmarkStart w:id="1488" w:name="_Toc69804833"/>
      <w:bookmarkEnd w:id="1488"/>
      <w:bookmarkStart w:id="1489" w:name="_Toc69303807"/>
      <w:bookmarkEnd w:id="1489"/>
      <w:bookmarkStart w:id="1490" w:name="_Toc69804831"/>
      <w:bookmarkEnd w:id="1490"/>
      <w:bookmarkStart w:id="1491" w:name="_Toc69303804"/>
      <w:bookmarkEnd w:id="1491"/>
      <w:bookmarkStart w:id="1492" w:name="_Toc69303802"/>
      <w:bookmarkEnd w:id="1492"/>
      <w:bookmarkStart w:id="1493" w:name="_Toc226527975"/>
      <w:bookmarkStart w:id="1494" w:name="_Toc344734440"/>
      <w:bookmarkStart w:id="1495" w:name="_Toc959283318"/>
      <w:bookmarkStart w:id="1496" w:name="_Toc1944667324"/>
      <w:bookmarkStart w:id="1497" w:name="_Toc1882491355"/>
      <w:bookmarkStart w:id="1498" w:name="_Toc70604261"/>
      <w:bookmarkStart w:id="1499" w:name="_Toc779047378"/>
      <w:bookmarkStart w:id="1500" w:name="_Toc635264140"/>
      <w:r>
        <w:rPr>
          <w:rFonts w:hint="eastAsia" w:ascii="黑体" w:hAnsi="黑体" w:eastAsia="黑体"/>
          <w:b/>
          <w:sz w:val="32"/>
          <w:szCs w:val="32"/>
        </w:rPr>
        <w:t>公告文件要素</w:t>
      </w:r>
      <w:bookmarkEnd w:id="1493"/>
      <w:bookmarkEnd w:id="1494"/>
      <w:bookmarkEnd w:id="1495"/>
      <w:bookmarkEnd w:id="1496"/>
      <w:bookmarkEnd w:id="1497"/>
      <w:bookmarkEnd w:id="1498"/>
      <w:bookmarkEnd w:id="1499"/>
      <w:bookmarkEnd w:id="1500"/>
    </w:p>
    <w:p w14:paraId="57BB5122">
      <w:pPr>
        <w:spacing w:after="156" w:afterLines="50" w:line="360" w:lineRule="auto"/>
        <w:outlineLvl w:val="2"/>
        <w:rPr>
          <w:rFonts w:hint="eastAsia" w:ascii="宋体" w:hAnsi="宋体"/>
          <w:b/>
          <w:sz w:val="24"/>
        </w:rPr>
      </w:pPr>
      <w:bookmarkStart w:id="1501" w:name="_Toc228490958"/>
      <w:bookmarkStart w:id="1502" w:name="_Toc1774338722"/>
      <w:bookmarkStart w:id="1503" w:name="_Toc70604262"/>
      <w:bookmarkStart w:id="1504" w:name="_Toc1123872122"/>
      <w:bookmarkStart w:id="1505" w:name="_Toc958475941"/>
      <w:bookmarkStart w:id="1506" w:name="_Toc397915367"/>
      <w:bookmarkStart w:id="1507" w:name="_Toc257254611"/>
      <w:bookmarkStart w:id="1508" w:name="_Toc1520784210"/>
      <w:r>
        <w:rPr>
          <w:rFonts w:hint="eastAsia" w:ascii="宋体" w:hAnsi="宋体"/>
          <w:b/>
          <w:sz w:val="24"/>
        </w:rPr>
        <w:t>附件</w:t>
      </w:r>
      <w:r>
        <w:rPr>
          <w:rFonts w:hint="eastAsia" w:ascii="Times New Roman" w:hAnsi="Times New Roman"/>
          <w:b/>
          <w:sz w:val="24"/>
        </w:rPr>
        <w:t>2</w:t>
      </w:r>
      <w:r>
        <w:rPr>
          <w:rFonts w:hint="eastAsia" w:ascii="宋体" w:hAnsi="宋体"/>
          <w:b/>
          <w:sz w:val="24"/>
        </w:rPr>
        <w:t>-</w:t>
      </w:r>
      <w:r>
        <w:rPr>
          <w:rFonts w:hint="eastAsia" w:ascii="Times New Roman" w:hAnsi="Times New Roman"/>
          <w:b/>
          <w:sz w:val="24"/>
        </w:rPr>
        <w:t>1</w:t>
      </w:r>
      <w:r>
        <w:rPr>
          <w:rFonts w:hint="eastAsia" w:ascii="宋体" w:hAnsi="宋体"/>
          <w:b/>
          <w:sz w:val="24"/>
        </w:rPr>
        <w:t>：</w:t>
      </w:r>
      <w:bookmarkStart w:id="1509" w:name="_Toc6271"/>
      <w:bookmarkStart w:id="1510" w:name="_Toc13121"/>
      <w:bookmarkStart w:id="1511" w:name="_Toc31879"/>
      <w:bookmarkStart w:id="1512" w:name="_Toc7280"/>
      <w:bookmarkStart w:id="1513" w:name="_Toc841"/>
      <w:bookmarkStart w:id="1514" w:name="_Toc10959"/>
      <w:bookmarkStart w:id="1515" w:name="_Toc22219"/>
      <w:bookmarkStart w:id="1516" w:name="_Toc26424"/>
      <w:r>
        <w:rPr>
          <w:rFonts w:hint="eastAsia" w:ascii="宋体" w:hAnsi="宋体"/>
          <w:b/>
          <w:sz w:val="24"/>
        </w:rPr>
        <w:t>《询价公告》必备要素</w:t>
      </w:r>
      <w:bookmarkEnd w:id="1501"/>
      <w:bookmarkEnd w:id="1502"/>
      <w:bookmarkEnd w:id="1503"/>
      <w:bookmarkEnd w:id="1504"/>
      <w:bookmarkEnd w:id="1505"/>
      <w:bookmarkEnd w:id="1506"/>
      <w:bookmarkEnd w:id="1507"/>
      <w:bookmarkEnd w:id="1508"/>
      <w:bookmarkEnd w:id="1509"/>
      <w:bookmarkEnd w:id="1510"/>
      <w:bookmarkEnd w:id="1511"/>
      <w:bookmarkEnd w:id="1512"/>
      <w:bookmarkEnd w:id="1513"/>
      <w:bookmarkEnd w:id="1514"/>
      <w:bookmarkEnd w:id="1515"/>
      <w:bookmarkEnd w:id="1516"/>
    </w:p>
    <w:p w14:paraId="48245A52">
      <w:pPr>
        <w:pStyle w:val="30"/>
        <w:spacing w:line="360" w:lineRule="auto"/>
        <w:ind w:firstLine="0" w:firstLineChars="0"/>
        <w:rPr>
          <w:rFonts w:hint="eastAsia" w:ascii="仿宋_GB2312" w:hAnsi="仿宋" w:eastAsia="仿宋_GB2312"/>
          <w:b/>
          <w:sz w:val="24"/>
          <w:szCs w:val="24"/>
        </w:rPr>
      </w:pPr>
      <w:r>
        <w:rPr>
          <w:rFonts w:hint="eastAsia" w:ascii="仿宋_GB2312" w:hAnsi="仿宋" w:eastAsia="仿宋_GB2312"/>
          <w:b/>
          <w:sz w:val="24"/>
          <w:szCs w:val="24"/>
        </w:rPr>
        <w:t>特别提示</w:t>
      </w:r>
    </w:p>
    <w:p w14:paraId="35A9D4E1">
      <w:pPr>
        <w:pStyle w:val="30"/>
        <w:spacing w:line="360" w:lineRule="auto"/>
        <w:ind w:firstLine="0" w:firstLineChars="0"/>
        <w:rPr>
          <w:rFonts w:hint="eastAsia" w:ascii="仿宋_GB2312" w:hAnsi="仿宋" w:eastAsia="仿宋_GB2312"/>
          <w:b/>
          <w:sz w:val="24"/>
          <w:szCs w:val="24"/>
        </w:rPr>
      </w:pPr>
      <w:r>
        <w:rPr>
          <w:rFonts w:hint="eastAsia" w:ascii="仿宋_GB2312" w:hAnsi="仿宋" w:eastAsia="仿宋_GB2312"/>
          <w:b/>
          <w:sz w:val="24"/>
          <w:szCs w:val="24"/>
        </w:rPr>
        <w:t>重要提示</w:t>
      </w:r>
    </w:p>
    <w:p w14:paraId="4F589474">
      <w:pPr>
        <w:pStyle w:val="30"/>
        <w:spacing w:line="360" w:lineRule="auto"/>
        <w:ind w:firstLine="0" w:firstLineChars="0"/>
        <w:rPr>
          <w:rFonts w:hint="eastAsia" w:ascii="仿宋_GB2312" w:hAnsi="仿宋" w:eastAsia="仿宋_GB2312"/>
          <w:b/>
          <w:sz w:val="24"/>
          <w:szCs w:val="24"/>
        </w:rPr>
      </w:pPr>
      <w:r>
        <w:rPr>
          <w:rFonts w:ascii="仿宋_GB2312" w:hAnsi="仿宋" w:eastAsia="仿宋_GB2312"/>
          <w:b/>
          <w:sz w:val="24"/>
          <w:szCs w:val="24"/>
        </w:rPr>
        <w:t>一、本次发售的基本情况</w:t>
      </w:r>
    </w:p>
    <w:p w14:paraId="14440261">
      <w:pPr>
        <w:pStyle w:val="30"/>
        <w:spacing w:line="360" w:lineRule="auto"/>
        <w:ind w:firstLine="0" w:firstLineChars="0"/>
        <w:rPr>
          <w:rFonts w:hint="eastAsia" w:ascii="仿宋_GB2312" w:hAnsi="仿宋" w:eastAsia="仿宋_GB2312"/>
          <w:sz w:val="24"/>
          <w:szCs w:val="24"/>
        </w:rPr>
      </w:pPr>
      <w:r>
        <w:rPr>
          <w:rFonts w:hint="eastAsia" w:ascii="仿宋_GB2312" w:hAnsi="仿宋" w:eastAsia="仿宋_GB2312"/>
          <w:sz w:val="24"/>
          <w:szCs w:val="24"/>
        </w:rPr>
        <w:t>（一）发售方式</w:t>
      </w:r>
    </w:p>
    <w:p w14:paraId="101C0DB8">
      <w:pPr>
        <w:pStyle w:val="30"/>
        <w:spacing w:line="360" w:lineRule="auto"/>
        <w:ind w:firstLine="0" w:firstLineChars="0"/>
        <w:rPr>
          <w:rFonts w:hint="eastAsia" w:ascii="仿宋_GB2312" w:hAnsi="仿宋" w:eastAsia="仿宋_GB2312"/>
          <w:sz w:val="24"/>
          <w:szCs w:val="24"/>
        </w:rPr>
      </w:pPr>
      <w:r>
        <w:rPr>
          <w:rFonts w:hint="eastAsia" w:ascii="仿宋_GB2312" w:hAnsi="仿宋" w:eastAsia="仿宋_GB2312"/>
          <w:sz w:val="24"/>
          <w:szCs w:val="24"/>
        </w:rPr>
        <w:t>（二）发售数量</w:t>
      </w:r>
    </w:p>
    <w:p w14:paraId="1F471474">
      <w:pPr>
        <w:pStyle w:val="30"/>
        <w:spacing w:line="360" w:lineRule="auto"/>
        <w:ind w:firstLine="0" w:firstLineChars="0"/>
        <w:rPr>
          <w:rFonts w:hint="eastAsia" w:ascii="仿宋_GB2312" w:hAnsi="仿宋" w:eastAsia="仿宋_GB2312"/>
          <w:sz w:val="24"/>
          <w:szCs w:val="24"/>
        </w:rPr>
      </w:pPr>
      <w:r>
        <w:rPr>
          <w:rFonts w:ascii="Times New Roman" w:hAnsi="Times New Roman" w:eastAsia="仿宋_GB2312"/>
          <w:sz w:val="24"/>
          <w:szCs w:val="24"/>
        </w:rPr>
        <w:t>1</w:t>
      </w:r>
      <w:r>
        <w:rPr>
          <w:rFonts w:ascii="仿宋_GB2312" w:hAnsi="仿宋" w:eastAsia="仿宋_GB2312"/>
          <w:sz w:val="24"/>
          <w:szCs w:val="24"/>
        </w:rPr>
        <w:t>、基金份额发售总量</w:t>
      </w:r>
    </w:p>
    <w:p w14:paraId="04E859FF">
      <w:pPr>
        <w:pStyle w:val="30"/>
        <w:spacing w:line="360" w:lineRule="auto"/>
        <w:ind w:firstLine="0" w:firstLineChars="0"/>
        <w:rPr>
          <w:rFonts w:hint="eastAsia" w:ascii="仿宋_GB2312" w:hAnsi="仿宋" w:eastAsia="仿宋_GB2312"/>
          <w:sz w:val="24"/>
          <w:szCs w:val="24"/>
        </w:rPr>
      </w:pPr>
      <w:r>
        <w:rPr>
          <w:rFonts w:ascii="Times New Roman" w:hAnsi="Times New Roman" w:eastAsia="仿宋_GB2312"/>
          <w:sz w:val="24"/>
          <w:szCs w:val="24"/>
        </w:rPr>
        <w:t>2</w:t>
      </w:r>
      <w:r>
        <w:rPr>
          <w:rFonts w:ascii="仿宋_GB2312" w:hAnsi="仿宋" w:eastAsia="仿宋_GB2312"/>
          <w:sz w:val="24"/>
          <w:szCs w:val="24"/>
        </w:rPr>
        <w:t>、战略配售、网下发售数量</w:t>
      </w:r>
    </w:p>
    <w:p w14:paraId="60D1336C">
      <w:pPr>
        <w:pStyle w:val="30"/>
        <w:spacing w:line="360" w:lineRule="auto"/>
        <w:ind w:firstLine="0" w:firstLineChars="0"/>
        <w:rPr>
          <w:rFonts w:hint="eastAsia" w:ascii="仿宋_GB2312" w:hAnsi="仿宋" w:eastAsia="仿宋_GB2312"/>
          <w:sz w:val="24"/>
          <w:szCs w:val="24"/>
        </w:rPr>
      </w:pPr>
      <w:r>
        <w:rPr>
          <w:rFonts w:hint="eastAsia" w:ascii="仿宋_GB2312" w:hAnsi="仿宋" w:eastAsia="仿宋_GB2312"/>
          <w:sz w:val="24"/>
          <w:szCs w:val="24"/>
        </w:rPr>
        <w:t>（三）定价方式</w:t>
      </w:r>
    </w:p>
    <w:p w14:paraId="54AEA162">
      <w:pPr>
        <w:pStyle w:val="30"/>
        <w:spacing w:line="360" w:lineRule="auto"/>
        <w:ind w:firstLine="0" w:firstLineChars="0"/>
        <w:rPr>
          <w:rFonts w:hint="eastAsia" w:ascii="仿宋_GB2312" w:hAnsi="仿宋" w:eastAsia="仿宋_GB2312"/>
          <w:sz w:val="24"/>
          <w:szCs w:val="24"/>
        </w:rPr>
      </w:pPr>
      <w:r>
        <w:rPr>
          <w:rFonts w:hint="eastAsia" w:ascii="仿宋_GB2312" w:hAnsi="仿宋" w:eastAsia="仿宋_GB2312"/>
          <w:sz w:val="24"/>
          <w:szCs w:val="24"/>
        </w:rPr>
        <w:t>（四）限售期安排</w:t>
      </w:r>
    </w:p>
    <w:p w14:paraId="4A71FCB3">
      <w:pPr>
        <w:pStyle w:val="30"/>
        <w:spacing w:line="360" w:lineRule="auto"/>
        <w:ind w:firstLine="0" w:firstLineChars="0"/>
        <w:rPr>
          <w:rFonts w:hint="eastAsia" w:ascii="仿宋_GB2312" w:hAnsi="仿宋" w:eastAsia="仿宋_GB2312"/>
          <w:sz w:val="24"/>
          <w:szCs w:val="24"/>
        </w:rPr>
      </w:pPr>
      <w:r>
        <w:rPr>
          <w:rFonts w:hint="eastAsia" w:ascii="仿宋_GB2312" w:hAnsi="仿宋" w:eastAsia="仿宋_GB2312"/>
          <w:sz w:val="24"/>
          <w:szCs w:val="24"/>
        </w:rPr>
        <w:t>（五）本次发售重要时间安排</w:t>
      </w:r>
    </w:p>
    <w:p w14:paraId="11F83F8A">
      <w:pPr>
        <w:pStyle w:val="30"/>
        <w:spacing w:line="360" w:lineRule="auto"/>
        <w:ind w:firstLine="0" w:firstLineChars="0"/>
        <w:rPr>
          <w:rFonts w:hint="eastAsia" w:ascii="仿宋_GB2312" w:hAnsi="仿宋" w:eastAsia="仿宋_GB2312"/>
          <w:sz w:val="24"/>
          <w:szCs w:val="24"/>
        </w:rPr>
      </w:pPr>
      <w:r>
        <w:rPr>
          <w:rFonts w:ascii="Times New Roman" w:hAnsi="Times New Roman" w:eastAsia="仿宋_GB2312"/>
          <w:sz w:val="24"/>
          <w:szCs w:val="24"/>
        </w:rPr>
        <w:t>1</w:t>
      </w:r>
      <w:r>
        <w:rPr>
          <w:rFonts w:ascii="仿宋_GB2312" w:hAnsi="仿宋" w:eastAsia="仿宋_GB2312"/>
          <w:sz w:val="24"/>
          <w:szCs w:val="24"/>
        </w:rPr>
        <w:t>、发售时间安排</w:t>
      </w:r>
    </w:p>
    <w:p w14:paraId="7BAA42CF">
      <w:pPr>
        <w:pStyle w:val="30"/>
        <w:spacing w:line="360" w:lineRule="auto"/>
        <w:ind w:firstLine="0" w:firstLineChars="0"/>
        <w:rPr>
          <w:rFonts w:hint="eastAsia" w:ascii="仿宋_GB2312" w:hAnsi="仿宋" w:eastAsia="仿宋_GB2312"/>
          <w:sz w:val="24"/>
          <w:szCs w:val="24"/>
        </w:rPr>
      </w:pPr>
      <w:r>
        <w:rPr>
          <w:rFonts w:ascii="Times New Roman" w:hAnsi="Times New Roman" w:eastAsia="仿宋_GB2312"/>
          <w:sz w:val="24"/>
          <w:szCs w:val="24"/>
        </w:rPr>
        <w:t>2</w:t>
      </w:r>
      <w:r>
        <w:rPr>
          <w:rFonts w:ascii="仿宋_GB2312" w:hAnsi="仿宋" w:eastAsia="仿宋_GB2312"/>
          <w:sz w:val="24"/>
          <w:szCs w:val="24"/>
        </w:rPr>
        <w:t>、本次发售路演推介安排</w:t>
      </w:r>
    </w:p>
    <w:p w14:paraId="4DD1E972">
      <w:pPr>
        <w:pStyle w:val="30"/>
        <w:spacing w:line="360" w:lineRule="auto"/>
        <w:ind w:firstLine="0" w:firstLineChars="0"/>
        <w:rPr>
          <w:rFonts w:hint="eastAsia" w:ascii="仿宋_GB2312" w:hAnsi="仿宋" w:eastAsia="仿宋_GB2312"/>
          <w:b/>
          <w:sz w:val="24"/>
          <w:szCs w:val="24"/>
        </w:rPr>
      </w:pPr>
      <w:r>
        <w:rPr>
          <w:rFonts w:hint="eastAsia" w:ascii="仿宋_GB2312" w:hAnsi="仿宋" w:eastAsia="仿宋_GB2312"/>
          <w:b/>
          <w:sz w:val="24"/>
          <w:szCs w:val="24"/>
        </w:rPr>
        <w:t>二、战略配售</w:t>
      </w:r>
    </w:p>
    <w:p w14:paraId="08F5AA23">
      <w:pPr>
        <w:pStyle w:val="30"/>
        <w:spacing w:line="360" w:lineRule="auto"/>
        <w:ind w:firstLine="0" w:firstLineChars="0"/>
        <w:rPr>
          <w:rFonts w:hint="eastAsia" w:ascii="仿宋_GB2312" w:hAnsi="仿宋" w:eastAsia="仿宋_GB2312"/>
          <w:sz w:val="24"/>
          <w:szCs w:val="24"/>
        </w:rPr>
      </w:pPr>
      <w:r>
        <w:rPr>
          <w:rFonts w:hint="eastAsia" w:ascii="仿宋_GB2312" w:hAnsi="仿宋" w:eastAsia="仿宋_GB2312"/>
          <w:sz w:val="24"/>
          <w:szCs w:val="24"/>
        </w:rPr>
        <w:t>（一）参与对象</w:t>
      </w:r>
    </w:p>
    <w:p w14:paraId="538CAD85">
      <w:pPr>
        <w:pStyle w:val="30"/>
        <w:spacing w:line="360" w:lineRule="auto"/>
        <w:ind w:firstLine="0" w:firstLineChars="0"/>
        <w:rPr>
          <w:rFonts w:hint="eastAsia" w:ascii="仿宋_GB2312" w:hAnsi="仿宋" w:eastAsia="仿宋_GB2312"/>
          <w:sz w:val="24"/>
          <w:szCs w:val="24"/>
        </w:rPr>
      </w:pPr>
      <w:r>
        <w:rPr>
          <w:rFonts w:ascii="Times New Roman" w:hAnsi="Times New Roman" w:eastAsia="仿宋_GB2312"/>
          <w:sz w:val="24"/>
          <w:szCs w:val="24"/>
        </w:rPr>
        <w:t>1</w:t>
      </w:r>
      <w:r>
        <w:rPr>
          <w:rFonts w:ascii="仿宋_GB2312" w:hAnsi="仿宋" w:eastAsia="仿宋_GB2312"/>
          <w:sz w:val="24"/>
          <w:szCs w:val="24"/>
        </w:rPr>
        <w:t>、选择标准</w:t>
      </w:r>
    </w:p>
    <w:p w14:paraId="56E9B8FB">
      <w:pPr>
        <w:pStyle w:val="30"/>
        <w:spacing w:line="360" w:lineRule="auto"/>
        <w:ind w:firstLine="0" w:firstLineChars="0"/>
        <w:rPr>
          <w:rFonts w:hint="eastAsia" w:ascii="仿宋_GB2312" w:hAnsi="仿宋" w:eastAsia="仿宋_GB2312"/>
          <w:sz w:val="24"/>
          <w:szCs w:val="24"/>
        </w:rPr>
      </w:pPr>
      <w:r>
        <w:rPr>
          <w:rFonts w:ascii="Times New Roman" w:hAnsi="Times New Roman" w:eastAsia="仿宋_GB2312"/>
          <w:sz w:val="24"/>
          <w:szCs w:val="24"/>
        </w:rPr>
        <w:t>2</w:t>
      </w:r>
      <w:r>
        <w:rPr>
          <w:rFonts w:ascii="仿宋_GB2312" w:hAnsi="仿宋" w:eastAsia="仿宋_GB2312"/>
          <w:sz w:val="24"/>
          <w:szCs w:val="24"/>
        </w:rPr>
        <w:t>、战略投资者具体情况</w:t>
      </w:r>
    </w:p>
    <w:p w14:paraId="5F6A6413">
      <w:pPr>
        <w:pStyle w:val="30"/>
        <w:spacing w:line="360" w:lineRule="auto"/>
        <w:ind w:firstLine="0" w:firstLineChars="0"/>
        <w:rPr>
          <w:rFonts w:hint="eastAsia" w:ascii="仿宋_GB2312" w:hAnsi="仿宋" w:eastAsia="仿宋_GB2312"/>
          <w:sz w:val="24"/>
          <w:szCs w:val="24"/>
        </w:rPr>
      </w:pPr>
      <w:r>
        <w:rPr>
          <w:rFonts w:hint="eastAsia" w:ascii="仿宋_GB2312" w:hAnsi="仿宋" w:eastAsia="仿宋_GB2312"/>
          <w:sz w:val="24"/>
          <w:szCs w:val="24"/>
        </w:rPr>
        <w:t>（二）配售数量</w:t>
      </w:r>
    </w:p>
    <w:p w14:paraId="0F8E2684">
      <w:pPr>
        <w:pStyle w:val="30"/>
        <w:spacing w:line="360" w:lineRule="auto"/>
        <w:ind w:firstLine="0" w:firstLineChars="0"/>
        <w:rPr>
          <w:rFonts w:hint="eastAsia" w:ascii="仿宋_GB2312" w:hAnsi="仿宋" w:eastAsia="仿宋_GB2312"/>
          <w:sz w:val="24"/>
          <w:szCs w:val="24"/>
        </w:rPr>
      </w:pPr>
      <w:r>
        <w:rPr>
          <w:rFonts w:hint="eastAsia" w:ascii="仿宋_GB2312" w:hAnsi="仿宋" w:eastAsia="仿宋_GB2312"/>
          <w:sz w:val="24"/>
          <w:szCs w:val="24"/>
        </w:rPr>
        <w:t>（三）配售条件</w:t>
      </w:r>
    </w:p>
    <w:p w14:paraId="5B6841DC">
      <w:pPr>
        <w:pStyle w:val="30"/>
        <w:spacing w:line="360" w:lineRule="auto"/>
        <w:ind w:firstLine="0" w:firstLineChars="0"/>
        <w:rPr>
          <w:rFonts w:hint="eastAsia" w:ascii="仿宋_GB2312" w:hAnsi="仿宋" w:eastAsia="仿宋_GB2312"/>
          <w:sz w:val="24"/>
          <w:szCs w:val="24"/>
        </w:rPr>
      </w:pPr>
      <w:r>
        <w:rPr>
          <w:rFonts w:hint="eastAsia" w:ascii="仿宋_GB2312" w:hAnsi="仿宋" w:eastAsia="仿宋_GB2312"/>
          <w:sz w:val="24"/>
          <w:szCs w:val="24"/>
        </w:rPr>
        <w:t>（四）限售期限</w:t>
      </w:r>
    </w:p>
    <w:p w14:paraId="49B37FB2">
      <w:pPr>
        <w:pStyle w:val="30"/>
        <w:spacing w:line="360" w:lineRule="auto"/>
        <w:ind w:firstLine="0" w:firstLineChars="0"/>
        <w:rPr>
          <w:rFonts w:hint="eastAsia" w:ascii="仿宋_GB2312" w:hAnsi="仿宋" w:eastAsia="仿宋_GB2312"/>
          <w:sz w:val="24"/>
          <w:szCs w:val="24"/>
        </w:rPr>
      </w:pPr>
      <w:r>
        <w:rPr>
          <w:rFonts w:hint="eastAsia" w:ascii="仿宋_GB2312" w:hAnsi="仿宋" w:eastAsia="仿宋_GB2312"/>
          <w:sz w:val="24"/>
          <w:szCs w:val="24"/>
        </w:rPr>
        <w:t>（五）核查情况</w:t>
      </w:r>
    </w:p>
    <w:p w14:paraId="0636A34A">
      <w:pPr>
        <w:pStyle w:val="30"/>
        <w:spacing w:line="360" w:lineRule="auto"/>
        <w:ind w:firstLine="0" w:firstLineChars="0"/>
        <w:rPr>
          <w:rFonts w:hint="eastAsia" w:ascii="仿宋_GB2312" w:hAnsi="仿宋" w:eastAsia="仿宋_GB2312"/>
          <w:sz w:val="24"/>
          <w:szCs w:val="24"/>
        </w:rPr>
      </w:pPr>
      <w:r>
        <w:rPr>
          <w:rFonts w:hint="eastAsia" w:ascii="仿宋_GB2312" w:hAnsi="仿宋" w:eastAsia="仿宋_GB2312"/>
          <w:sz w:val="24"/>
          <w:szCs w:val="24"/>
        </w:rPr>
        <w:t>（六）认购款项缴纳及验资安排</w:t>
      </w:r>
    </w:p>
    <w:p w14:paraId="7922F644">
      <w:pPr>
        <w:pStyle w:val="30"/>
        <w:spacing w:line="360" w:lineRule="auto"/>
        <w:ind w:firstLine="0" w:firstLineChars="0"/>
        <w:rPr>
          <w:rFonts w:hint="eastAsia" w:ascii="仿宋_GB2312" w:hAnsi="仿宋" w:eastAsia="仿宋_GB2312"/>
          <w:sz w:val="24"/>
          <w:szCs w:val="24"/>
        </w:rPr>
      </w:pPr>
      <w:r>
        <w:rPr>
          <w:rFonts w:hint="eastAsia" w:ascii="仿宋_GB2312" w:hAnsi="仿宋" w:eastAsia="仿宋_GB2312"/>
          <w:sz w:val="24"/>
          <w:szCs w:val="24"/>
        </w:rPr>
        <w:t>（七）相关承诺</w:t>
      </w:r>
    </w:p>
    <w:p w14:paraId="4D4E8B3C">
      <w:pPr>
        <w:pStyle w:val="30"/>
        <w:spacing w:line="360" w:lineRule="auto"/>
        <w:ind w:firstLine="0" w:firstLineChars="0"/>
        <w:rPr>
          <w:rFonts w:hint="eastAsia" w:ascii="仿宋_GB2312" w:hAnsi="仿宋" w:eastAsia="仿宋_GB2312"/>
          <w:b/>
          <w:sz w:val="24"/>
          <w:szCs w:val="24"/>
        </w:rPr>
      </w:pPr>
      <w:r>
        <w:rPr>
          <w:rFonts w:hint="eastAsia" w:ascii="仿宋_GB2312" w:hAnsi="仿宋" w:eastAsia="仿宋_GB2312"/>
          <w:b/>
          <w:sz w:val="24"/>
          <w:szCs w:val="24"/>
        </w:rPr>
        <w:t>三、网下询价安排</w:t>
      </w:r>
    </w:p>
    <w:p w14:paraId="59405270">
      <w:pPr>
        <w:pStyle w:val="30"/>
        <w:spacing w:line="360" w:lineRule="auto"/>
        <w:ind w:firstLine="0" w:firstLineChars="0"/>
        <w:rPr>
          <w:rFonts w:hint="eastAsia" w:ascii="仿宋_GB2312" w:hAnsi="仿宋" w:eastAsia="仿宋_GB2312"/>
          <w:sz w:val="24"/>
          <w:szCs w:val="24"/>
        </w:rPr>
      </w:pPr>
      <w:r>
        <w:rPr>
          <w:rFonts w:hint="eastAsia" w:ascii="仿宋_GB2312" w:hAnsi="仿宋" w:eastAsia="仿宋_GB2312"/>
          <w:sz w:val="24"/>
          <w:szCs w:val="24"/>
        </w:rPr>
        <w:t>（一）参与网下询价的投资者标准及条件</w:t>
      </w:r>
    </w:p>
    <w:p w14:paraId="13A78422">
      <w:pPr>
        <w:pStyle w:val="30"/>
        <w:spacing w:line="360" w:lineRule="auto"/>
        <w:ind w:firstLine="0" w:firstLineChars="0"/>
        <w:rPr>
          <w:rFonts w:hint="eastAsia" w:ascii="仿宋_GB2312" w:hAnsi="仿宋" w:eastAsia="仿宋_GB2312"/>
          <w:sz w:val="24"/>
          <w:szCs w:val="24"/>
        </w:rPr>
      </w:pPr>
      <w:r>
        <w:rPr>
          <w:rFonts w:hint="eastAsia" w:ascii="仿宋_GB2312" w:hAnsi="仿宋" w:eastAsia="仿宋_GB2312"/>
          <w:sz w:val="24"/>
          <w:szCs w:val="24"/>
        </w:rPr>
        <w:t>（二）承诺函及资质证明文件的提交方式</w:t>
      </w:r>
    </w:p>
    <w:p w14:paraId="1C84BFFB">
      <w:pPr>
        <w:pStyle w:val="30"/>
        <w:spacing w:line="360" w:lineRule="auto"/>
        <w:ind w:firstLine="0" w:firstLineChars="0"/>
        <w:rPr>
          <w:rFonts w:hint="eastAsia" w:ascii="仿宋_GB2312" w:hAnsi="仿宋" w:eastAsia="仿宋_GB2312"/>
          <w:sz w:val="24"/>
          <w:szCs w:val="24"/>
        </w:rPr>
      </w:pPr>
      <w:r>
        <w:rPr>
          <w:rFonts w:hint="eastAsia" w:ascii="仿宋_GB2312" w:hAnsi="仿宋" w:eastAsia="仿宋_GB2312"/>
          <w:sz w:val="24"/>
          <w:szCs w:val="24"/>
        </w:rPr>
        <w:t>（三）网下投资者备案核查</w:t>
      </w:r>
    </w:p>
    <w:p w14:paraId="2BC5B96E">
      <w:pPr>
        <w:pStyle w:val="30"/>
        <w:spacing w:line="360" w:lineRule="auto"/>
        <w:ind w:firstLine="0" w:firstLineChars="0"/>
        <w:rPr>
          <w:rFonts w:hint="eastAsia" w:ascii="仿宋_GB2312" w:hAnsi="仿宋" w:eastAsia="仿宋_GB2312"/>
          <w:sz w:val="24"/>
          <w:szCs w:val="24"/>
        </w:rPr>
      </w:pPr>
      <w:r>
        <w:rPr>
          <w:rFonts w:hint="eastAsia" w:ascii="仿宋_GB2312" w:hAnsi="仿宋" w:eastAsia="仿宋_GB2312"/>
          <w:sz w:val="24"/>
          <w:szCs w:val="24"/>
        </w:rPr>
        <w:t>（四）询价</w:t>
      </w:r>
    </w:p>
    <w:p w14:paraId="5B67821B">
      <w:pPr>
        <w:pStyle w:val="30"/>
        <w:spacing w:line="360" w:lineRule="auto"/>
        <w:ind w:firstLine="0" w:firstLineChars="0"/>
        <w:rPr>
          <w:rFonts w:hint="eastAsia" w:ascii="仿宋_GB2312" w:hAnsi="仿宋" w:eastAsia="仿宋_GB2312"/>
          <w:sz w:val="24"/>
          <w:szCs w:val="24"/>
        </w:rPr>
      </w:pPr>
      <w:r>
        <w:rPr>
          <w:rFonts w:hint="eastAsia" w:ascii="仿宋_GB2312" w:hAnsi="仿宋" w:eastAsia="仿宋_GB2312"/>
          <w:sz w:val="24"/>
          <w:szCs w:val="24"/>
        </w:rPr>
        <w:t>（五）网下投资者违规行为的处理</w:t>
      </w:r>
    </w:p>
    <w:p w14:paraId="2CF73B26">
      <w:pPr>
        <w:pStyle w:val="30"/>
        <w:spacing w:line="360" w:lineRule="auto"/>
        <w:ind w:firstLine="0" w:firstLineChars="0"/>
        <w:rPr>
          <w:rFonts w:hint="eastAsia" w:ascii="仿宋_GB2312" w:hAnsi="仿宋" w:eastAsia="仿宋_GB2312"/>
          <w:b/>
          <w:sz w:val="24"/>
          <w:szCs w:val="24"/>
        </w:rPr>
      </w:pPr>
      <w:r>
        <w:rPr>
          <w:rFonts w:hint="eastAsia" w:ascii="仿宋_GB2312" w:hAnsi="仿宋" w:eastAsia="仿宋_GB2312"/>
          <w:b/>
          <w:sz w:val="24"/>
          <w:szCs w:val="24"/>
        </w:rPr>
        <w:t>四、确定有效报价投资者和认购价格</w:t>
      </w:r>
    </w:p>
    <w:p w14:paraId="23A4E584">
      <w:pPr>
        <w:pStyle w:val="30"/>
        <w:spacing w:line="360" w:lineRule="auto"/>
        <w:ind w:firstLine="0" w:firstLineChars="0"/>
        <w:rPr>
          <w:rFonts w:hint="eastAsia" w:ascii="仿宋_GB2312" w:hAnsi="仿宋" w:eastAsia="仿宋_GB2312"/>
          <w:b/>
          <w:sz w:val="24"/>
          <w:szCs w:val="24"/>
        </w:rPr>
      </w:pPr>
      <w:r>
        <w:rPr>
          <w:rFonts w:hint="eastAsia" w:ascii="仿宋_GB2312" w:hAnsi="仿宋" w:eastAsia="仿宋_GB2312"/>
          <w:b/>
          <w:sz w:val="24"/>
          <w:szCs w:val="24"/>
        </w:rPr>
        <w:t>五、各类投资者认购方式及费用</w:t>
      </w:r>
    </w:p>
    <w:p w14:paraId="0805C216">
      <w:pPr>
        <w:pStyle w:val="30"/>
        <w:spacing w:line="360" w:lineRule="auto"/>
        <w:ind w:firstLine="0" w:firstLineChars="0"/>
        <w:rPr>
          <w:rFonts w:hint="eastAsia" w:ascii="仿宋_GB2312" w:hAnsi="仿宋" w:eastAsia="仿宋_GB2312"/>
          <w:b/>
          <w:sz w:val="24"/>
          <w:szCs w:val="24"/>
        </w:rPr>
      </w:pPr>
      <w:r>
        <w:rPr>
          <w:rFonts w:hint="eastAsia" w:ascii="仿宋_GB2312" w:hAnsi="仿宋" w:eastAsia="仿宋_GB2312"/>
          <w:b/>
          <w:sz w:val="24"/>
          <w:szCs w:val="24"/>
        </w:rPr>
        <w:t>六、本次发售回拨机制</w:t>
      </w:r>
    </w:p>
    <w:p w14:paraId="5FF38442">
      <w:pPr>
        <w:pStyle w:val="30"/>
        <w:spacing w:line="360" w:lineRule="auto"/>
        <w:ind w:firstLine="0" w:firstLineChars="0"/>
        <w:rPr>
          <w:rFonts w:hint="eastAsia" w:ascii="仿宋_GB2312" w:hAnsi="仿宋" w:eastAsia="仿宋_GB2312"/>
          <w:b/>
          <w:sz w:val="24"/>
          <w:szCs w:val="24"/>
        </w:rPr>
      </w:pPr>
      <w:r>
        <w:rPr>
          <w:rFonts w:hint="eastAsia" w:ascii="仿宋_GB2312" w:hAnsi="仿宋" w:eastAsia="仿宋_GB2312"/>
          <w:b/>
          <w:sz w:val="24"/>
          <w:szCs w:val="24"/>
        </w:rPr>
        <w:t>七、各类投资者配售原则及方式</w:t>
      </w:r>
    </w:p>
    <w:p w14:paraId="1C25AFA5">
      <w:pPr>
        <w:pStyle w:val="30"/>
        <w:spacing w:line="360" w:lineRule="auto"/>
        <w:ind w:firstLine="0" w:firstLineChars="0"/>
        <w:rPr>
          <w:rFonts w:hint="eastAsia" w:ascii="仿宋_GB2312" w:hAnsi="仿宋" w:eastAsia="仿宋_GB2312"/>
          <w:b/>
          <w:sz w:val="24"/>
          <w:szCs w:val="24"/>
        </w:rPr>
      </w:pPr>
      <w:r>
        <w:rPr>
          <w:rFonts w:hint="eastAsia" w:ascii="仿宋_GB2312" w:hAnsi="仿宋" w:eastAsia="仿宋_GB2312"/>
          <w:b/>
          <w:sz w:val="24"/>
          <w:szCs w:val="24"/>
        </w:rPr>
        <w:t>八、投资者缴款</w:t>
      </w:r>
    </w:p>
    <w:p w14:paraId="6CD01458">
      <w:pPr>
        <w:pStyle w:val="30"/>
        <w:spacing w:line="360" w:lineRule="auto"/>
        <w:ind w:firstLine="0" w:firstLineChars="0"/>
        <w:rPr>
          <w:rFonts w:hint="eastAsia" w:ascii="仿宋_GB2312" w:hAnsi="仿宋" w:eastAsia="仿宋_GB2312"/>
          <w:b/>
          <w:sz w:val="24"/>
          <w:szCs w:val="24"/>
        </w:rPr>
      </w:pPr>
      <w:r>
        <w:rPr>
          <w:rFonts w:hint="eastAsia" w:ascii="仿宋_GB2312" w:hAnsi="仿宋" w:eastAsia="仿宋_GB2312"/>
          <w:b/>
          <w:sz w:val="24"/>
          <w:szCs w:val="24"/>
        </w:rPr>
        <w:t>九、中止发售情况</w:t>
      </w:r>
    </w:p>
    <w:p w14:paraId="05A97825">
      <w:pPr>
        <w:pStyle w:val="30"/>
        <w:spacing w:line="360" w:lineRule="auto"/>
        <w:ind w:firstLine="0" w:firstLineChars="0"/>
        <w:rPr>
          <w:rFonts w:hint="eastAsia" w:ascii="仿宋_GB2312" w:hAnsi="仿宋" w:eastAsia="仿宋_GB2312"/>
          <w:b/>
          <w:sz w:val="24"/>
          <w:szCs w:val="24"/>
        </w:rPr>
      </w:pPr>
      <w:r>
        <w:rPr>
          <w:rFonts w:hint="eastAsia" w:ascii="仿宋_GB2312" w:hAnsi="仿宋" w:eastAsia="仿宋_GB2312"/>
          <w:b/>
          <w:sz w:val="24"/>
          <w:szCs w:val="24"/>
        </w:rPr>
        <w:t>十、基金管理人、财务顾问联系方式</w:t>
      </w:r>
    </w:p>
    <w:p w14:paraId="5172E6CD">
      <w:pPr>
        <w:rPr>
          <w:rFonts w:ascii="仿宋_GB2312" w:eastAsia="仿宋_GB2312"/>
          <w:b/>
          <w:bCs/>
          <w:sz w:val="24"/>
          <w:szCs w:val="24"/>
        </w:rPr>
      </w:pPr>
    </w:p>
    <w:p w14:paraId="400D2BA0">
      <w:pPr>
        <w:rPr>
          <w:rFonts w:ascii="仿宋_GB2312" w:eastAsia="仿宋_GB2312"/>
          <w:b/>
          <w:bCs/>
          <w:sz w:val="24"/>
          <w:szCs w:val="24"/>
        </w:rPr>
      </w:pPr>
    </w:p>
    <w:p w14:paraId="544F7B35">
      <w:pPr>
        <w:spacing w:after="156" w:afterLines="50" w:line="360" w:lineRule="auto"/>
        <w:outlineLvl w:val="2"/>
        <w:rPr>
          <w:rFonts w:hint="eastAsia" w:ascii="宋体" w:hAnsi="宋体"/>
          <w:b/>
          <w:sz w:val="24"/>
        </w:rPr>
      </w:pPr>
      <w:bookmarkStart w:id="1517" w:name="_Toc62990992"/>
      <w:bookmarkStart w:id="1518" w:name="_Toc12433"/>
      <w:bookmarkStart w:id="1519" w:name="_Toc65181450"/>
      <w:r>
        <w:rPr>
          <w:rFonts w:ascii="宋体" w:hAnsi="宋体"/>
          <w:b/>
          <w:sz w:val="24"/>
        </w:rPr>
        <w:br w:type="page"/>
      </w:r>
      <w:bookmarkStart w:id="1520" w:name="_Toc68511917"/>
      <w:bookmarkStart w:id="1521" w:name="_Toc293706944"/>
      <w:bookmarkStart w:id="1522" w:name="_Toc489726884"/>
      <w:bookmarkStart w:id="1523" w:name="_Toc79290750"/>
      <w:bookmarkStart w:id="1524" w:name="_Toc1407208545"/>
      <w:bookmarkStart w:id="1525" w:name="_Toc70604263"/>
      <w:bookmarkStart w:id="1526" w:name="_Toc684202189"/>
      <w:bookmarkStart w:id="1527" w:name="_Toc2097242517"/>
      <w:r>
        <w:rPr>
          <w:rFonts w:hint="eastAsia" w:ascii="宋体" w:hAnsi="宋体"/>
          <w:b/>
          <w:sz w:val="24"/>
        </w:rPr>
        <w:t>附件</w:t>
      </w:r>
      <w:r>
        <w:rPr>
          <w:rFonts w:hint="eastAsia" w:ascii="Times New Roman" w:hAnsi="Times New Roman"/>
          <w:b/>
          <w:sz w:val="24"/>
        </w:rPr>
        <w:t>2</w:t>
      </w:r>
      <w:r>
        <w:rPr>
          <w:rFonts w:hint="eastAsia" w:ascii="宋体" w:hAnsi="宋体"/>
          <w:b/>
          <w:sz w:val="24"/>
        </w:rPr>
        <w:t>-</w:t>
      </w:r>
      <w:r>
        <w:rPr>
          <w:rFonts w:hint="eastAsia" w:ascii="Times New Roman" w:hAnsi="Times New Roman"/>
          <w:b/>
          <w:sz w:val="24"/>
        </w:rPr>
        <w:t>2</w:t>
      </w:r>
      <w:r>
        <w:rPr>
          <w:rFonts w:hint="eastAsia" w:ascii="宋体" w:hAnsi="宋体"/>
          <w:b/>
          <w:sz w:val="24"/>
        </w:rPr>
        <w:t>：</w:t>
      </w:r>
      <w:bookmarkEnd w:id="1517"/>
      <w:r>
        <w:rPr>
          <w:rFonts w:hint="eastAsia" w:ascii="宋体" w:hAnsi="宋体"/>
          <w:b/>
          <w:sz w:val="24"/>
        </w:rPr>
        <w:t>《发售公告》必备要素</w:t>
      </w:r>
      <w:bookmarkEnd w:id="1518"/>
      <w:bookmarkEnd w:id="1519"/>
      <w:bookmarkEnd w:id="1520"/>
      <w:bookmarkEnd w:id="1521"/>
      <w:bookmarkEnd w:id="1522"/>
      <w:bookmarkEnd w:id="1523"/>
      <w:bookmarkEnd w:id="1524"/>
      <w:bookmarkEnd w:id="1525"/>
      <w:bookmarkEnd w:id="1526"/>
      <w:bookmarkEnd w:id="1527"/>
    </w:p>
    <w:p w14:paraId="0836712E">
      <w:pPr>
        <w:pStyle w:val="30"/>
        <w:spacing w:line="360" w:lineRule="auto"/>
        <w:ind w:firstLine="0" w:firstLineChars="0"/>
        <w:rPr>
          <w:rFonts w:hint="eastAsia" w:ascii="仿宋_GB2312" w:hAnsi="仿宋" w:eastAsia="仿宋_GB2312"/>
          <w:b/>
          <w:sz w:val="24"/>
          <w:szCs w:val="24"/>
        </w:rPr>
      </w:pPr>
      <w:r>
        <w:rPr>
          <w:rFonts w:hint="eastAsia" w:ascii="仿宋_GB2312" w:hAnsi="仿宋" w:eastAsia="仿宋_GB2312"/>
          <w:b/>
          <w:sz w:val="24"/>
          <w:szCs w:val="24"/>
        </w:rPr>
        <w:t>特别提示</w:t>
      </w:r>
    </w:p>
    <w:p w14:paraId="2BA0ABC8">
      <w:pPr>
        <w:pStyle w:val="30"/>
        <w:spacing w:line="360" w:lineRule="auto"/>
        <w:ind w:firstLine="0" w:firstLineChars="0"/>
        <w:rPr>
          <w:rFonts w:hint="eastAsia" w:ascii="仿宋_GB2312" w:hAnsi="仿宋" w:eastAsia="仿宋_GB2312"/>
          <w:b/>
          <w:sz w:val="24"/>
          <w:szCs w:val="24"/>
        </w:rPr>
      </w:pPr>
      <w:r>
        <w:rPr>
          <w:rFonts w:hint="eastAsia" w:ascii="仿宋_GB2312" w:hAnsi="仿宋" w:eastAsia="仿宋_GB2312"/>
          <w:b/>
          <w:sz w:val="24"/>
          <w:szCs w:val="24"/>
        </w:rPr>
        <w:t>重要提示</w:t>
      </w:r>
    </w:p>
    <w:p w14:paraId="4DEAE8BA">
      <w:pPr>
        <w:pStyle w:val="30"/>
        <w:spacing w:line="360" w:lineRule="auto"/>
        <w:ind w:firstLine="0" w:firstLineChars="0"/>
        <w:rPr>
          <w:rFonts w:hint="eastAsia" w:ascii="仿宋_GB2312" w:hAnsi="仿宋" w:eastAsia="仿宋_GB2312"/>
          <w:b/>
          <w:sz w:val="24"/>
          <w:szCs w:val="24"/>
        </w:rPr>
      </w:pPr>
      <w:r>
        <w:rPr>
          <w:rFonts w:hint="eastAsia" w:ascii="仿宋_GB2312" w:hAnsi="仿宋" w:eastAsia="仿宋_GB2312"/>
          <w:b/>
          <w:sz w:val="24"/>
          <w:szCs w:val="24"/>
        </w:rPr>
        <w:t>释义</w:t>
      </w:r>
    </w:p>
    <w:p w14:paraId="47EF15F1">
      <w:pPr>
        <w:pStyle w:val="30"/>
        <w:spacing w:line="360" w:lineRule="auto"/>
        <w:ind w:firstLine="0" w:firstLineChars="0"/>
        <w:rPr>
          <w:rFonts w:hint="eastAsia" w:ascii="仿宋_GB2312" w:hAnsi="仿宋" w:eastAsia="仿宋_GB2312"/>
          <w:b/>
          <w:sz w:val="24"/>
          <w:szCs w:val="24"/>
        </w:rPr>
      </w:pPr>
      <w:r>
        <w:rPr>
          <w:rFonts w:hint="eastAsia" w:ascii="仿宋_GB2312" w:hAnsi="仿宋" w:eastAsia="仿宋_GB2312"/>
          <w:b/>
          <w:sz w:val="24"/>
          <w:szCs w:val="24"/>
        </w:rPr>
        <w:t>一、询价结果及定价情况</w:t>
      </w:r>
    </w:p>
    <w:p w14:paraId="3A298762">
      <w:pPr>
        <w:pStyle w:val="30"/>
        <w:spacing w:line="360" w:lineRule="auto"/>
        <w:ind w:firstLine="0" w:firstLineChars="0"/>
        <w:rPr>
          <w:rFonts w:hint="eastAsia" w:ascii="仿宋_GB2312" w:hAnsi="仿宋" w:eastAsia="仿宋_GB2312"/>
          <w:sz w:val="24"/>
          <w:szCs w:val="24"/>
        </w:rPr>
      </w:pPr>
      <w:r>
        <w:rPr>
          <w:rFonts w:hint="eastAsia" w:ascii="仿宋_GB2312" w:hAnsi="仿宋" w:eastAsia="仿宋_GB2312"/>
          <w:sz w:val="24"/>
          <w:szCs w:val="24"/>
        </w:rPr>
        <w:t>（一）询价情况</w:t>
      </w:r>
    </w:p>
    <w:p w14:paraId="663B835B">
      <w:pPr>
        <w:pStyle w:val="30"/>
        <w:spacing w:line="360" w:lineRule="auto"/>
        <w:ind w:firstLine="0" w:firstLineChars="0"/>
        <w:rPr>
          <w:rFonts w:hint="eastAsia" w:ascii="仿宋_GB2312" w:hAnsi="仿宋" w:eastAsia="仿宋_GB2312"/>
          <w:sz w:val="24"/>
          <w:szCs w:val="24"/>
        </w:rPr>
      </w:pPr>
      <w:r>
        <w:rPr>
          <w:rFonts w:hint="eastAsia" w:ascii="Times New Roman" w:hAnsi="Times New Roman" w:eastAsia="仿宋_GB2312"/>
          <w:sz w:val="24"/>
          <w:szCs w:val="24"/>
        </w:rPr>
        <w:t>1</w:t>
      </w:r>
      <w:r>
        <w:rPr>
          <w:rFonts w:hint="eastAsia" w:ascii="仿宋_GB2312" w:hAnsi="仿宋" w:eastAsia="仿宋_GB2312"/>
          <w:sz w:val="24"/>
          <w:szCs w:val="24"/>
        </w:rPr>
        <w:t>、总体申报情况</w:t>
      </w:r>
    </w:p>
    <w:p w14:paraId="142B2236">
      <w:pPr>
        <w:pStyle w:val="30"/>
        <w:spacing w:line="360" w:lineRule="auto"/>
        <w:ind w:firstLine="0" w:firstLineChars="0"/>
        <w:rPr>
          <w:rFonts w:hint="eastAsia" w:ascii="仿宋_GB2312" w:hAnsi="仿宋" w:eastAsia="仿宋_GB2312"/>
          <w:sz w:val="24"/>
          <w:szCs w:val="24"/>
        </w:rPr>
      </w:pPr>
      <w:r>
        <w:rPr>
          <w:rFonts w:hint="eastAsia" w:ascii="Times New Roman" w:hAnsi="Times New Roman" w:eastAsia="仿宋_GB2312"/>
          <w:sz w:val="24"/>
          <w:szCs w:val="24"/>
        </w:rPr>
        <w:t>2</w:t>
      </w:r>
      <w:r>
        <w:rPr>
          <w:rFonts w:hint="eastAsia" w:ascii="仿宋_GB2312" w:hAnsi="仿宋" w:eastAsia="仿宋_GB2312"/>
          <w:sz w:val="24"/>
          <w:szCs w:val="24"/>
        </w:rPr>
        <w:t>、剔除无效报价情况</w:t>
      </w:r>
    </w:p>
    <w:p w14:paraId="55CC3786">
      <w:pPr>
        <w:pStyle w:val="30"/>
        <w:spacing w:line="360" w:lineRule="auto"/>
        <w:ind w:firstLine="0" w:firstLineChars="0"/>
        <w:rPr>
          <w:rFonts w:hint="eastAsia" w:ascii="仿宋_GB2312" w:hAnsi="仿宋" w:eastAsia="仿宋_GB2312"/>
          <w:sz w:val="24"/>
          <w:szCs w:val="24"/>
        </w:rPr>
      </w:pPr>
      <w:r>
        <w:rPr>
          <w:rFonts w:hint="eastAsia" w:ascii="Times New Roman" w:hAnsi="Times New Roman" w:eastAsia="仿宋_GB2312"/>
          <w:sz w:val="24"/>
          <w:szCs w:val="24"/>
        </w:rPr>
        <w:t>3</w:t>
      </w:r>
      <w:r>
        <w:rPr>
          <w:rFonts w:hint="eastAsia" w:ascii="仿宋_GB2312" w:hAnsi="仿宋" w:eastAsia="仿宋_GB2312"/>
          <w:sz w:val="24"/>
          <w:szCs w:val="24"/>
        </w:rPr>
        <w:t>、剔除无效报价后的报价情况</w:t>
      </w:r>
    </w:p>
    <w:p w14:paraId="167AFB94">
      <w:pPr>
        <w:pStyle w:val="30"/>
        <w:spacing w:line="360" w:lineRule="auto"/>
        <w:ind w:firstLine="0" w:firstLineChars="0"/>
        <w:rPr>
          <w:rFonts w:hint="eastAsia" w:ascii="仿宋_GB2312" w:hAnsi="仿宋" w:eastAsia="仿宋_GB2312"/>
          <w:sz w:val="24"/>
          <w:szCs w:val="24"/>
        </w:rPr>
      </w:pPr>
      <w:r>
        <w:rPr>
          <w:rFonts w:hint="eastAsia" w:ascii="仿宋_GB2312" w:hAnsi="仿宋" w:eastAsia="仿宋_GB2312"/>
          <w:sz w:val="24"/>
          <w:szCs w:val="24"/>
        </w:rPr>
        <w:t>（二）认购价格的确定</w:t>
      </w:r>
    </w:p>
    <w:p w14:paraId="071225D3">
      <w:pPr>
        <w:pStyle w:val="30"/>
        <w:spacing w:line="360" w:lineRule="auto"/>
        <w:ind w:firstLine="0" w:firstLineChars="0"/>
        <w:rPr>
          <w:rFonts w:hint="eastAsia" w:ascii="仿宋_GB2312" w:hAnsi="仿宋" w:eastAsia="仿宋_GB2312"/>
          <w:sz w:val="24"/>
          <w:szCs w:val="24"/>
        </w:rPr>
      </w:pPr>
      <w:r>
        <w:rPr>
          <w:rFonts w:hint="eastAsia" w:ascii="仿宋_GB2312" w:hAnsi="仿宋" w:eastAsia="仿宋_GB2312"/>
          <w:sz w:val="24"/>
          <w:szCs w:val="24"/>
        </w:rPr>
        <w:t>（三）有效报价投资者的确定</w:t>
      </w:r>
    </w:p>
    <w:p w14:paraId="5E41C6F3">
      <w:pPr>
        <w:pStyle w:val="30"/>
        <w:spacing w:line="360" w:lineRule="auto"/>
        <w:ind w:firstLine="0" w:firstLineChars="0"/>
        <w:rPr>
          <w:rFonts w:hint="eastAsia" w:ascii="仿宋_GB2312" w:hAnsi="仿宋" w:eastAsia="仿宋_GB2312"/>
          <w:b/>
          <w:sz w:val="24"/>
          <w:szCs w:val="24"/>
        </w:rPr>
      </w:pPr>
      <w:r>
        <w:rPr>
          <w:rFonts w:hint="eastAsia" w:ascii="仿宋_GB2312" w:hAnsi="仿宋" w:eastAsia="仿宋_GB2312"/>
          <w:b/>
          <w:sz w:val="24"/>
          <w:szCs w:val="24"/>
        </w:rPr>
        <w:t>二、本次发售的基本情况</w:t>
      </w:r>
    </w:p>
    <w:p w14:paraId="1C7A3411">
      <w:pPr>
        <w:pStyle w:val="30"/>
        <w:spacing w:line="360" w:lineRule="auto"/>
        <w:ind w:firstLine="0" w:firstLineChars="0"/>
        <w:rPr>
          <w:rFonts w:hint="eastAsia" w:ascii="仿宋_GB2312" w:hAnsi="仿宋" w:eastAsia="仿宋_GB2312"/>
          <w:sz w:val="24"/>
          <w:szCs w:val="24"/>
        </w:rPr>
      </w:pPr>
      <w:r>
        <w:rPr>
          <w:rFonts w:hint="eastAsia" w:ascii="仿宋_GB2312" w:hAnsi="仿宋" w:eastAsia="仿宋_GB2312"/>
          <w:sz w:val="24"/>
          <w:szCs w:val="24"/>
        </w:rPr>
        <w:t>（一）发售规模和发售结构</w:t>
      </w:r>
    </w:p>
    <w:p w14:paraId="172C3736">
      <w:pPr>
        <w:pStyle w:val="30"/>
        <w:spacing w:line="360" w:lineRule="auto"/>
        <w:ind w:firstLine="0" w:firstLineChars="0"/>
        <w:rPr>
          <w:rFonts w:hint="eastAsia" w:ascii="仿宋_GB2312" w:hAnsi="仿宋" w:eastAsia="仿宋_GB2312"/>
          <w:sz w:val="24"/>
          <w:szCs w:val="24"/>
        </w:rPr>
      </w:pPr>
      <w:r>
        <w:rPr>
          <w:rFonts w:hint="eastAsia" w:ascii="仿宋_GB2312" w:hAnsi="仿宋" w:eastAsia="仿宋_GB2312"/>
          <w:sz w:val="24"/>
          <w:szCs w:val="24"/>
        </w:rPr>
        <w:t>（二）认购价格</w:t>
      </w:r>
    </w:p>
    <w:p w14:paraId="164ECD97">
      <w:pPr>
        <w:pStyle w:val="30"/>
        <w:spacing w:line="360" w:lineRule="auto"/>
        <w:ind w:firstLine="0" w:firstLineChars="0"/>
        <w:rPr>
          <w:rFonts w:hint="eastAsia" w:ascii="仿宋_GB2312" w:hAnsi="仿宋" w:eastAsia="仿宋_GB2312"/>
          <w:sz w:val="24"/>
          <w:szCs w:val="24"/>
        </w:rPr>
      </w:pPr>
      <w:r>
        <w:rPr>
          <w:rFonts w:hint="eastAsia" w:ascii="仿宋_GB2312" w:hAnsi="仿宋" w:eastAsia="仿宋_GB2312"/>
          <w:sz w:val="24"/>
          <w:szCs w:val="24"/>
        </w:rPr>
        <w:t>（三）募集资金规模</w:t>
      </w:r>
    </w:p>
    <w:p w14:paraId="6831CB75">
      <w:pPr>
        <w:pStyle w:val="30"/>
        <w:spacing w:line="360" w:lineRule="auto"/>
        <w:ind w:firstLine="0" w:firstLineChars="0"/>
        <w:rPr>
          <w:rFonts w:hint="eastAsia" w:ascii="仿宋_GB2312" w:hAnsi="仿宋" w:eastAsia="仿宋_GB2312"/>
          <w:sz w:val="24"/>
          <w:szCs w:val="24"/>
        </w:rPr>
      </w:pPr>
      <w:r>
        <w:rPr>
          <w:rFonts w:hint="eastAsia" w:ascii="仿宋_GB2312" w:hAnsi="仿宋" w:eastAsia="仿宋_GB2312"/>
          <w:sz w:val="24"/>
          <w:szCs w:val="24"/>
        </w:rPr>
        <w:t>（四）回拨机制</w:t>
      </w:r>
    </w:p>
    <w:p w14:paraId="59572AC8">
      <w:pPr>
        <w:pStyle w:val="30"/>
        <w:spacing w:line="360" w:lineRule="auto"/>
        <w:ind w:firstLine="0" w:firstLineChars="0"/>
        <w:rPr>
          <w:rFonts w:hint="eastAsia" w:ascii="仿宋_GB2312" w:hAnsi="仿宋" w:eastAsia="仿宋_GB2312"/>
          <w:sz w:val="24"/>
          <w:szCs w:val="24"/>
        </w:rPr>
      </w:pPr>
      <w:r>
        <w:rPr>
          <w:rFonts w:hint="eastAsia" w:ascii="仿宋_GB2312" w:hAnsi="仿宋" w:eastAsia="仿宋_GB2312"/>
          <w:sz w:val="24"/>
          <w:szCs w:val="24"/>
        </w:rPr>
        <w:t>（五）限售期安排</w:t>
      </w:r>
    </w:p>
    <w:p w14:paraId="00112E5A">
      <w:pPr>
        <w:pStyle w:val="30"/>
        <w:spacing w:line="360" w:lineRule="auto"/>
        <w:ind w:firstLine="0" w:firstLineChars="0"/>
        <w:rPr>
          <w:rFonts w:hint="eastAsia" w:ascii="仿宋_GB2312" w:hAnsi="仿宋" w:eastAsia="仿宋_GB2312"/>
          <w:sz w:val="24"/>
          <w:szCs w:val="24"/>
        </w:rPr>
      </w:pPr>
      <w:r>
        <w:rPr>
          <w:rFonts w:hint="eastAsia" w:ascii="仿宋_GB2312" w:hAnsi="仿宋" w:eastAsia="仿宋_GB2312"/>
          <w:sz w:val="24"/>
          <w:szCs w:val="24"/>
        </w:rPr>
        <w:t>（六）拟上市地点</w:t>
      </w:r>
    </w:p>
    <w:p w14:paraId="2E2BD131">
      <w:pPr>
        <w:pStyle w:val="30"/>
        <w:spacing w:line="360" w:lineRule="auto"/>
        <w:ind w:firstLine="0" w:firstLineChars="0"/>
        <w:rPr>
          <w:rFonts w:hint="eastAsia" w:ascii="仿宋_GB2312" w:hAnsi="仿宋" w:eastAsia="仿宋_GB2312"/>
          <w:sz w:val="24"/>
          <w:szCs w:val="24"/>
        </w:rPr>
      </w:pPr>
      <w:r>
        <w:rPr>
          <w:rFonts w:hint="eastAsia" w:ascii="仿宋_GB2312" w:hAnsi="仿宋" w:eastAsia="仿宋_GB2312"/>
          <w:sz w:val="24"/>
          <w:szCs w:val="24"/>
        </w:rPr>
        <w:t>（七）本次发售的重要日期安排</w:t>
      </w:r>
    </w:p>
    <w:p w14:paraId="62051BDE">
      <w:pPr>
        <w:pStyle w:val="30"/>
        <w:spacing w:line="360" w:lineRule="auto"/>
        <w:ind w:firstLine="0" w:firstLineChars="0"/>
        <w:rPr>
          <w:rFonts w:hint="eastAsia" w:ascii="仿宋_GB2312" w:hAnsi="仿宋" w:eastAsia="仿宋_GB2312"/>
          <w:sz w:val="24"/>
          <w:szCs w:val="24"/>
        </w:rPr>
      </w:pPr>
      <w:r>
        <w:rPr>
          <w:rFonts w:hint="eastAsia" w:ascii="仿宋_GB2312" w:hAnsi="仿宋" w:eastAsia="仿宋_GB2312"/>
          <w:sz w:val="24"/>
          <w:szCs w:val="24"/>
        </w:rPr>
        <w:t>（八）认购方式（含投资者开户）</w:t>
      </w:r>
    </w:p>
    <w:p w14:paraId="790AFDAB">
      <w:pPr>
        <w:pStyle w:val="30"/>
        <w:spacing w:line="360" w:lineRule="auto"/>
        <w:ind w:firstLine="0" w:firstLineChars="0"/>
        <w:rPr>
          <w:rFonts w:hint="eastAsia" w:ascii="仿宋_GB2312" w:hAnsi="仿宋" w:eastAsia="仿宋_GB2312"/>
          <w:sz w:val="24"/>
          <w:szCs w:val="24"/>
        </w:rPr>
      </w:pPr>
      <w:r>
        <w:rPr>
          <w:rFonts w:hint="eastAsia" w:ascii="仿宋_GB2312" w:hAnsi="仿宋" w:eastAsia="仿宋_GB2312"/>
          <w:sz w:val="24"/>
          <w:szCs w:val="24"/>
        </w:rPr>
        <w:t>（九）认购费用</w:t>
      </w:r>
    </w:p>
    <w:p w14:paraId="35B28A26">
      <w:pPr>
        <w:pStyle w:val="30"/>
        <w:spacing w:line="360" w:lineRule="auto"/>
        <w:ind w:firstLine="0" w:firstLineChars="0"/>
        <w:rPr>
          <w:rFonts w:hint="eastAsia" w:ascii="仿宋_GB2312" w:hAnsi="仿宋" w:eastAsia="仿宋_GB2312"/>
          <w:sz w:val="24"/>
          <w:szCs w:val="24"/>
        </w:rPr>
      </w:pPr>
      <w:r>
        <w:rPr>
          <w:rFonts w:hint="eastAsia" w:ascii="仿宋_GB2312" w:hAnsi="仿宋" w:eastAsia="仿宋_GB2312"/>
          <w:sz w:val="24"/>
          <w:szCs w:val="24"/>
        </w:rPr>
        <w:t>（十）以认购价格计算的不动产项目价值及预期收益预算</w:t>
      </w:r>
    </w:p>
    <w:p w14:paraId="1D6AA58E">
      <w:pPr>
        <w:pStyle w:val="30"/>
        <w:spacing w:line="360" w:lineRule="auto"/>
        <w:ind w:firstLine="0" w:firstLineChars="0"/>
        <w:rPr>
          <w:rFonts w:hint="eastAsia" w:ascii="仿宋_GB2312" w:hAnsi="仿宋" w:eastAsia="仿宋_GB2312"/>
          <w:b/>
          <w:sz w:val="24"/>
          <w:szCs w:val="24"/>
        </w:rPr>
      </w:pPr>
      <w:r>
        <w:rPr>
          <w:rFonts w:hint="eastAsia" w:ascii="仿宋_GB2312" w:hAnsi="仿宋" w:eastAsia="仿宋_GB2312"/>
          <w:b/>
          <w:sz w:val="24"/>
          <w:szCs w:val="24"/>
        </w:rPr>
        <w:t>三、战略配售情况</w:t>
      </w:r>
    </w:p>
    <w:p w14:paraId="1F5DF295">
      <w:pPr>
        <w:pStyle w:val="30"/>
        <w:spacing w:line="360" w:lineRule="auto"/>
        <w:ind w:firstLine="0" w:firstLineChars="0"/>
        <w:rPr>
          <w:rFonts w:hint="eastAsia" w:ascii="仿宋_GB2312" w:hAnsi="仿宋" w:eastAsia="仿宋_GB2312"/>
          <w:sz w:val="24"/>
          <w:szCs w:val="24"/>
        </w:rPr>
      </w:pPr>
      <w:r>
        <w:rPr>
          <w:rFonts w:hint="eastAsia" w:ascii="仿宋_GB2312" w:hAnsi="仿宋" w:eastAsia="仿宋_GB2312"/>
          <w:sz w:val="24"/>
          <w:szCs w:val="24"/>
        </w:rPr>
        <w:t>（一）参与对象</w:t>
      </w:r>
    </w:p>
    <w:p w14:paraId="7230083B">
      <w:pPr>
        <w:pStyle w:val="30"/>
        <w:spacing w:line="360" w:lineRule="auto"/>
        <w:ind w:firstLine="0" w:firstLineChars="0"/>
        <w:rPr>
          <w:rFonts w:hint="eastAsia" w:ascii="仿宋_GB2312" w:hAnsi="仿宋" w:eastAsia="仿宋_GB2312"/>
          <w:sz w:val="24"/>
          <w:szCs w:val="24"/>
        </w:rPr>
      </w:pPr>
      <w:r>
        <w:rPr>
          <w:rFonts w:hint="eastAsia" w:ascii="仿宋_GB2312" w:hAnsi="仿宋" w:eastAsia="仿宋_GB2312"/>
          <w:sz w:val="24"/>
          <w:szCs w:val="24"/>
        </w:rPr>
        <w:t>（二）承诺认购的基金份额数量及限售期安排</w:t>
      </w:r>
    </w:p>
    <w:p w14:paraId="37B8B1ED">
      <w:pPr>
        <w:pStyle w:val="30"/>
        <w:spacing w:line="360" w:lineRule="auto"/>
        <w:ind w:firstLine="0" w:firstLineChars="0"/>
        <w:rPr>
          <w:rFonts w:hint="eastAsia" w:ascii="仿宋_GB2312" w:hAnsi="仿宋" w:eastAsia="仿宋_GB2312"/>
          <w:sz w:val="24"/>
          <w:szCs w:val="24"/>
        </w:rPr>
      </w:pPr>
      <w:r>
        <w:rPr>
          <w:rFonts w:hint="eastAsia" w:ascii="仿宋_GB2312" w:hAnsi="仿宋" w:eastAsia="仿宋_GB2312"/>
          <w:sz w:val="24"/>
          <w:szCs w:val="24"/>
        </w:rPr>
        <w:t>（三）原始权益人初始持有不动产项目权益的比例</w:t>
      </w:r>
    </w:p>
    <w:p w14:paraId="438E998E">
      <w:pPr>
        <w:pStyle w:val="30"/>
        <w:spacing w:line="360" w:lineRule="auto"/>
        <w:ind w:firstLine="0" w:firstLineChars="0"/>
        <w:rPr>
          <w:rFonts w:hint="eastAsia" w:ascii="仿宋_GB2312" w:hAnsi="仿宋" w:eastAsia="仿宋_GB2312"/>
          <w:b/>
          <w:sz w:val="24"/>
          <w:szCs w:val="24"/>
        </w:rPr>
      </w:pPr>
      <w:r>
        <w:rPr>
          <w:rFonts w:hint="eastAsia" w:ascii="仿宋_GB2312" w:hAnsi="仿宋" w:eastAsia="仿宋_GB2312"/>
          <w:b/>
          <w:sz w:val="24"/>
          <w:szCs w:val="24"/>
        </w:rPr>
        <w:t>四、网下发售</w:t>
      </w:r>
    </w:p>
    <w:p w14:paraId="50A5A8DD">
      <w:pPr>
        <w:pStyle w:val="30"/>
        <w:spacing w:line="360" w:lineRule="auto"/>
        <w:ind w:firstLine="0" w:firstLineChars="0"/>
        <w:rPr>
          <w:rFonts w:hint="eastAsia" w:ascii="仿宋_GB2312" w:hAnsi="仿宋" w:eastAsia="仿宋_GB2312"/>
          <w:sz w:val="24"/>
          <w:szCs w:val="24"/>
        </w:rPr>
      </w:pPr>
      <w:r>
        <w:rPr>
          <w:rFonts w:hint="eastAsia" w:ascii="仿宋_GB2312" w:hAnsi="仿宋" w:eastAsia="仿宋_GB2312"/>
          <w:sz w:val="24"/>
          <w:szCs w:val="24"/>
        </w:rPr>
        <w:t>（一）参与对象</w:t>
      </w:r>
    </w:p>
    <w:p w14:paraId="7E4BFCAD">
      <w:pPr>
        <w:pStyle w:val="30"/>
        <w:spacing w:line="360" w:lineRule="auto"/>
        <w:ind w:firstLine="0" w:firstLineChars="0"/>
        <w:rPr>
          <w:rFonts w:hint="eastAsia" w:ascii="仿宋_GB2312" w:hAnsi="仿宋" w:eastAsia="仿宋_GB2312"/>
          <w:sz w:val="24"/>
          <w:szCs w:val="24"/>
        </w:rPr>
      </w:pPr>
      <w:r>
        <w:rPr>
          <w:rFonts w:hint="eastAsia" w:ascii="仿宋_GB2312" w:hAnsi="仿宋" w:eastAsia="仿宋_GB2312"/>
          <w:sz w:val="24"/>
          <w:szCs w:val="24"/>
        </w:rPr>
        <w:t>（二）网下认购</w:t>
      </w:r>
    </w:p>
    <w:p w14:paraId="4429633F">
      <w:pPr>
        <w:pStyle w:val="30"/>
        <w:spacing w:line="360" w:lineRule="auto"/>
        <w:ind w:firstLine="0" w:firstLineChars="0"/>
        <w:rPr>
          <w:rFonts w:hint="eastAsia" w:ascii="仿宋_GB2312" w:hAnsi="仿宋" w:eastAsia="仿宋_GB2312"/>
          <w:sz w:val="24"/>
          <w:szCs w:val="24"/>
        </w:rPr>
      </w:pPr>
      <w:r>
        <w:rPr>
          <w:rFonts w:hint="eastAsia" w:ascii="仿宋_GB2312" w:hAnsi="仿宋" w:eastAsia="仿宋_GB2312"/>
          <w:sz w:val="24"/>
          <w:szCs w:val="24"/>
        </w:rPr>
        <w:t>（三）网下初步配售基金份额</w:t>
      </w:r>
    </w:p>
    <w:p w14:paraId="02D13F08">
      <w:pPr>
        <w:pStyle w:val="30"/>
        <w:spacing w:line="360" w:lineRule="auto"/>
        <w:ind w:firstLine="0" w:firstLineChars="0"/>
        <w:rPr>
          <w:rFonts w:hint="eastAsia" w:ascii="仿宋_GB2312" w:hAnsi="仿宋" w:eastAsia="仿宋_GB2312"/>
          <w:sz w:val="24"/>
          <w:szCs w:val="24"/>
        </w:rPr>
      </w:pPr>
      <w:r>
        <w:rPr>
          <w:rFonts w:hint="eastAsia" w:ascii="仿宋_GB2312" w:hAnsi="仿宋" w:eastAsia="仿宋_GB2312"/>
          <w:sz w:val="24"/>
          <w:szCs w:val="24"/>
        </w:rPr>
        <w:t>（四）公布初步配售结果</w:t>
      </w:r>
    </w:p>
    <w:p w14:paraId="306BD2E6">
      <w:pPr>
        <w:pStyle w:val="30"/>
        <w:spacing w:line="360" w:lineRule="auto"/>
        <w:ind w:firstLine="0" w:firstLineChars="0"/>
        <w:rPr>
          <w:rFonts w:hint="eastAsia" w:ascii="仿宋_GB2312" w:hAnsi="仿宋" w:eastAsia="仿宋_GB2312"/>
          <w:sz w:val="24"/>
          <w:szCs w:val="24"/>
        </w:rPr>
      </w:pPr>
      <w:r>
        <w:rPr>
          <w:rFonts w:hint="eastAsia" w:ascii="仿宋_GB2312" w:hAnsi="仿宋" w:eastAsia="仿宋_GB2312"/>
          <w:sz w:val="24"/>
          <w:szCs w:val="24"/>
        </w:rPr>
        <w:t>（五）认购款项的缴付</w:t>
      </w:r>
    </w:p>
    <w:p w14:paraId="338695DA">
      <w:pPr>
        <w:pStyle w:val="30"/>
        <w:spacing w:line="360" w:lineRule="auto"/>
        <w:ind w:firstLine="0" w:firstLineChars="0"/>
        <w:rPr>
          <w:rFonts w:hint="eastAsia" w:ascii="仿宋_GB2312" w:hAnsi="仿宋" w:eastAsia="仿宋_GB2312"/>
          <w:b/>
          <w:sz w:val="24"/>
          <w:szCs w:val="24"/>
        </w:rPr>
      </w:pPr>
      <w:r>
        <w:rPr>
          <w:rFonts w:hint="eastAsia" w:ascii="仿宋_GB2312" w:hAnsi="仿宋" w:eastAsia="仿宋_GB2312"/>
          <w:b/>
          <w:sz w:val="24"/>
          <w:szCs w:val="24"/>
        </w:rPr>
        <w:t>五、公众投资者认购</w:t>
      </w:r>
    </w:p>
    <w:p w14:paraId="4D2FA3F0">
      <w:pPr>
        <w:pStyle w:val="30"/>
        <w:spacing w:line="360" w:lineRule="auto"/>
        <w:ind w:firstLine="0" w:firstLineChars="0"/>
        <w:rPr>
          <w:rFonts w:hint="eastAsia" w:ascii="仿宋_GB2312" w:hAnsi="仿宋" w:eastAsia="仿宋_GB2312"/>
          <w:sz w:val="24"/>
          <w:szCs w:val="24"/>
        </w:rPr>
      </w:pPr>
      <w:r>
        <w:rPr>
          <w:rFonts w:hint="eastAsia" w:ascii="仿宋_GB2312" w:hAnsi="仿宋" w:eastAsia="仿宋_GB2312"/>
          <w:sz w:val="24"/>
          <w:szCs w:val="24"/>
        </w:rPr>
        <w:t>（一）认购程序</w:t>
      </w:r>
    </w:p>
    <w:p w14:paraId="37B0FC90">
      <w:pPr>
        <w:pStyle w:val="30"/>
        <w:spacing w:line="360" w:lineRule="auto"/>
        <w:ind w:firstLine="0" w:firstLineChars="0"/>
        <w:rPr>
          <w:rFonts w:hint="eastAsia" w:ascii="仿宋_GB2312" w:hAnsi="仿宋" w:eastAsia="仿宋_GB2312"/>
          <w:sz w:val="24"/>
          <w:szCs w:val="24"/>
        </w:rPr>
      </w:pPr>
      <w:r>
        <w:rPr>
          <w:rFonts w:hint="eastAsia" w:ascii="仿宋_GB2312" w:hAnsi="仿宋" w:eastAsia="仿宋_GB2312"/>
          <w:sz w:val="24"/>
          <w:szCs w:val="24"/>
        </w:rPr>
        <w:t>（二）销售机构</w:t>
      </w:r>
    </w:p>
    <w:p w14:paraId="1BD5FA01">
      <w:pPr>
        <w:pStyle w:val="30"/>
        <w:spacing w:line="360" w:lineRule="auto"/>
        <w:ind w:firstLine="0" w:firstLineChars="0"/>
        <w:rPr>
          <w:rFonts w:hint="eastAsia" w:ascii="仿宋_GB2312" w:hAnsi="仿宋" w:eastAsia="仿宋_GB2312"/>
          <w:sz w:val="24"/>
          <w:szCs w:val="24"/>
        </w:rPr>
      </w:pPr>
      <w:r>
        <w:rPr>
          <w:rFonts w:hint="eastAsia" w:ascii="仿宋_GB2312" w:hAnsi="仿宋" w:eastAsia="仿宋_GB2312"/>
          <w:sz w:val="24"/>
          <w:szCs w:val="24"/>
        </w:rPr>
        <w:t>（三）禁止参与公众认购的投资者</w:t>
      </w:r>
    </w:p>
    <w:p w14:paraId="7AE4BC18">
      <w:pPr>
        <w:pStyle w:val="30"/>
        <w:spacing w:line="360" w:lineRule="auto"/>
        <w:ind w:firstLine="0" w:firstLineChars="0"/>
        <w:rPr>
          <w:rFonts w:hint="eastAsia" w:ascii="仿宋_GB2312" w:hAnsi="仿宋" w:eastAsia="仿宋_GB2312"/>
          <w:b/>
          <w:sz w:val="24"/>
          <w:szCs w:val="24"/>
        </w:rPr>
      </w:pPr>
      <w:r>
        <w:rPr>
          <w:rFonts w:hint="eastAsia" w:ascii="仿宋_GB2312" w:hAnsi="仿宋" w:eastAsia="仿宋_GB2312"/>
          <w:b/>
          <w:sz w:val="24"/>
          <w:szCs w:val="24"/>
        </w:rPr>
        <w:t>六、中止发售情况</w:t>
      </w:r>
    </w:p>
    <w:p w14:paraId="3410ECB7">
      <w:pPr>
        <w:pStyle w:val="30"/>
        <w:spacing w:line="360" w:lineRule="auto"/>
        <w:ind w:firstLine="0" w:firstLineChars="0"/>
        <w:rPr>
          <w:rFonts w:hint="eastAsia" w:ascii="仿宋_GB2312" w:hAnsi="仿宋" w:eastAsia="仿宋_GB2312"/>
          <w:b/>
          <w:sz w:val="24"/>
          <w:szCs w:val="24"/>
        </w:rPr>
      </w:pPr>
      <w:r>
        <w:rPr>
          <w:rFonts w:hint="eastAsia" w:ascii="仿宋_GB2312" w:hAnsi="仿宋" w:eastAsia="仿宋_GB2312"/>
          <w:b/>
          <w:sz w:val="24"/>
          <w:szCs w:val="24"/>
        </w:rPr>
        <w:t>七、发售费用</w:t>
      </w:r>
    </w:p>
    <w:p w14:paraId="0855F609">
      <w:pPr>
        <w:pStyle w:val="30"/>
        <w:spacing w:line="360" w:lineRule="auto"/>
        <w:ind w:firstLine="0" w:firstLineChars="0"/>
        <w:rPr>
          <w:rFonts w:hint="eastAsia" w:ascii="仿宋_GB2312" w:hAnsi="仿宋" w:eastAsia="仿宋_GB2312"/>
          <w:b/>
          <w:sz w:val="24"/>
          <w:szCs w:val="24"/>
        </w:rPr>
      </w:pPr>
      <w:r>
        <w:rPr>
          <w:rFonts w:hint="eastAsia" w:ascii="仿宋_GB2312" w:hAnsi="仿宋" w:eastAsia="仿宋_GB2312"/>
          <w:b/>
          <w:sz w:val="24"/>
          <w:szCs w:val="24"/>
        </w:rPr>
        <w:t>八、基金管理人和财务顾问联系方式</w:t>
      </w:r>
    </w:p>
    <w:p w14:paraId="64CC6AAB">
      <w:pPr>
        <w:rPr>
          <w:rFonts w:ascii="仿宋_GB2312" w:eastAsia="仿宋_GB2312"/>
          <w:b/>
          <w:bCs/>
          <w:sz w:val="24"/>
          <w:szCs w:val="24"/>
        </w:rPr>
      </w:pPr>
      <w:r>
        <w:rPr>
          <w:rFonts w:hint="eastAsia" w:ascii="仿宋_GB2312" w:eastAsia="仿宋_GB2312"/>
          <w:b/>
          <w:bCs/>
          <w:sz w:val="24"/>
          <w:szCs w:val="24"/>
        </w:rPr>
        <w:t>附表：投资者报价信息统计</w:t>
      </w:r>
    </w:p>
    <w:tbl>
      <w:tblPr>
        <w:tblStyle w:val="15"/>
        <w:tblW w:w="8522" w:type="dxa"/>
        <w:tblInd w:w="0" w:type="dxa"/>
        <w:tblLayout w:type="fixed"/>
        <w:tblCellMar>
          <w:top w:w="0" w:type="dxa"/>
          <w:left w:w="0" w:type="dxa"/>
          <w:bottom w:w="0" w:type="dxa"/>
          <w:right w:w="0" w:type="dxa"/>
        </w:tblCellMar>
      </w:tblPr>
      <w:tblGrid>
        <w:gridCol w:w="675"/>
        <w:gridCol w:w="1276"/>
        <w:gridCol w:w="992"/>
        <w:gridCol w:w="993"/>
        <w:gridCol w:w="992"/>
        <w:gridCol w:w="1276"/>
        <w:gridCol w:w="1559"/>
        <w:gridCol w:w="759"/>
      </w:tblGrid>
      <w:tr w14:paraId="5B2ABE33">
        <w:tblPrEx>
          <w:tblCellMar>
            <w:top w:w="0" w:type="dxa"/>
            <w:left w:w="0" w:type="dxa"/>
            <w:bottom w:w="0" w:type="dxa"/>
            <w:right w:w="0" w:type="dxa"/>
          </w:tblCellMar>
        </w:tblPrEx>
        <w:tc>
          <w:tcPr>
            <w:tcW w:w="675"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tcPr>
          <w:p w14:paraId="11251331">
            <w:pPr>
              <w:rPr>
                <w:rFonts w:ascii="仿宋_GB2312" w:eastAsia="仿宋_GB2312" w:cs="宋体"/>
                <w:b/>
                <w:bCs/>
                <w:szCs w:val="21"/>
              </w:rPr>
            </w:pPr>
            <w:r>
              <w:rPr>
                <w:rFonts w:hint="eastAsia" w:ascii="仿宋_GB2312" w:eastAsia="仿宋_GB2312"/>
                <w:b/>
                <w:bCs/>
              </w:rPr>
              <w:t>序号</w:t>
            </w:r>
          </w:p>
        </w:tc>
        <w:tc>
          <w:tcPr>
            <w:tcW w:w="1276" w:type="dxa"/>
            <w:tcBorders>
              <w:top w:val="single" w:color="auto" w:sz="8" w:space="0"/>
              <w:left w:val="nil"/>
              <w:bottom w:val="single" w:color="auto" w:sz="8" w:space="0"/>
              <w:right w:val="single" w:color="auto" w:sz="8" w:space="0"/>
            </w:tcBorders>
            <w:tcMar>
              <w:top w:w="0" w:type="dxa"/>
              <w:left w:w="108" w:type="dxa"/>
              <w:bottom w:w="0" w:type="dxa"/>
              <w:right w:w="108" w:type="dxa"/>
            </w:tcMar>
          </w:tcPr>
          <w:p w14:paraId="565DF5F2">
            <w:pPr>
              <w:rPr>
                <w:rFonts w:ascii="仿宋_GB2312" w:eastAsia="仿宋_GB2312" w:cs="宋体"/>
                <w:b/>
                <w:bCs/>
                <w:szCs w:val="21"/>
              </w:rPr>
            </w:pPr>
            <w:r>
              <w:rPr>
                <w:rFonts w:hint="eastAsia" w:ascii="仿宋_GB2312" w:eastAsia="仿宋_GB2312"/>
                <w:b/>
                <w:bCs/>
              </w:rPr>
              <w:t>网下机构名称</w:t>
            </w:r>
          </w:p>
        </w:tc>
        <w:tc>
          <w:tcPr>
            <w:tcW w:w="992" w:type="dxa"/>
            <w:tcBorders>
              <w:top w:val="single" w:color="auto" w:sz="8" w:space="0"/>
              <w:left w:val="nil"/>
              <w:bottom w:val="single" w:color="auto" w:sz="8" w:space="0"/>
              <w:right w:val="single" w:color="auto" w:sz="8" w:space="0"/>
            </w:tcBorders>
            <w:tcMar>
              <w:top w:w="0" w:type="dxa"/>
              <w:left w:w="108" w:type="dxa"/>
              <w:bottom w:w="0" w:type="dxa"/>
              <w:right w:w="108" w:type="dxa"/>
            </w:tcMar>
          </w:tcPr>
          <w:p w14:paraId="6DB13920">
            <w:pPr>
              <w:rPr>
                <w:rFonts w:ascii="仿宋_GB2312" w:eastAsia="仿宋_GB2312" w:cs="宋体"/>
                <w:b/>
                <w:bCs/>
                <w:szCs w:val="21"/>
              </w:rPr>
            </w:pPr>
            <w:r>
              <w:rPr>
                <w:rFonts w:hint="eastAsia" w:ascii="仿宋_GB2312" w:eastAsia="仿宋_GB2312"/>
                <w:b/>
                <w:bCs/>
              </w:rPr>
              <w:t>配售对象代码</w:t>
            </w:r>
          </w:p>
        </w:tc>
        <w:tc>
          <w:tcPr>
            <w:tcW w:w="993" w:type="dxa"/>
            <w:tcBorders>
              <w:top w:val="single" w:color="auto" w:sz="8" w:space="0"/>
              <w:left w:val="nil"/>
              <w:bottom w:val="single" w:color="auto" w:sz="8" w:space="0"/>
              <w:right w:val="single" w:color="auto" w:sz="8" w:space="0"/>
            </w:tcBorders>
            <w:tcMar>
              <w:top w:w="0" w:type="dxa"/>
              <w:left w:w="108" w:type="dxa"/>
              <w:bottom w:w="0" w:type="dxa"/>
              <w:right w:w="108" w:type="dxa"/>
            </w:tcMar>
          </w:tcPr>
          <w:p w14:paraId="42E97643">
            <w:pPr>
              <w:rPr>
                <w:rFonts w:ascii="仿宋_GB2312" w:eastAsia="仿宋_GB2312" w:cs="宋体"/>
                <w:b/>
                <w:bCs/>
                <w:szCs w:val="21"/>
              </w:rPr>
            </w:pPr>
            <w:r>
              <w:rPr>
                <w:rFonts w:hint="eastAsia" w:ascii="仿宋_GB2312" w:eastAsia="仿宋_GB2312"/>
                <w:b/>
                <w:bCs/>
              </w:rPr>
              <w:t>配售对象名称</w:t>
            </w:r>
          </w:p>
        </w:tc>
        <w:tc>
          <w:tcPr>
            <w:tcW w:w="992" w:type="dxa"/>
            <w:tcBorders>
              <w:top w:val="single" w:color="auto" w:sz="8" w:space="0"/>
              <w:left w:val="nil"/>
              <w:bottom w:val="single" w:color="auto" w:sz="8" w:space="0"/>
              <w:right w:val="single" w:color="auto" w:sz="8" w:space="0"/>
            </w:tcBorders>
            <w:tcMar>
              <w:top w:w="0" w:type="dxa"/>
              <w:left w:w="108" w:type="dxa"/>
              <w:bottom w:w="0" w:type="dxa"/>
              <w:right w:w="108" w:type="dxa"/>
            </w:tcMar>
          </w:tcPr>
          <w:p w14:paraId="116AC913">
            <w:pPr>
              <w:rPr>
                <w:rFonts w:ascii="仿宋_GB2312" w:eastAsia="仿宋_GB2312" w:cs="宋体"/>
                <w:b/>
                <w:bCs/>
                <w:szCs w:val="21"/>
              </w:rPr>
            </w:pPr>
            <w:r>
              <w:rPr>
                <w:rFonts w:hint="eastAsia" w:ascii="仿宋_GB2312" w:eastAsia="仿宋_GB2312"/>
                <w:b/>
                <w:bCs/>
              </w:rPr>
              <w:t>配售对象类别</w:t>
            </w:r>
          </w:p>
        </w:tc>
        <w:tc>
          <w:tcPr>
            <w:tcW w:w="1276" w:type="dxa"/>
            <w:tcBorders>
              <w:top w:val="single" w:color="auto" w:sz="8" w:space="0"/>
              <w:left w:val="nil"/>
              <w:bottom w:val="single" w:color="auto" w:sz="8" w:space="0"/>
              <w:right w:val="single" w:color="auto" w:sz="8" w:space="0"/>
            </w:tcBorders>
            <w:tcMar>
              <w:top w:w="0" w:type="dxa"/>
              <w:left w:w="108" w:type="dxa"/>
              <w:bottom w:w="0" w:type="dxa"/>
              <w:right w:w="108" w:type="dxa"/>
            </w:tcMar>
          </w:tcPr>
          <w:p w14:paraId="48B0A47C">
            <w:pPr>
              <w:rPr>
                <w:rFonts w:ascii="仿宋_GB2312" w:eastAsia="仿宋_GB2312" w:cs="宋体"/>
                <w:b/>
                <w:bCs/>
                <w:szCs w:val="21"/>
              </w:rPr>
            </w:pPr>
            <w:r>
              <w:rPr>
                <w:rFonts w:hint="eastAsia" w:ascii="仿宋_GB2312" w:eastAsia="仿宋_GB2312"/>
                <w:b/>
                <w:bCs/>
              </w:rPr>
              <w:t>拟认购价格（元）</w:t>
            </w:r>
          </w:p>
        </w:tc>
        <w:tc>
          <w:tcPr>
            <w:tcW w:w="1559" w:type="dxa"/>
            <w:tcBorders>
              <w:top w:val="single" w:color="auto" w:sz="8" w:space="0"/>
              <w:left w:val="nil"/>
              <w:bottom w:val="single" w:color="auto" w:sz="8" w:space="0"/>
              <w:right w:val="single" w:color="auto" w:sz="8" w:space="0"/>
            </w:tcBorders>
            <w:tcMar>
              <w:top w:w="0" w:type="dxa"/>
              <w:left w:w="108" w:type="dxa"/>
              <w:bottom w:w="0" w:type="dxa"/>
              <w:right w:w="108" w:type="dxa"/>
            </w:tcMar>
          </w:tcPr>
          <w:p w14:paraId="3BA306EF">
            <w:pPr>
              <w:rPr>
                <w:rFonts w:ascii="仿宋_GB2312" w:eastAsia="仿宋_GB2312" w:cs="宋体"/>
                <w:b/>
                <w:bCs/>
                <w:szCs w:val="21"/>
              </w:rPr>
            </w:pPr>
            <w:r>
              <w:rPr>
                <w:rFonts w:hint="eastAsia" w:ascii="仿宋_GB2312" w:eastAsia="仿宋_GB2312"/>
                <w:b/>
                <w:bCs/>
              </w:rPr>
              <w:t>拟认购数量（万份）</w:t>
            </w:r>
          </w:p>
        </w:tc>
        <w:tc>
          <w:tcPr>
            <w:tcW w:w="759" w:type="dxa"/>
            <w:tcBorders>
              <w:top w:val="single" w:color="auto" w:sz="8" w:space="0"/>
              <w:left w:val="nil"/>
              <w:bottom w:val="single" w:color="auto" w:sz="8" w:space="0"/>
              <w:right w:val="single" w:color="auto" w:sz="8" w:space="0"/>
            </w:tcBorders>
            <w:tcMar>
              <w:top w:w="0" w:type="dxa"/>
              <w:left w:w="108" w:type="dxa"/>
              <w:bottom w:w="0" w:type="dxa"/>
              <w:right w:w="108" w:type="dxa"/>
            </w:tcMar>
          </w:tcPr>
          <w:p w14:paraId="784DC926">
            <w:pPr>
              <w:rPr>
                <w:rFonts w:ascii="仿宋_GB2312" w:eastAsia="仿宋_GB2312" w:cs="宋体"/>
                <w:b/>
                <w:bCs/>
                <w:szCs w:val="21"/>
              </w:rPr>
            </w:pPr>
            <w:r>
              <w:rPr>
                <w:rFonts w:hint="eastAsia" w:ascii="仿宋_GB2312" w:eastAsia="仿宋_GB2312"/>
                <w:b/>
                <w:bCs/>
              </w:rPr>
              <w:t>备注</w:t>
            </w:r>
          </w:p>
        </w:tc>
      </w:tr>
      <w:tr w14:paraId="2A027417">
        <w:tblPrEx>
          <w:tblCellMar>
            <w:top w:w="0" w:type="dxa"/>
            <w:left w:w="0" w:type="dxa"/>
            <w:bottom w:w="0" w:type="dxa"/>
            <w:right w:w="0" w:type="dxa"/>
          </w:tblCellMar>
        </w:tblPrEx>
        <w:tc>
          <w:tcPr>
            <w:tcW w:w="675" w:type="dxa"/>
            <w:tcBorders>
              <w:top w:val="nil"/>
              <w:left w:val="single" w:color="auto" w:sz="8" w:space="0"/>
              <w:bottom w:val="single" w:color="auto" w:sz="8" w:space="0"/>
              <w:right w:val="single" w:color="auto" w:sz="8" w:space="0"/>
            </w:tcBorders>
            <w:tcMar>
              <w:top w:w="0" w:type="dxa"/>
              <w:left w:w="108" w:type="dxa"/>
              <w:bottom w:w="0" w:type="dxa"/>
              <w:right w:w="108" w:type="dxa"/>
            </w:tcMar>
          </w:tcPr>
          <w:p w14:paraId="11CF8D10">
            <w:pPr>
              <w:rPr>
                <w:rFonts w:ascii="仿宋_GB2312" w:eastAsia="仿宋_GB2312" w:cs="宋体"/>
                <w:b/>
                <w:bCs/>
                <w:sz w:val="24"/>
                <w:szCs w:val="24"/>
              </w:rPr>
            </w:pPr>
          </w:p>
        </w:tc>
        <w:tc>
          <w:tcPr>
            <w:tcW w:w="1276" w:type="dxa"/>
            <w:tcBorders>
              <w:top w:val="nil"/>
              <w:left w:val="nil"/>
              <w:bottom w:val="single" w:color="auto" w:sz="8" w:space="0"/>
              <w:right w:val="single" w:color="auto" w:sz="8" w:space="0"/>
            </w:tcBorders>
            <w:tcMar>
              <w:top w:w="0" w:type="dxa"/>
              <w:left w:w="108" w:type="dxa"/>
              <w:bottom w:w="0" w:type="dxa"/>
              <w:right w:w="108" w:type="dxa"/>
            </w:tcMar>
          </w:tcPr>
          <w:p w14:paraId="62634CD1">
            <w:pPr>
              <w:rPr>
                <w:rFonts w:ascii="仿宋_GB2312" w:eastAsia="仿宋_GB2312" w:cs="宋体"/>
                <w:b/>
                <w:bCs/>
                <w:sz w:val="24"/>
                <w:szCs w:val="24"/>
              </w:rPr>
            </w:pPr>
          </w:p>
        </w:tc>
        <w:tc>
          <w:tcPr>
            <w:tcW w:w="992" w:type="dxa"/>
            <w:tcBorders>
              <w:top w:val="nil"/>
              <w:left w:val="nil"/>
              <w:bottom w:val="single" w:color="auto" w:sz="8" w:space="0"/>
              <w:right w:val="single" w:color="auto" w:sz="8" w:space="0"/>
            </w:tcBorders>
            <w:tcMar>
              <w:top w:w="0" w:type="dxa"/>
              <w:left w:w="108" w:type="dxa"/>
              <w:bottom w:w="0" w:type="dxa"/>
              <w:right w:w="108" w:type="dxa"/>
            </w:tcMar>
          </w:tcPr>
          <w:p w14:paraId="1686DC00">
            <w:pPr>
              <w:rPr>
                <w:rFonts w:ascii="仿宋_GB2312" w:eastAsia="仿宋_GB2312" w:cs="宋体"/>
                <w:b/>
                <w:bCs/>
                <w:sz w:val="24"/>
                <w:szCs w:val="24"/>
              </w:rPr>
            </w:pPr>
          </w:p>
        </w:tc>
        <w:tc>
          <w:tcPr>
            <w:tcW w:w="993" w:type="dxa"/>
            <w:tcBorders>
              <w:top w:val="nil"/>
              <w:left w:val="nil"/>
              <w:bottom w:val="single" w:color="auto" w:sz="8" w:space="0"/>
              <w:right w:val="single" w:color="auto" w:sz="8" w:space="0"/>
            </w:tcBorders>
            <w:tcMar>
              <w:top w:w="0" w:type="dxa"/>
              <w:left w:w="108" w:type="dxa"/>
              <w:bottom w:w="0" w:type="dxa"/>
              <w:right w:w="108" w:type="dxa"/>
            </w:tcMar>
          </w:tcPr>
          <w:p w14:paraId="4EB298F5">
            <w:pPr>
              <w:rPr>
                <w:rFonts w:ascii="仿宋_GB2312" w:eastAsia="仿宋_GB2312" w:cs="宋体"/>
                <w:b/>
                <w:bCs/>
                <w:sz w:val="24"/>
                <w:szCs w:val="24"/>
              </w:rPr>
            </w:pPr>
          </w:p>
        </w:tc>
        <w:tc>
          <w:tcPr>
            <w:tcW w:w="992" w:type="dxa"/>
            <w:tcBorders>
              <w:top w:val="nil"/>
              <w:left w:val="nil"/>
              <w:bottom w:val="single" w:color="auto" w:sz="8" w:space="0"/>
              <w:right w:val="single" w:color="auto" w:sz="8" w:space="0"/>
            </w:tcBorders>
            <w:tcMar>
              <w:top w:w="0" w:type="dxa"/>
              <w:left w:w="108" w:type="dxa"/>
              <w:bottom w:w="0" w:type="dxa"/>
              <w:right w:w="108" w:type="dxa"/>
            </w:tcMar>
          </w:tcPr>
          <w:p w14:paraId="34A2C83F">
            <w:pPr>
              <w:rPr>
                <w:rFonts w:ascii="仿宋_GB2312" w:eastAsia="仿宋_GB2312" w:cs="宋体"/>
                <w:b/>
                <w:bCs/>
                <w:sz w:val="24"/>
                <w:szCs w:val="24"/>
              </w:rPr>
            </w:pPr>
          </w:p>
        </w:tc>
        <w:tc>
          <w:tcPr>
            <w:tcW w:w="1276" w:type="dxa"/>
            <w:tcBorders>
              <w:top w:val="nil"/>
              <w:left w:val="nil"/>
              <w:bottom w:val="single" w:color="auto" w:sz="8" w:space="0"/>
              <w:right w:val="single" w:color="auto" w:sz="8" w:space="0"/>
            </w:tcBorders>
            <w:tcMar>
              <w:top w:w="0" w:type="dxa"/>
              <w:left w:w="108" w:type="dxa"/>
              <w:bottom w:w="0" w:type="dxa"/>
              <w:right w:w="108" w:type="dxa"/>
            </w:tcMar>
          </w:tcPr>
          <w:p w14:paraId="63E8D92C">
            <w:pPr>
              <w:rPr>
                <w:rFonts w:ascii="仿宋_GB2312" w:eastAsia="仿宋_GB2312" w:cs="宋体"/>
                <w:b/>
                <w:bCs/>
                <w:sz w:val="24"/>
                <w:szCs w:val="24"/>
              </w:rPr>
            </w:pPr>
          </w:p>
        </w:tc>
        <w:tc>
          <w:tcPr>
            <w:tcW w:w="1559" w:type="dxa"/>
            <w:tcBorders>
              <w:top w:val="nil"/>
              <w:left w:val="nil"/>
              <w:bottom w:val="single" w:color="auto" w:sz="8" w:space="0"/>
              <w:right w:val="single" w:color="auto" w:sz="8" w:space="0"/>
            </w:tcBorders>
            <w:tcMar>
              <w:top w:w="0" w:type="dxa"/>
              <w:left w:w="108" w:type="dxa"/>
              <w:bottom w:w="0" w:type="dxa"/>
              <w:right w:w="108" w:type="dxa"/>
            </w:tcMar>
          </w:tcPr>
          <w:p w14:paraId="76E06757">
            <w:pPr>
              <w:rPr>
                <w:rFonts w:ascii="仿宋_GB2312" w:eastAsia="仿宋_GB2312" w:cs="宋体"/>
                <w:b/>
                <w:bCs/>
                <w:sz w:val="24"/>
                <w:szCs w:val="24"/>
              </w:rPr>
            </w:pPr>
          </w:p>
        </w:tc>
        <w:tc>
          <w:tcPr>
            <w:tcW w:w="759" w:type="dxa"/>
            <w:tcBorders>
              <w:top w:val="nil"/>
              <w:left w:val="nil"/>
              <w:bottom w:val="single" w:color="auto" w:sz="8" w:space="0"/>
              <w:right w:val="single" w:color="auto" w:sz="8" w:space="0"/>
            </w:tcBorders>
            <w:tcMar>
              <w:top w:w="0" w:type="dxa"/>
              <w:left w:w="108" w:type="dxa"/>
              <w:bottom w:w="0" w:type="dxa"/>
              <w:right w:w="108" w:type="dxa"/>
            </w:tcMar>
          </w:tcPr>
          <w:p w14:paraId="19E96633">
            <w:pPr>
              <w:rPr>
                <w:rFonts w:ascii="仿宋_GB2312" w:eastAsia="仿宋_GB2312" w:cs="宋体"/>
                <w:b/>
                <w:bCs/>
                <w:sz w:val="24"/>
                <w:szCs w:val="24"/>
              </w:rPr>
            </w:pPr>
          </w:p>
        </w:tc>
      </w:tr>
    </w:tbl>
    <w:p w14:paraId="3B2C6DB9">
      <w:pPr>
        <w:rPr>
          <w:szCs w:val="21"/>
        </w:rPr>
      </w:pPr>
    </w:p>
    <w:p w14:paraId="327A241B">
      <w:pPr>
        <w:rPr>
          <w:szCs w:val="21"/>
        </w:rPr>
      </w:pPr>
    </w:p>
    <w:p w14:paraId="12C7E7BE">
      <w:pPr>
        <w:spacing w:after="156" w:afterLines="50" w:line="360" w:lineRule="auto"/>
        <w:outlineLvl w:val="2"/>
        <w:rPr>
          <w:rFonts w:hint="eastAsia" w:ascii="宋体" w:hAnsi="宋体"/>
          <w:b/>
          <w:sz w:val="24"/>
        </w:rPr>
      </w:pPr>
      <w:bookmarkStart w:id="1528" w:name="_Toc65181452"/>
      <w:bookmarkStart w:id="1529" w:name="_Toc15054"/>
      <w:r>
        <w:rPr>
          <w:rFonts w:ascii="宋体" w:hAnsi="宋体"/>
          <w:b/>
          <w:sz w:val="24"/>
        </w:rPr>
        <w:br w:type="page"/>
      </w:r>
      <w:bookmarkStart w:id="1530" w:name="_Toc1086953270"/>
      <w:bookmarkStart w:id="1531" w:name="_Toc70604264"/>
      <w:bookmarkStart w:id="1532" w:name="_Toc1394099209"/>
      <w:bookmarkStart w:id="1533" w:name="_Toc510180988"/>
      <w:bookmarkStart w:id="1534" w:name="_Toc1624136620"/>
      <w:bookmarkStart w:id="1535" w:name="_Toc1882462478"/>
      <w:bookmarkStart w:id="1536" w:name="_Toc2140808774"/>
      <w:bookmarkStart w:id="1537" w:name="_Toc1449282962"/>
      <w:r>
        <w:rPr>
          <w:rFonts w:hint="eastAsia" w:ascii="宋体" w:hAnsi="宋体"/>
          <w:b/>
          <w:sz w:val="24"/>
        </w:rPr>
        <w:t>附件</w:t>
      </w:r>
      <w:r>
        <w:rPr>
          <w:rFonts w:hint="eastAsia" w:ascii="Times New Roman" w:hAnsi="Times New Roman"/>
          <w:b/>
          <w:sz w:val="24"/>
        </w:rPr>
        <w:t>2</w:t>
      </w:r>
      <w:r>
        <w:rPr>
          <w:rFonts w:hint="eastAsia" w:ascii="宋体" w:hAnsi="宋体"/>
          <w:b/>
          <w:sz w:val="24"/>
        </w:rPr>
        <w:t>-</w:t>
      </w:r>
      <w:r>
        <w:rPr>
          <w:rFonts w:hint="eastAsia" w:ascii="Times New Roman" w:hAnsi="Times New Roman"/>
          <w:b/>
          <w:sz w:val="24"/>
        </w:rPr>
        <w:t>3</w:t>
      </w:r>
      <w:r>
        <w:rPr>
          <w:rFonts w:hint="eastAsia" w:ascii="宋体" w:hAnsi="宋体"/>
          <w:b/>
          <w:sz w:val="24"/>
        </w:rPr>
        <w:t>：《基金合同生效公告》必备要素</w:t>
      </w:r>
      <w:bookmarkEnd w:id="1528"/>
      <w:bookmarkEnd w:id="1529"/>
      <w:bookmarkEnd w:id="1530"/>
      <w:bookmarkEnd w:id="1531"/>
      <w:bookmarkEnd w:id="1532"/>
      <w:bookmarkEnd w:id="1533"/>
      <w:bookmarkEnd w:id="1534"/>
      <w:bookmarkEnd w:id="1535"/>
      <w:bookmarkEnd w:id="1536"/>
      <w:bookmarkEnd w:id="1537"/>
    </w:p>
    <w:p w14:paraId="1A1225E3">
      <w:pPr>
        <w:pStyle w:val="30"/>
        <w:spacing w:line="360" w:lineRule="auto"/>
        <w:ind w:firstLine="0" w:firstLineChars="0"/>
        <w:rPr>
          <w:rFonts w:hint="eastAsia" w:ascii="仿宋_GB2312" w:hAnsi="仿宋" w:eastAsia="仿宋_GB2312"/>
          <w:sz w:val="24"/>
          <w:szCs w:val="24"/>
        </w:rPr>
      </w:pPr>
      <w:r>
        <w:rPr>
          <w:rFonts w:hint="eastAsia" w:ascii="仿宋_GB2312" w:hAnsi="仿宋" w:eastAsia="仿宋_GB2312"/>
          <w:b/>
          <w:sz w:val="24"/>
          <w:szCs w:val="24"/>
        </w:rPr>
        <w:t>一、公告基本信息</w:t>
      </w:r>
    </w:p>
    <w:p w14:paraId="45444257">
      <w:pPr>
        <w:pStyle w:val="30"/>
        <w:spacing w:line="360" w:lineRule="auto"/>
        <w:ind w:firstLine="0" w:firstLineChars="0"/>
        <w:rPr>
          <w:rFonts w:hint="eastAsia" w:ascii="仿宋_GB2312" w:hAnsi="仿宋" w:eastAsia="仿宋_GB2312"/>
          <w:bCs/>
          <w:sz w:val="24"/>
          <w:szCs w:val="24"/>
        </w:rPr>
      </w:pPr>
      <w:r>
        <w:rPr>
          <w:rFonts w:hint="eastAsia" w:ascii="仿宋_GB2312" w:hAnsi="仿宋" w:eastAsia="仿宋_GB2312"/>
          <w:sz w:val="24"/>
          <w:szCs w:val="24"/>
        </w:rPr>
        <w:t>基金名称、基金简称、基金运作方式、基金合同生效日等。</w:t>
      </w:r>
    </w:p>
    <w:p w14:paraId="66B1EB61">
      <w:pPr>
        <w:pStyle w:val="30"/>
        <w:spacing w:line="360" w:lineRule="auto"/>
        <w:ind w:firstLine="0" w:firstLineChars="0"/>
        <w:rPr>
          <w:rFonts w:hint="eastAsia" w:ascii="仿宋_GB2312" w:hAnsi="仿宋" w:eastAsia="仿宋_GB2312"/>
          <w:bCs/>
          <w:sz w:val="24"/>
          <w:szCs w:val="24"/>
        </w:rPr>
      </w:pPr>
    </w:p>
    <w:p w14:paraId="529FD808">
      <w:pPr>
        <w:pStyle w:val="30"/>
        <w:spacing w:line="360" w:lineRule="auto"/>
        <w:ind w:firstLine="0" w:firstLineChars="0"/>
        <w:rPr>
          <w:rFonts w:hint="eastAsia" w:ascii="仿宋_GB2312" w:hAnsi="仿宋" w:eastAsia="仿宋_GB2312"/>
          <w:sz w:val="24"/>
          <w:szCs w:val="24"/>
        </w:rPr>
      </w:pPr>
      <w:r>
        <w:rPr>
          <w:rFonts w:hint="eastAsia" w:ascii="仿宋_GB2312" w:hAnsi="仿宋" w:eastAsia="仿宋_GB2312"/>
          <w:b/>
          <w:sz w:val="24"/>
          <w:szCs w:val="24"/>
        </w:rPr>
        <w:t>二、基金募集情况</w:t>
      </w:r>
    </w:p>
    <w:p w14:paraId="592F850B">
      <w:pPr>
        <w:pStyle w:val="30"/>
        <w:spacing w:line="360" w:lineRule="auto"/>
        <w:ind w:firstLine="0" w:firstLineChars="0"/>
        <w:rPr>
          <w:rFonts w:hint="eastAsia" w:ascii="仿宋_GB2312" w:hAnsi="仿宋" w:eastAsia="仿宋_GB2312"/>
          <w:bCs/>
          <w:sz w:val="24"/>
          <w:szCs w:val="24"/>
        </w:rPr>
      </w:pPr>
      <w:r>
        <w:rPr>
          <w:rFonts w:hint="eastAsia" w:ascii="仿宋_GB2312" w:hAnsi="仿宋" w:eastAsia="仿宋_GB2312"/>
          <w:sz w:val="24"/>
          <w:szCs w:val="24"/>
        </w:rPr>
        <w:t>（一）有效认购份额、募集期间净认购金额以及认购资金在募集期间产生的利息；</w:t>
      </w:r>
    </w:p>
    <w:p w14:paraId="0F0FE48B">
      <w:pPr>
        <w:pStyle w:val="30"/>
        <w:spacing w:line="360" w:lineRule="auto"/>
        <w:ind w:firstLine="0" w:firstLineChars="0"/>
        <w:rPr>
          <w:rFonts w:hint="eastAsia" w:ascii="仿宋_GB2312" w:hAnsi="仿宋" w:eastAsia="仿宋_GB2312"/>
          <w:bCs/>
          <w:sz w:val="24"/>
          <w:szCs w:val="24"/>
        </w:rPr>
      </w:pPr>
      <w:r>
        <w:rPr>
          <w:rFonts w:hint="eastAsia" w:ascii="仿宋_GB2312" w:hAnsi="仿宋" w:eastAsia="仿宋_GB2312"/>
          <w:sz w:val="24"/>
          <w:szCs w:val="24"/>
        </w:rPr>
        <w:t>（二）战略投资者名称、承诺认购的基金份额数量以及限售期安排、原始权益人初始持有不动产项目权益的比例等；</w:t>
      </w:r>
    </w:p>
    <w:p w14:paraId="6FBF7166">
      <w:pPr>
        <w:pStyle w:val="30"/>
        <w:spacing w:line="360" w:lineRule="auto"/>
        <w:ind w:firstLine="0" w:firstLineChars="0"/>
        <w:rPr>
          <w:rFonts w:hint="eastAsia" w:ascii="仿宋_GB2312" w:hAnsi="仿宋" w:eastAsia="仿宋_GB2312"/>
          <w:bCs/>
          <w:sz w:val="24"/>
          <w:szCs w:val="24"/>
        </w:rPr>
      </w:pPr>
      <w:r>
        <w:rPr>
          <w:rFonts w:hint="eastAsia" w:ascii="仿宋_GB2312" w:hAnsi="仿宋" w:eastAsia="仿宋_GB2312"/>
          <w:sz w:val="24"/>
          <w:szCs w:val="24"/>
        </w:rPr>
        <w:t>（三）最终向战略配售、网下发售和向公众投资者发售的基金份额数量及其比例，获配机构投资者名称以及每个获配投资者的报价、认购数量和获配数量等，并明确说明自主配售的结果是否符合事先公布的配售原则；</w:t>
      </w:r>
    </w:p>
    <w:p w14:paraId="1E6E4C25">
      <w:pPr>
        <w:pStyle w:val="30"/>
        <w:spacing w:line="360" w:lineRule="auto"/>
        <w:ind w:firstLine="0" w:firstLineChars="0"/>
        <w:rPr>
          <w:rFonts w:hint="eastAsia" w:ascii="仿宋_GB2312" w:hAnsi="仿宋" w:eastAsia="仿宋_GB2312"/>
          <w:bCs/>
          <w:sz w:val="24"/>
          <w:szCs w:val="24"/>
        </w:rPr>
      </w:pPr>
      <w:r>
        <w:rPr>
          <w:rFonts w:hint="eastAsia" w:ascii="仿宋_GB2312" w:hAnsi="仿宋" w:eastAsia="仿宋_GB2312"/>
          <w:sz w:val="24"/>
          <w:szCs w:val="24"/>
        </w:rPr>
        <w:t>（四）对于提供有效报价但未参与认购，或实际认购数量明显少于报价时拟认购数量的投资者应列表公示并着重说明。</w:t>
      </w:r>
    </w:p>
    <w:p w14:paraId="086BE51C">
      <w:pPr>
        <w:rPr>
          <w:rFonts w:ascii="仿宋_GB2312" w:hAnsi="Times New Roman" w:eastAsia="仿宋_GB2312"/>
          <w:color w:val="000000"/>
          <w:sz w:val="24"/>
          <w:szCs w:val="24"/>
        </w:rPr>
      </w:pPr>
    </w:p>
    <w:p w14:paraId="2E412975">
      <w:pPr>
        <w:rPr>
          <w:rFonts w:ascii="仿宋_GB2312" w:hAnsi="Times New Roman" w:eastAsia="仿宋_GB2312"/>
          <w:color w:val="000000"/>
          <w:sz w:val="24"/>
          <w:szCs w:val="24"/>
        </w:rPr>
      </w:pPr>
      <w:r>
        <w:rPr>
          <w:rFonts w:hint="eastAsia" w:ascii="仿宋_GB2312" w:hAnsi="Times New Roman" w:eastAsia="仿宋_GB2312"/>
          <w:b/>
          <w:bCs/>
          <w:color w:val="000000"/>
          <w:sz w:val="24"/>
          <w:szCs w:val="24"/>
        </w:rPr>
        <w:t>三、</w:t>
      </w:r>
      <w:r>
        <w:rPr>
          <w:rFonts w:hint="eastAsia" w:ascii="仿宋_GB2312" w:hAnsi="Times New Roman" w:eastAsia="仿宋_GB2312"/>
          <w:b/>
          <w:color w:val="000000"/>
          <w:sz w:val="24"/>
          <w:szCs w:val="24"/>
        </w:rPr>
        <w:t>其他需要提示的事项</w:t>
      </w:r>
    </w:p>
    <w:p w14:paraId="14E02F85">
      <w:pPr>
        <w:rPr>
          <w:rFonts w:hint="eastAsia" w:ascii="宋体" w:hAnsi="宋体"/>
          <w:b/>
          <w:sz w:val="24"/>
          <w:szCs w:val="24"/>
        </w:rPr>
      </w:pPr>
    </w:p>
    <w:p w14:paraId="778BB5C3">
      <w:pPr>
        <w:rPr>
          <w:rFonts w:hint="eastAsia" w:ascii="宋体" w:hAnsi="宋体"/>
          <w:b/>
          <w:sz w:val="24"/>
          <w:szCs w:val="24"/>
        </w:rPr>
      </w:pPr>
    </w:p>
    <w:p w14:paraId="45C8FFBD">
      <w:pPr>
        <w:spacing w:after="156" w:afterLines="50" w:line="360" w:lineRule="auto"/>
        <w:outlineLvl w:val="2"/>
        <w:rPr>
          <w:rFonts w:hint="eastAsia" w:ascii="宋体" w:hAnsi="宋体"/>
          <w:b/>
          <w:sz w:val="24"/>
        </w:rPr>
      </w:pPr>
      <w:r>
        <w:rPr>
          <w:rFonts w:ascii="宋体" w:hAnsi="宋体"/>
          <w:b/>
          <w:sz w:val="24"/>
        </w:rPr>
        <w:br w:type="page"/>
      </w:r>
      <w:bookmarkStart w:id="1538" w:name="_Toc70604265"/>
      <w:bookmarkStart w:id="1539" w:name="_Toc1990270476"/>
      <w:bookmarkStart w:id="1540" w:name="_Toc365708154"/>
      <w:bookmarkStart w:id="1541" w:name="_Toc1972828465"/>
      <w:bookmarkStart w:id="1542" w:name="_Toc425762426"/>
      <w:bookmarkStart w:id="1543" w:name="_Toc2124201527"/>
      <w:bookmarkStart w:id="1544" w:name="_Toc270972015"/>
      <w:bookmarkStart w:id="1545" w:name="_Toc1598617761"/>
      <w:r>
        <w:rPr>
          <w:rFonts w:hint="eastAsia" w:ascii="宋体" w:hAnsi="宋体"/>
          <w:b/>
          <w:sz w:val="24"/>
        </w:rPr>
        <w:t>附件</w:t>
      </w:r>
      <w:r>
        <w:rPr>
          <w:rFonts w:hint="eastAsia" w:ascii="Times New Roman" w:hAnsi="Times New Roman"/>
          <w:b/>
          <w:sz w:val="24"/>
        </w:rPr>
        <w:t>2</w:t>
      </w:r>
      <w:r>
        <w:rPr>
          <w:rFonts w:hint="eastAsia" w:ascii="宋体" w:hAnsi="宋体"/>
          <w:b/>
          <w:sz w:val="24"/>
        </w:rPr>
        <w:t>-</w:t>
      </w:r>
      <w:r>
        <w:rPr>
          <w:rFonts w:hint="eastAsia" w:ascii="Times New Roman" w:hAnsi="Times New Roman"/>
          <w:b/>
          <w:sz w:val="24"/>
        </w:rPr>
        <w:t>4</w:t>
      </w:r>
      <w:r>
        <w:rPr>
          <w:rFonts w:hint="eastAsia" w:ascii="宋体" w:hAnsi="宋体"/>
          <w:b/>
          <w:sz w:val="24"/>
        </w:rPr>
        <w:t>：《限售/锁定公告》必备要素</w:t>
      </w:r>
      <w:bookmarkEnd w:id="1538"/>
      <w:bookmarkEnd w:id="1539"/>
      <w:bookmarkEnd w:id="1540"/>
      <w:bookmarkEnd w:id="1541"/>
      <w:bookmarkEnd w:id="1542"/>
      <w:bookmarkEnd w:id="1543"/>
      <w:bookmarkEnd w:id="1544"/>
      <w:bookmarkEnd w:id="1545"/>
    </w:p>
    <w:p w14:paraId="4B07BFEA">
      <w:pPr>
        <w:spacing w:line="360" w:lineRule="auto"/>
        <w:rPr>
          <w:rFonts w:hint="eastAsia" w:ascii="仿宋_GB2312" w:hAnsi="仿宋" w:eastAsia="仿宋_GB2312"/>
          <w:sz w:val="24"/>
          <w:szCs w:val="24"/>
        </w:rPr>
      </w:pPr>
      <w:r>
        <w:rPr>
          <w:rFonts w:hint="eastAsia" w:ascii="仿宋_GB2312" w:hAnsi="仿宋" w:eastAsia="仿宋_GB2312"/>
          <w:b/>
          <w:sz w:val="24"/>
          <w:szCs w:val="24"/>
        </w:rPr>
        <w:t>一、公告基本信息</w:t>
      </w:r>
    </w:p>
    <w:p w14:paraId="035A4E13">
      <w:pPr>
        <w:spacing w:line="360" w:lineRule="auto"/>
        <w:rPr>
          <w:rFonts w:hint="eastAsia" w:ascii="仿宋_GB2312" w:hAnsi="仿宋" w:eastAsia="仿宋_GB2312"/>
          <w:sz w:val="24"/>
          <w:szCs w:val="24"/>
        </w:rPr>
      </w:pPr>
      <w:r>
        <w:rPr>
          <w:rFonts w:hint="eastAsia" w:ascii="仿宋_GB2312" w:hAnsi="仿宋" w:eastAsia="仿宋_GB2312"/>
          <w:sz w:val="24"/>
          <w:szCs w:val="24"/>
        </w:rPr>
        <w:t>证券代码：</w:t>
      </w:r>
    </w:p>
    <w:p w14:paraId="3A71EF1E">
      <w:pPr>
        <w:spacing w:line="360" w:lineRule="auto"/>
        <w:rPr>
          <w:rFonts w:hint="eastAsia" w:ascii="仿宋_GB2312" w:hAnsi="仿宋" w:eastAsia="仿宋_GB2312"/>
          <w:sz w:val="24"/>
          <w:szCs w:val="24"/>
        </w:rPr>
      </w:pPr>
      <w:r>
        <w:rPr>
          <w:rFonts w:hint="eastAsia" w:ascii="仿宋_GB2312" w:hAnsi="仿宋" w:eastAsia="仿宋_GB2312"/>
          <w:sz w:val="24"/>
          <w:szCs w:val="24"/>
        </w:rPr>
        <w:t>证券简称：</w:t>
      </w:r>
    </w:p>
    <w:p w14:paraId="3FEF1EED">
      <w:pPr>
        <w:spacing w:line="360" w:lineRule="auto"/>
        <w:rPr>
          <w:rFonts w:hint="eastAsia" w:ascii="仿宋_GB2312" w:hAnsi="仿宋" w:eastAsia="仿宋_GB2312"/>
          <w:sz w:val="24"/>
          <w:szCs w:val="24"/>
        </w:rPr>
      </w:pPr>
      <w:r>
        <w:rPr>
          <w:rFonts w:hint="eastAsia" w:ascii="仿宋_GB2312" w:hAnsi="仿宋" w:eastAsia="仿宋_GB2312"/>
          <w:sz w:val="24"/>
          <w:szCs w:val="24"/>
        </w:rPr>
        <w:t>证券全称：</w:t>
      </w:r>
    </w:p>
    <w:p w14:paraId="53823972">
      <w:pPr>
        <w:spacing w:line="360" w:lineRule="auto"/>
        <w:rPr>
          <w:rFonts w:hint="eastAsia" w:ascii="仿宋_GB2312" w:hAnsi="仿宋" w:eastAsia="仿宋_GB2312"/>
          <w:sz w:val="24"/>
          <w:szCs w:val="24"/>
        </w:rPr>
      </w:pPr>
      <w:r>
        <w:rPr>
          <w:rFonts w:hint="eastAsia" w:ascii="仿宋_GB2312" w:hAnsi="仿宋" w:eastAsia="仿宋_GB2312"/>
          <w:sz w:val="24"/>
          <w:szCs w:val="24"/>
        </w:rPr>
        <w:t xml:space="preserve">业务类型：场内限售□  场内解除限售□  </w:t>
      </w:r>
    </w:p>
    <w:p w14:paraId="45E2B1F7">
      <w:pPr>
        <w:spacing w:line="360" w:lineRule="auto"/>
        <w:rPr>
          <w:rFonts w:hint="eastAsia" w:ascii="仿宋_GB2312" w:hAnsi="仿宋" w:eastAsia="仿宋_GB2312"/>
          <w:sz w:val="24"/>
          <w:szCs w:val="24"/>
        </w:rPr>
      </w:pPr>
      <w:r>
        <w:rPr>
          <w:rFonts w:hint="eastAsia" w:ascii="仿宋_GB2312" w:hAnsi="仿宋" w:eastAsia="仿宋_GB2312"/>
          <w:sz w:val="24"/>
          <w:szCs w:val="24"/>
        </w:rPr>
        <w:t>生效时间：年 月 日</w:t>
      </w:r>
    </w:p>
    <w:p w14:paraId="24D22B9F">
      <w:pPr>
        <w:spacing w:line="360" w:lineRule="auto"/>
        <w:rPr>
          <w:rFonts w:hint="eastAsia" w:ascii="仿宋_GB2312" w:hAnsi="仿宋" w:eastAsia="仿宋_GB2312"/>
          <w:b/>
          <w:sz w:val="24"/>
          <w:szCs w:val="24"/>
        </w:rPr>
      </w:pPr>
      <w:r>
        <w:rPr>
          <w:rFonts w:hint="eastAsia" w:ascii="仿宋_GB2312" w:hAnsi="仿宋" w:eastAsia="仿宋_GB2312"/>
          <w:b/>
          <w:sz w:val="24"/>
          <w:szCs w:val="24"/>
        </w:rPr>
        <w:t>二、公告文件模板</w:t>
      </w:r>
    </w:p>
    <w:p w14:paraId="2DE032E7">
      <w:pPr>
        <w:spacing w:line="360" w:lineRule="auto"/>
        <w:rPr>
          <w:rFonts w:hint="eastAsia" w:ascii="仿宋_GB2312" w:hAnsi="仿宋" w:eastAsia="仿宋_GB2312"/>
          <w:b/>
          <w:sz w:val="24"/>
          <w:szCs w:val="24"/>
        </w:rPr>
      </w:pPr>
      <w:r>
        <w:rPr>
          <w:rFonts w:hint="eastAsia" w:ascii="仿宋_GB2312" w:hAnsi="仿宋" w:eastAsia="仿宋_GB2312"/>
          <w:b/>
          <w:sz w:val="24"/>
          <w:szCs w:val="24"/>
        </w:rPr>
        <w:t>（一）</w:t>
      </w:r>
      <w:r>
        <w:rPr>
          <w:rFonts w:hint="eastAsia" w:ascii="Times New Roman" w:hAnsi="Times New Roman" w:eastAsia="仿宋_GB2312"/>
          <w:b/>
          <w:sz w:val="24"/>
          <w:szCs w:val="24"/>
        </w:rPr>
        <w:t>REITs</w:t>
      </w:r>
      <w:r>
        <w:rPr>
          <w:rFonts w:hint="eastAsia" w:ascii="仿宋_GB2312" w:hAnsi="仿宋" w:eastAsia="仿宋_GB2312"/>
          <w:b/>
          <w:sz w:val="24"/>
          <w:szCs w:val="24"/>
        </w:rPr>
        <w:t>场内份额限售</w:t>
      </w:r>
    </w:p>
    <w:tbl>
      <w:tblPr>
        <w:tblStyle w:val="15"/>
        <w:tblW w:w="4804"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65"/>
        <w:gridCol w:w="2086"/>
        <w:gridCol w:w="1793"/>
        <w:gridCol w:w="1701"/>
        <w:gridCol w:w="1843"/>
      </w:tblGrid>
      <w:tr w14:paraId="002C2E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8" w:hRule="atLeast"/>
        </w:trPr>
        <w:tc>
          <w:tcPr>
            <w:tcW w:w="467" w:type="pct"/>
            <w:vAlign w:val="center"/>
          </w:tcPr>
          <w:p w14:paraId="0D0D8DFB">
            <w:pPr>
              <w:snapToGrid w:val="0"/>
              <w:jc w:val="center"/>
              <w:rPr>
                <w:rFonts w:ascii="仿宋_GB2312" w:hAnsi="Times New Roman" w:eastAsia="仿宋_GB2312"/>
                <w:kern w:val="0"/>
                <w:sz w:val="24"/>
                <w:szCs w:val="24"/>
              </w:rPr>
            </w:pPr>
            <w:r>
              <w:rPr>
                <w:rFonts w:hint="eastAsia" w:ascii="仿宋_GB2312" w:eastAsia="仿宋_GB2312"/>
                <w:kern w:val="0"/>
                <w:sz w:val="24"/>
                <w:szCs w:val="24"/>
              </w:rPr>
              <w:t>序号</w:t>
            </w:r>
          </w:p>
        </w:tc>
        <w:tc>
          <w:tcPr>
            <w:tcW w:w="1274" w:type="pct"/>
            <w:vAlign w:val="center"/>
          </w:tcPr>
          <w:p w14:paraId="5C0C834A">
            <w:pPr>
              <w:snapToGrid w:val="0"/>
              <w:jc w:val="center"/>
              <w:rPr>
                <w:rFonts w:ascii="仿宋_GB2312" w:hAnsi="Times New Roman" w:eastAsia="仿宋_GB2312"/>
                <w:kern w:val="0"/>
                <w:sz w:val="24"/>
                <w:szCs w:val="24"/>
              </w:rPr>
            </w:pPr>
            <w:r>
              <w:rPr>
                <w:rFonts w:hint="eastAsia" w:ascii="仿宋_GB2312" w:eastAsia="仿宋_GB2312"/>
                <w:kern w:val="0"/>
                <w:sz w:val="24"/>
                <w:szCs w:val="24"/>
              </w:rPr>
              <w:t>证券账户名称</w:t>
            </w:r>
          </w:p>
        </w:tc>
        <w:tc>
          <w:tcPr>
            <w:tcW w:w="1095" w:type="pct"/>
            <w:vAlign w:val="center"/>
          </w:tcPr>
          <w:p w14:paraId="6715950F">
            <w:pPr>
              <w:snapToGrid w:val="0"/>
              <w:jc w:val="center"/>
              <w:rPr>
                <w:rFonts w:ascii="仿宋_GB2312" w:eastAsia="仿宋_GB2312"/>
                <w:kern w:val="0"/>
                <w:sz w:val="24"/>
                <w:szCs w:val="24"/>
              </w:rPr>
            </w:pPr>
            <w:r>
              <w:rPr>
                <w:rFonts w:hint="eastAsia" w:ascii="仿宋_GB2312" w:eastAsia="仿宋_GB2312"/>
                <w:kern w:val="0"/>
                <w:sz w:val="24"/>
                <w:szCs w:val="24"/>
              </w:rPr>
              <w:t>限售份额总量</w:t>
            </w:r>
          </w:p>
        </w:tc>
        <w:tc>
          <w:tcPr>
            <w:tcW w:w="1039" w:type="pct"/>
            <w:vAlign w:val="center"/>
          </w:tcPr>
          <w:p w14:paraId="42043EDC">
            <w:pPr>
              <w:snapToGrid w:val="0"/>
              <w:jc w:val="center"/>
              <w:rPr>
                <w:rFonts w:ascii="仿宋_GB2312" w:hAnsi="Times New Roman" w:eastAsia="仿宋_GB2312"/>
                <w:kern w:val="0"/>
                <w:sz w:val="24"/>
                <w:szCs w:val="24"/>
              </w:rPr>
            </w:pPr>
            <w:r>
              <w:rPr>
                <w:rFonts w:hint="eastAsia" w:ascii="仿宋_GB2312" w:eastAsia="仿宋_GB2312"/>
                <w:kern w:val="0"/>
                <w:sz w:val="24"/>
                <w:szCs w:val="24"/>
              </w:rPr>
              <w:t>限售类型</w:t>
            </w:r>
          </w:p>
        </w:tc>
        <w:tc>
          <w:tcPr>
            <w:tcW w:w="1125" w:type="pct"/>
            <w:vAlign w:val="center"/>
          </w:tcPr>
          <w:p w14:paraId="37EC52AB">
            <w:pPr>
              <w:snapToGrid w:val="0"/>
              <w:jc w:val="center"/>
              <w:rPr>
                <w:rFonts w:ascii="仿宋_GB2312" w:hAnsi="Times New Roman" w:eastAsia="仿宋_GB2312"/>
                <w:kern w:val="0"/>
                <w:sz w:val="24"/>
                <w:szCs w:val="24"/>
              </w:rPr>
            </w:pPr>
            <w:r>
              <w:rPr>
                <w:rFonts w:hint="eastAsia" w:ascii="仿宋_GB2312" w:eastAsia="仿宋_GB2312"/>
                <w:kern w:val="0"/>
                <w:sz w:val="24"/>
                <w:szCs w:val="24"/>
              </w:rPr>
              <w:t>限售期（月）</w:t>
            </w:r>
          </w:p>
        </w:tc>
      </w:tr>
      <w:tr w14:paraId="04FAC5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9" w:hRule="atLeast"/>
        </w:trPr>
        <w:tc>
          <w:tcPr>
            <w:tcW w:w="467" w:type="pct"/>
            <w:vAlign w:val="center"/>
          </w:tcPr>
          <w:p w14:paraId="39F94B6A">
            <w:pPr>
              <w:jc w:val="center"/>
              <w:rPr>
                <w:rFonts w:ascii="仿宋_GB2312" w:eastAsia="仿宋_GB2312" w:hAnsiTheme="minorHAnsi" w:cstheme="minorBidi"/>
                <w:sz w:val="24"/>
                <w:szCs w:val="24"/>
              </w:rPr>
            </w:pPr>
            <w:r>
              <w:rPr>
                <w:rFonts w:hint="eastAsia" w:ascii="Times New Roman" w:hAnsi="Times New Roman" w:eastAsia="仿宋_GB2312"/>
                <w:sz w:val="24"/>
                <w:szCs w:val="24"/>
              </w:rPr>
              <w:t>1</w:t>
            </w:r>
          </w:p>
        </w:tc>
        <w:tc>
          <w:tcPr>
            <w:tcW w:w="1274" w:type="pct"/>
            <w:vAlign w:val="center"/>
          </w:tcPr>
          <w:p w14:paraId="2BCEFCA0">
            <w:pPr>
              <w:jc w:val="center"/>
              <w:rPr>
                <w:rFonts w:ascii="仿宋_GB2312" w:eastAsia="仿宋_GB2312" w:hAnsiTheme="minorHAnsi" w:cstheme="minorBidi"/>
                <w:sz w:val="24"/>
                <w:szCs w:val="24"/>
              </w:rPr>
            </w:pPr>
          </w:p>
        </w:tc>
        <w:tc>
          <w:tcPr>
            <w:tcW w:w="1095" w:type="pct"/>
            <w:vAlign w:val="center"/>
          </w:tcPr>
          <w:p w14:paraId="3EBE4331">
            <w:pPr>
              <w:jc w:val="center"/>
              <w:rPr>
                <w:rFonts w:ascii="仿宋_GB2312" w:eastAsia="仿宋_GB2312"/>
                <w:sz w:val="24"/>
                <w:szCs w:val="24"/>
              </w:rPr>
            </w:pPr>
          </w:p>
        </w:tc>
        <w:tc>
          <w:tcPr>
            <w:tcW w:w="1039" w:type="pct"/>
            <w:vAlign w:val="center"/>
          </w:tcPr>
          <w:p w14:paraId="24248A11">
            <w:pPr>
              <w:jc w:val="center"/>
              <w:rPr>
                <w:rFonts w:ascii="仿宋_GB2312" w:eastAsia="仿宋_GB2312" w:hAnsiTheme="minorHAnsi" w:cstheme="minorBidi"/>
                <w:sz w:val="24"/>
                <w:szCs w:val="24"/>
              </w:rPr>
            </w:pPr>
          </w:p>
        </w:tc>
        <w:tc>
          <w:tcPr>
            <w:tcW w:w="1125" w:type="pct"/>
            <w:vAlign w:val="center"/>
          </w:tcPr>
          <w:p w14:paraId="28D16ACB">
            <w:pPr>
              <w:jc w:val="center"/>
              <w:rPr>
                <w:rFonts w:ascii="仿宋_GB2312" w:eastAsia="仿宋_GB2312" w:hAnsiTheme="minorHAnsi" w:cstheme="minorBidi"/>
                <w:sz w:val="24"/>
                <w:szCs w:val="24"/>
              </w:rPr>
            </w:pPr>
          </w:p>
        </w:tc>
      </w:tr>
      <w:tr w14:paraId="283821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1" w:hRule="atLeast"/>
        </w:trPr>
        <w:tc>
          <w:tcPr>
            <w:tcW w:w="467" w:type="pct"/>
            <w:vAlign w:val="center"/>
          </w:tcPr>
          <w:p w14:paraId="2379FAA8">
            <w:pPr>
              <w:jc w:val="center"/>
              <w:rPr>
                <w:rFonts w:ascii="仿宋_GB2312" w:eastAsia="仿宋_GB2312"/>
                <w:sz w:val="24"/>
                <w:szCs w:val="24"/>
              </w:rPr>
            </w:pPr>
            <w:r>
              <w:rPr>
                <w:rFonts w:hint="eastAsia" w:ascii="Times New Roman" w:hAnsi="Times New Roman" w:eastAsia="仿宋_GB2312"/>
                <w:sz w:val="24"/>
                <w:szCs w:val="24"/>
              </w:rPr>
              <w:t>2</w:t>
            </w:r>
          </w:p>
        </w:tc>
        <w:tc>
          <w:tcPr>
            <w:tcW w:w="1274" w:type="pct"/>
            <w:vAlign w:val="center"/>
          </w:tcPr>
          <w:p w14:paraId="1991D49A">
            <w:pPr>
              <w:jc w:val="center"/>
              <w:rPr>
                <w:rFonts w:ascii="仿宋_GB2312" w:eastAsia="仿宋_GB2312" w:hAnsiTheme="minorHAnsi" w:cstheme="minorBidi"/>
                <w:sz w:val="24"/>
                <w:szCs w:val="24"/>
              </w:rPr>
            </w:pPr>
          </w:p>
        </w:tc>
        <w:tc>
          <w:tcPr>
            <w:tcW w:w="1095" w:type="pct"/>
            <w:vAlign w:val="center"/>
          </w:tcPr>
          <w:p w14:paraId="0A95DC0F">
            <w:pPr>
              <w:jc w:val="center"/>
              <w:rPr>
                <w:rFonts w:ascii="仿宋_GB2312" w:eastAsia="仿宋_GB2312"/>
                <w:sz w:val="24"/>
                <w:szCs w:val="24"/>
              </w:rPr>
            </w:pPr>
          </w:p>
        </w:tc>
        <w:tc>
          <w:tcPr>
            <w:tcW w:w="1039" w:type="pct"/>
            <w:vAlign w:val="center"/>
          </w:tcPr>
          <w:p w14:paraId="3227E332">
            <w:pPr>
              <w:jc w:val="center"/>
              <w:rPr>
                <w:rFonts w:ascii="仿宋_GB2312" w:eastAsia="仿宋_GB2312" w:hAnsiTheme="minorHAnsi" w:cstheme="minorBidi"/>
                <w:sz w:val="24"/>
                <w:szCs w:val="24"/>
              </w:rPr>
            </w:pPr>
          </w:p>
        </w:tc>
        <w:tc>
          <w:tcPr>
            <w:tcW w:w="1125" w:type="pct"/>
            <w:vAlign w:val="center"/>
          </w:tcPr>
          <w:p w14:paraId="3F43D466">
            <w:pPr>
              <w:jc w:val="center"/>
              <w:rPr>
                <w:rFonts w:ascii="仿宋_GB2312" w:eastAsia="仿宋_GB2312" w:hAnsiTheme="minorHAnsi" w:cstheme="minorBidi"/>
                <w:sz w:val="24"/>
                <w:szCs w:val="24"/>
              </w:rPr>
            </w:pPr>
          </w:p>
        </w:tc>
      </w:tr>
      <w:tr w14:paraId="3D4A19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1" w:hRule="atLeast"/>
        </w:trPr>
        <w:tc>
          <w:tcPr>
            <w:tcW w:w="467" w:type="pct"/>
            <w:vAlign w:val="center"/>
          </w:tcPr>
          <w:p w14:paraId="0C7299CA">
            <w:pPr>
              <w:jc w:val="center"/>
              <w:rPr>
                <w:rFonts w:ascii="仿宋_GB2312" w:eastAsia="仿宋_GB2312"/>
                <w:sz w:val="24"/>
                <w:szCs w:val="24"/>
              </w:rPr>
            </w:pPr>
            <w:r>
              <w:rPr>
                <w:rFonts w:hint="eastAsia" w:ascii="Times New Roman" w:hAnsi="Times New Roman" w:eastAsia="仿宋_GB2312"/>
                <w:sz w:val="24"/>
                <w:szCs w:val="24"/>
              </w:rPr>
              <w:t>3</w:t>
            </w:r>
          </w:p>
        </w:tc>
        <w:tc>
          <w:tcPr>
            <w:tcW w:w="1274" w:type="pct"/>
            <w:vAlign w:val="center"/>
          </w:tcPr>
          <w:p w14:paraId="23829D39">
            <w:pPr>
              <w:jc w:val="center"/>
              <w:rPr>
                <w:rFonts w:ascii="仿宋_GB2312" w:eastAsia="仿宋_GB2312" w:hAnsiTheme="minorHAnsi" w:cstheme="minorBidi"/>
                <w:sz w:val="24"/>
                <w:szCs w:val="24"/>
              </w:rPr>
            </w:pPr>
          </w:p>
        </w:tc>
        <w:tc>
          <w:tcPr>
            <w:tcW w:w="1095" w:type="pct"/>
            <w:vAlign w:val="center"/>
          </w:tcPr>
          <w:p w14:paraId="64D64814">
            <w:pPr>
              <w:jc w:val="center"/>
              <w:rPr>
                <w:rFonts w:ascii="仿宋_GB2312" w:eastAsia="仿宋_GB2312"/>
                <w:sz w:val="24"/>
                <w:szCs w:val="24"/>
              </w:rPr>
            </w:pPr>
          </w:p>
        </w:tc>
        <w:tc>
          <w:tcPr>
            <w:tcW w:w="1039" w:type="pct"/>
            <w:vAlign w:val="center"/>
          </w:tcPr>
          <w:p w14:paraId="0B982633">
            <w:pPr>
              <w:jc w:val="center"/>
              <w:rPr>
                <w:rFonts w:ascii="仿宋_GB2312" w:eastAsia="仿宋_GB2312" w:hAnsiTheme="minorHAnsi" w:cstheme="minorBidi"/>
                <w:sz w:val="24"/>
                <w:szCs w:val="24"/>
              </w:rPr>
            </w:pPr>
          </w:p>
        </w:tc>
        <w:tc>
          <w:tcPr>
            <w:tcW w:w="1125" w:type="pct"/>
            <w:vAlign w:val="center"/>
          </w:tcPr>
          <w:p w14:paraId="66FE1A76">
            <w:pPr>
              <w:jc w:val="center"/>
              <w:rPr>
                <w:rFonts w:ascii="仿宋_GB2312" w:eastAsia="仿宋_GB2312" w:hAnsiTheme="minorHAnsi" w:cstheme="minorBidi"/>
                <w:sz w:val="24"/>
                <w:szCs w:val="24"/>
              </w:rPr>
            </w:pPr>
          </w:p>
        </w:tc>
      </w:tr>
      <w:tr w14:paraId="3C9594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3" w:hRule="atLeast"/>
        </w:trPr>
        <w:tc>
          <w:tcPr>
            <w:tcW w:w="467" w:type="pct"/>
            <w:vAlign w:val="center"/>
          </w:tcPr>
          <w:p w14:paraId="5ED26D7F">
            <w:pPr>
              <w:jc w:val="center"/>
              <w:rPr>
                <w:rFonts w:ascii="仿宋_GB2312" w:eastAsia="仿宋_GB2312"/>
                <w:sz w:val="24"/>
                <w:szCs w:val="24"/>
              </w:rPr>
            </w:pPr>
            <w:r>
              <w:rPr>
                <w:rFonts w:hint="eastAsia" w:ascii="仿宋_GB2312" w:eastAsia="仿宋_GB2312"/>
                <w:sz w:val="24"/>
                <w:szCs w:val="24"/>
              </w:rPr>
              <w:t>…</w:t>
            </w:r>
          </w:p>
        </w:tc>
        <w:tc>
          <w:tcPr>
            <w:tcW w:w="1274" w:type="pct"/>
            <w:vAlign w:val="center"/>
          </w:tcPr>
          <w:p w14:paraId="49BF8265">
            <w:pPr>
              <w:jc w:val="center"/>
              <w:rPr>
                <w:rFonts w:ascii="仿宋_GB2312" w:eastAsia="仿宋_GB2312" w:hAnsiTheme="minorHAnsi" w:cstheme="minorBidi"/>
                <w:sz w:val="24"/>
                <w:szCs w:val="24"/>
              </w:rPr>
            </w:pPr>
          </w:p>
        </w:tc>
        <w:tc>
          <w:tcPr>
            <w:tcW w:w="1095" w:type="pct"/>
            <w:vAlign w:val="center"/>
          </w:tcPr>
          <w:p w14:paraId="52FA2DB0">
            <w:pPr>
              <w:jc w:val="center"/>
              <w:rPr>
                <w:rFonts w:ascii="仿宋_GB2312" w:eastAsia="仿宋_GB2312"/>
                <w:sz w:val="24"/>
                <w:szCs w:val="24"/>
              </w:rPr>
            </w:pPr>
          </w:p>
        </w:tc>
        <w:tc>
          <w:tcPr>
            <w:tcW w:w="1039" w:type="pct"/>
            <w:vAlign w:val="center"/>
          </w:tcPr>
          <w:p w14:paraId="62B7A056">
            <w:pPr>
              <w:jc w:val="center"/>
              <w:rPr>
                <w:rFonts w:ascii="仿宋_GB2312" w:eastAsia="仿宋_GB2312" w:hAnsiTheme="minorHAnsi" w:cstheme="minorBidi"/>
                <w:sz w:val="24"/>
                <w:szCs w:val="24"/>
              </w:rPr>
            </w:pPr>
          </w:p>
        </w:tc>
        <w:tc>
          <w:tcPr>
            <w:tcW w:w="1125" w:type="pct"/>
            <w:vAlign w:val="center"/>
          </w:tcPr>
          <w:p w14:paraId="398EF68F">
            <w:pPr>
              <w:jc w:val="center"/>
              <w:rPr>
                <w:rFonts w:ascii="仿宋_GB2312" w:eastAsia="仿宋_GB2312" w:hAnsiTheme="minorHAnsi" w:cstheme="minorBidi"/>
                <w:sz w:val="24"/>
                <w:szCs w:val="24"/>
              </w:rPr>
            </w:pPr>
          </w:p>
        </w:tc>
      </w:tr>
    </w:tbl>
    <w:p w14:paraId="51684630">
      <w:pPr>
        <w:spacing w:line="360" w:lineRule="auto"/>
        <w:rPr>
          <w:rFonts w:hint="eastAsia" w:ascii="仿宋_GB2312" w:hAnsi="仿宋" w:eastAsia="仿宋_GB2312"/>
          <w:b/>
          <w:sz w:val="24"/>
          <w:szCs w:val="24"/>
        </w:rPr>
      </w:pPr>
      <w:r>
        <w:rPr>
          <w:rFonts w:hint="eastAsia" w:ascii="仿宋_GB2312" w:hAnsi="仿宋" w:eastAsia="仿宋_GB2312"/>
          <w:b/>
          <w:sz w:val="24"/>
          <w:szCs w:val="24"/>
        </w:rPr>
        <w:t>（二）</w:t>
      </w:r>
      <w:r>
        <w:rPr>
          <w:rFonts w:hint="eastAsia" w:ascii="Times New Roman" w:hAnsi="Times New Roman" w:eastAsia="仿宋_GB2312"/>
          <w:b/>
          <w:sz w:val="24"/>
          <w:szCs w:val="24"/>
        </w:rPr>
        <w:t>REITs</w:t>
      </w:r>
      <w:r>
        <w:rPr>
          <w:rFonts w:hint="eastAsia" w:ascii="仿宋_GB2312" w:hAnsi="仿宋" w:eastAsia="仿宋_GB2312"/>
          <w:b/>
          <w:sz w:val="24"/>
          <w:szCs w:val="24"/>
        </w:rPr>
        <w:t>场外份额锁定</w:t>
      </w:r>
    </w:p>
    <w:tbl>
      <w:tblPr>
        <w:tblStyle w:val="15"/>
        <w:tblW w:w="4847"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30" w:type="dxa"/>
          <w:bottom w:w="0" w:type="dxa"/>
          <w:right w:w="30" w:type="dxa"/>
        </w:tblCellMar>
      </w:tblPr>
      <w:tblGrid>
        <w:gridCol w:w="739"/>
        <w:gridCol w:w="1984"/>
        <w:gridCol w:w="1843"/>
        <w:gridCol w:w="1701"/>
        <w:gridCol w:w="1843"/>
      </w:tblGrid>
      <w:tr w14:paraId="6E1BB9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0" w:type="dxa"/>
            <w:bottom w:w="0" w:type="dxa"/>
            <w:right w:w="30" w:type="dxa"/>
          </w:tblCellMar>
        </w:tblPrEx>
        <w:trPr>
          <w:cantSplit/>
          <w:trHeight w:val="359" w:hRule="atLeast"/>
        </w:trPr>
        <w:tc>
          <w:tcPr>
            <w:tcW w:w="456" w:type="pct"/>
            <w:vAlign w:val="center"/>
          </w:tcPr>
          <w:p w14:paraId="285979F4">
            <w:pPr>
              <w:autoSpaceDE w:val="0"/>
              <w:autoSpaceDN w:val="0"/>
              <w:adjustRightInd w:val="0"/>
              <w:jc w:val="center"/>
              <w:rPr>
                <w:rFonts w:ascii="仿宋_GB2312" w:eastAsia="仿宋_GB2312"/>
                <w:color w:val="000000"/>
                <w:sz w:val="24"/>
                <w:szCs w:val="24"/>
              </w:rPr>
            </w:pPr>
            <w:r>
              <w:rPr>
                <w:rFonts w:hint="eastAsia" w:ascii="仿宋_GB2312" w:hAnsi="Times New Roman" w:eastAsia="仿宋_GB2312"/>
                <w:kern w:val="0"/>
                <w:sz w:val="24"/>
                <w:szCs w:val="24"/>
              </w:rPr>
              <w:t>序号</w:t>
            </w:r>
          </w:p>
        </w:tc>
        <w:tc>
          <w:tcPr>
            <w:tcW w:w="1223" w:type="pct"/>
            <w:vAlign w:val="center"/>
          </w:tcPr>
          <w:p w14:paraId="0BA8494E">
            <w:pPr>
              <w:autoSpaceDE w:val="0"/>
              <w:autoSpaceDN w:val="0"/>
              <w:adjustRightInd w:val="0"/>
              <w:jc w:val="center"/>
              <w:rPr>
                <w:rFonts w:ascii="仿宋_GB2312" w:eastAsia="仿宋_GB2312"/>
                <w:color w:val="000000"/>
                <w:sz w:val="24"/>
                <w:szCs w:val="24"/>
              </w:rPr>
            </w:pPr>
            <w:r>
              <w:rPr>
                <w:rFonts w:hint="eastAsia" w:ascii="仿宋_GB2312" w:eastAsia="仿宋_GB2312"/>
                <w:sz w:val="24"/>
                <w:szCs w:val="24"/>
              </w:rPr>
              <w:t>账户名称</w:t>
            </w:r>
          </w:p>
        </w:tc>
        <w:tc>
          <w:tcPr>
            <w:tcW w:w="1136" w:type="pct"/>
            <w:vAlign w:val="center"/>
          </w:tcPr>
          <w:p w14:paraId="5210E9A3">
            <w:pPr>
              <w:autoSpaceDE w:val="0"/>
              <w:autoSpaceDN w:val="0"/>
              <w:adjustRightInd w:val="0"/>
              <w:jc w:val="center"/>
              <w:rPr>
                <w:rFonts w:ascii="仿宋_GB2312" w:eastAsia="仿宋_GB2312"/>
                <w:color w:val="000000"/>
                <w:sz w:val="24"/>
                <w:szCs w:val="24"/>
              </w:rPr>
            </w:pPr>
            <w:r>
              <w:rPr>
                <w:rFonts w:hint="eastAsia" w:ascii="仿宋_GB2312" w:hAnsi="Times New Roman" w:eastAsia="仿宋_GB2312"/>
                <w:kern w:val="0"/>
                <w:sz w:val="24"/>
                <w:szCs w:val="24"/>
              </w:rPr>
              <w:t>申请锁定份额</w:t>
            </w:r>
          </w:p>
        </w:tc>
        <w:tc>
          <w:tcPr>
            <w:tcW w:w="1049" w:type="pct"/>
            <w:vAlign w:val="center"/>
          </w:tcPr>
          <w:p w14:paraId="6DDFE3CF">
            <w:pPr>
              <w:autoSpaceDE w:val="0"/>
              <w:autoSpaceDN w:val="0"/>
              <w:adjustRightInd w:val="0"/>
              <w:jc w:val="center"/>
              <w:rPr>
                <w:rFonts w:ascii="仿宋_GB2312" w:eastAsia="仿宋_GB2312"/>
                <w:color w:val="000000"/>
                <w:sz w:val="24"/>
                <w:szCs w:val="24"/>
              </w:rPr>
            </w:pPr>
            <w:r>
              <w:rPr>
                <w:rFonts w:hint="eastAsia" w:ascii="仿宋_GB2312" w:eastAsia="仿宋_GB2312"/>
                <w:kern w:val="0"/>
                <w:sz w:val="24"/>
                <w:szCs w:val="24"/>
              </w:rPr>
              <w:t>限售类型</w:t>
            </w:r>
          </w:p>
        </w:tc>
        <w:tc>
          <w:tcPr>
            <w:tcW w:w="1136" w:type="pct"/>
            <w:vAlign w:val="center"/>
          </w:tcPr>
          <w:p w14:paraId="413374FC">
            <w:pPr>
              <w:autoSpaceDE w:val="0"/>
              <w:autoSpaceDN w:val="0"/>
              <w:adjustRightInd w:val="0"/>
              <w:jc w:val="center"/>
              <w:rPr>
                <w:rFonts w:ascii="仿宋_GB2312" w:eastAsia="仿宋_GB2312"/>
                <w:sz w:val="24"/>
                <w:szCs w:val="24"/>
              </w:rPr>
            </w:pPr>
            <w:r>
              <w:rPr>
                <w:rFonts w:hint="eastAsia" w:ascii="仿宋_GB2312" w:eastAsia="仿宋_GB2312"/>
                <w:sz w:val="24"/>
                <w:szCs w:val="24"/>
              </w:rPr>
              <w:t>限售期（月）</w:t>
            </w:r>
          </w:p>
        </w:tc>
      </w:tr>
      <w:tr w14:paraId="2BCBCD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0" w:type="dxa"/>
            <w:bottom w:w="0" w:type="dxa"/>
            <w:right w:w="30" w:type="dxa"/>
          </w:tblCellMar>
        </w:tblPrEx>
        <w:trPr>
          <w:cantSplit/>
          <w:trHeight w:val="359" w:hRule="atLeast"/>
        </w:trPr>
        <w:tc>
          <w:tcPr>
            <w:tcW w:w="456" w:type="pct"/>
            <w:vAlign w:val="center"/>
          </w:tcPr>
          <w:p w14:paraId="38B75192">
            <w:pPr>
              <w:autoSpaceDE w:val="0"/>
              <w:autoSpaceDN w:val="0"/>
              <w:adjustRightInd w:val="0"/>
              <w:jc w:val="center"/>
              <w:rPr>
                <w:rFonts w:ascii="仿宋_GB2312" w:eastAsia="仿宋_GB2312"/>
                <w:color w:val="000000"/>
                <w:sz w:val="24"/>
                <w:szCs w:val="24"/>
              </w:rPr>
            </w:pPr>
            <w:r>
              <w:rPr>
                <w:rFonts w:hint="eastAsia" w:ascii="Times New Roman" w:hAnsi="Times New Roman" w:eastAsia="仿宋_GB2312"/>
                <w:color w:val="000000"/>
                <w:sz w:val="24"/>
                <w:szCs w:val="24"/>
              </w:rPr>
              <w:t>1</w:t>
            </w:r>
          </w:p>
        </w:tc>
        <w:tc>
          <w:tcPr>
            <w:tcW w:w="1223" w:type="pct"/>
            <w:vAlign w:val="center"/>
          </w:tcPr>
          <w:p w14:paraId="6BC11DAF">
            <w:pPr>
              <w:autoSpaceDE w:val="0"/>
              <w:autoSpaceDN w:val="0"/>
              <w:adjustRightInd w:val="0"/>
              <w:jc w:val="center"/>
              <w:rPr>
                <w:rFonts w:ascii="仿宋_GB2312" w:eastAsia="仿宋_GB2312"/>
                <w:color w:val="000000"/>
                <w:sz w:val="24"/>
                <w:szCs w:val="24"/>
              </w:rPr>
            </w:pPr>
          </w:p>
        </w:tc>
        <w:tc>
          <w:tcPr>
            <w:tcW w:w="1136" w:type="pct"/>
            <w:vAlign w:val="center"/>
          </w:tcPr>
          <w:p w14:paraId="6A9CC5FF">
            <w:pPr>
              <w:autoSpaceDE w:val="0"/>
              <w:autoSpaceDN w:val="0"/>
              <w:adjustRightInd w:val="0"/>
              <w:jc w:val="center"/>
              <w:rPr>
                <w:rFonts w:ascii="仿宋_GB2312" w:eastAsia="仿宋_GB2312"/>
                <w:color w:val="000000"/>
                <w:sz w:val="24"/>
                <w:szCs w:val="24"/>
              </w:rPr>
            </w:pPr>
          </w:p>
        </w:tc>
        <w:tc>
          <w:tcPr>
            <w:tcW w:w="1049" w:type="pct"/>
            <w:vAlign w:val="center"/>
          </w:tcPr>
          <w:p w14:paraId="1B64B88E">
            <w:pPr>
              <w:autoSpaceDE w:val="0"/>
              <w:autoSpaceDN w:val="0"/>
              <w:adjustRightInd w:val="0"/>
              <w:jc w:val="center"/>
              <w:rPr>
                <w:rFonts w:ascii="仿宋_GB2312" w:eastAsia="仿宋_GB2312"/>
                <w:color w:val="000000"/>
                <w:sz w:val="24"/>
                <w:szCs w:val="24"/>
              </w:rPr>
            </w:pPr>
          </w:p>
        </w:tc>
        <w:tc>
          <w:tcPr>
            <w:tcW w:w="1136" w:type="pct"/>
            <w:vAlign w:val="center"/>
          </w:tcPr>
          <w:p w14:paraId="0208EF2A">
            <w:pPr>
              <w:autoSpaceDE w:val="0"/>
              <w:autoSpaceDN w:val="0"/>
              <w:adjustRightInd w:val="0"/>
              <w:jc w:val="center"/>
              <w:rPr>
                <w:rFonts w:ascii="仿宋_GB2312" w:eastAsia="仿宋_GB2312"/>
                <w:color w:val="000000"/>
                <w:sz w:val="24"/>
                <w:szCs w:val="24"/>
              </w:rPr>
            </w:pPr>
          </w:p>
        </w:tc>
      </w:tr>
      <w:tr w14:paraId="3CA402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0" w:type="dxa"/>
            <w:bottom w:w="0" w:type="dxa"/>
            <w:right w:w="30" w:type="dxa"/>
          </w:tblCellMar>
        </w:tblPrEx>
        <w:trPr>
          <w:cantSplit/>
          <w:trHeight w:val="359" w:hRule="atLeast"/>
        </w:trPr>
        <w:tc>
          <w:tcPr>
            <w:tcW w:w="456" w:type="pct"/>
            <w:vAlign w:val="center"/>
          </w:tcPr>
          <w:p w14:paraId="44AA3170">
            <w:pPr>
              <w:autoSpaceDE w:val="0"/>
              <w:autoSpaceDN w:val="0"/>
              <w:adjustRightInd w:val="0"/>
              <w:jc w:val="center"/>
              <w:rPr>
                <w:rFonts w:ascii="仿宋_GB2312" w:eastAsia="仿宋_GB2312"/>
                <w:color w:val="000000"/>
                <w:sz w:val="24"/>
                <w:szCs w:val="24"/>
              </w:rPr>
            </w:pPr>
            <w:r>
              <w:rPr>
                <w:rFonts w:hint="eastAsia" w:ascii="Times New Roman" w:hAnsi="Times New Roman" w:eastAsia="仿宋_GB2312"/>
                <w:color w:val="000000"/>
                <w:sz w:val="24"/>
                <w:szCs w:val="24"/>
              </w:rPr>
              <w:t>2</w:t>
            </w:r>
          </w:p>
        </w:tc>
        <w:tc>
          <w:tcPr>
            <w:tcW w:w="1223" w:type="pct"/>
            <w:vAlign w:val="center"/>
          </w:tcPr>
          <w:p w14:paraId="50376DF4">
            <w:pPr>
              <w:autoSpaceDE w:val="0"/>
              <w:autoSpaceDN w:val="0"/>
              <w:adjustRightInd w:val="0"/>
              <w:jc w:val="center"/>
              <w:rPr>
                <w:rFonts w:ascii="仿宋_GB2312" w:eastAsia="仿宋_GB2312"/>
                <w:color w:val="000000"/>
                <w:sz w:val="24"/>
                <w:szCs w:val="24"/>
              </w:rPr>
            </w:pPr>
          </w:p>
        </w:tc>
        <w:tc>
          <w:tcPr>
            <w:tcW w:w="1136" w:type="pct"/>
            <w:vAlign w:val="center"/>
          </w:tcPr>
          <w:p w14:paraId="7982026D">
            <w:pPr>
              <w:autoSpaceDE w:val="0"/>
              <w:autoSpaceDN w:val="0"/>
              <w:adjustRightInd w:val="0"/>
              <w:jc w:val="center"/>
              <w:rPr>
                <w:rFonts w:ascii="仿宋_GB2312" w:eastAsia="仿宋_GB2312"/>
                <w:color w:val="000000"/>
                <w:sz w:val="24"/>
                <w:szCs w:val="24"/>
              </w:rPr>
            </w:pPr>
          </w:p>
        </w:tc>
        <w:tc>
          <w:tcPr>
            <w:tcW w:w="1049" w:type="pct"/>
            <w:vAlign w:val="center"/>
          </w:tcPr>
          <w:p w14:paraId="0BA4192B">
            <w:pPr>
              <w:autoSpaceDE w:val="0"/>
              <w:autoSpaceDN w:val="0"/>
              <w:adjustRightInd w:val="0"/>
              <w:jc w:val="center"/>
              <w:rPr>
                <w:rFonts w:ascii="仿宋_GB2312" w:eastAsia="仿宋_GB2312"/>
                <w:color w:val="000000"/>
                <w:sz w:val="24"/>
                <w:szCs w:val="24"/>
              </w:rPr>
            </w:pPr>
          </w:p>
        </w:tc>
        <w:tc>
          <w:tcPr>
            <w:tcW w:w="1136" w:type="pct"/>
            <w:vAlign w:val="center"/>
          </w:tcPr>
          <w:p w14:paraId="31664CFB">
            <w:pPr>
              <w:autoSpaceDE w:val="0"/>
              <w:autoSpaceDN w:val="0"/>
              <w:adjustRightInd w:val="0"/>
              <w:jc w:val="center"/>
              <w:rPr>
                <w:rFonts w:ascii="仿宋_GB2312" w:eastAsia="仿宋_GB2312"/>
                <w:color w:val="000000"/>
                <w:sz w:val="24"/>
                <w:szCs w:val="24"/>
              </w:rPr>
            </w:pPr>
          </w:p>
        </w:tc>
      </w:tr>
      <w:tr w14:paraId="52754A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0" w:type="dxa"/>
            <w:bottom w:w="0" w:type="dxa"/>
            <w:right w:w="30" w:type="dxa"/>
          </w:tblCellMar>
        </w:tblPrEx>
        <w:trPr>
          <w:cantSplit/>
          <w:trHeight w:val="359" w:hRule="atLeast"/>
        </w:trPr>
        <w:tc>
          <w:tcPr>
            <w:tcW w:w="456" w:type="pct"/>
            <w:vAlign w:val="center"/>
          </w:tcPr>
          <w:p w14:paraId="7AF3DBF2">
            <w:pPr>
              <w:autoSpaceDE w:val="0"/>
              <w:autoSpaceDN w:val="0"/>
              <w:adjustRightInd w:val="0"/>
              <w:jc w:val="center"/>
              <w:rPr>
                <w:rFonts w:ascii="仿宋_GB2312" w:eastAsia="仿宋_GB2312"/>
                <w:color w:val="000000"/>
                <w:sz w:val="24"/>
                <w:szCs w:val="24"/>
              </w:rPr>
            </w:pPr>
            <w:r>
              <w:rPr>
                <w:rFonts w:hint="eastAsia" w:ascii="Times New Roman" w:hAnsi="Times New Roman" w:eastAsia="仿宋_GB2312"/>
                <w:color w:val="000000"/>
                <w:sz w:val="24"/>
                <w:szCs w:val="24"/>
              </w:rPr>
              <w:t>3</w:t>
            </w:r>
          </w:p>
        </w:tc>
        <w:tc>
          <w:tcPr>
            <w:tcW w:w="1223" w:type="pct"/>
            <w:vAlign w:val="center"/>
          </w:tcPr>
          <w:p w14:paraId="7849D92F">
            <w:pPr>
              <w:autoSpaceDE w:val="0"/>
              <w:autoSpaceDN w:val="0"/>
              <w:adjustRightInd w:val="0"/>
              <w:jc w:val="center"/>
              <w:rPr>
                <w:rFonts w:ascii="仿宋_GB2312" w:eastAsia="仿宋_GB2312"/>
                <w:color w:val="000000"/>
                <w:sz w:val="24"/>
                <w:szCs w:val="24"/>
              </w:rPr>
            </w:pPr>
          </w:p>
        </w:tc>
        <w:tc>
          <w:tcPr>
            <w:tcW w:w="1136" w:type="pct"/>
            <w:vAlign w:val="center"/>
          </w:tcPr>
          <w:p w14:paraId="441DCD18">
            <w:pPr>
              <w:autoSpaceDE w:val="0"/>
              <w:autoSpaceDN w:val="0"/>
              <w:adjustRightInd w:val="0"/>
              <w:jc w:val="center"/>
              <w:rPr>
                <w:rFonts w:ascii="仿宋_GB2312" w:eastAsia="仿宋_GB2312"/>
                <w:color w:val="000000"/>
                <w:sz w:val="24"/>
                <w:szCs w:val="24"/>
              </w:rPr>
            </w:pPr>
          </w:p>
        </w:tc>
        <w:tc>
          <w:tcPr>
            <w:tcW w:w="1049" w:type="pct"/>
            <w:vAlign w:val="center"/>
          </w:tcPr>
          <w:p w14:paraId="4651F6A6">
            <w:pPr>
              <w:autoSpaceDE w:val="0"/>
              <w:autoSpaceDN w:val="0"/>
              <w:adjustRightInd w:val="0"/>
              <w:jc w:val="center"/>
              <w:rPr>
                <w:rFonts w:ascii="仿宋_GB2312" w:eastAsia="仿宋_GB2312"/>
                <w:color w:val="000000"/>
                <w:sz w:val="24"/>
                <w:szCs w:val="24"/>
              </w:rPr>
            </w:pPr>
          </w:p>
        </w:tc>
        <w:tc>
          <w:tcPr>
            <w:tcW w:w="1136" w:type="pct"/>
            <w:vAlign w:val="center"/>
          </w:tcPr>
          <w:p w14:paraId="51700B7B">
            <w:pPr>
              <w:autoSpaceDE w:val="0"/>
              <w:autoSpaceDN w:val="0"/>
              <w:adjustRightInd w:val="0"/>
              <w:jc w:val="center"/>
              <w:rPr>
                <w:rFonts w:ascii="仿宋_GB2312" w:eastAsia="仿宋_GB2312"/>
                <w:color w:val="000000"/>
                <w:sz w:val="24"/>
                <w:szCs w:val="24"/>
              </w:rPr>
            </w:pPr>
          </w:p>
        </w:tc>
      </w:tr>
      <w:tr w14:paraId="034F25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0" w:type="dxa"/>
            <w:bottom w:w="0" w:type="dxa"/>
            <w:right w:w="30" w:type="dxa"/>
          </w:tblCellMar>
        </w:tblPrEx>
        <w:trPr>
          <w:cantSplit/>
          <w:trHeight w:val="359" w:hRule="atLeast"/>
        </w:trPr>
        <w:tc>
          <w:tcPr>
            <w:tcW w:w="456" w:type="pct"/>
            <w:vAlign w:val="center"/>
          </w:tcPr>
          <w:p w14:paraId="78C9EB66">
            <w:pPr>
              <w:autoSpaceDE w:val="0"/>
              <w:autoSpaceDN w:val="0"/>
              <w:adjustRightInd w:val="0"/>
              <w:jc w:val="center"/>
              <w:rPr>
                <w:rFonts w:ascii="仿宋_GB2312" w:eastAsia="仿宋_GB2312"/>
                <w:color w:val="000000"/>
                <w:sz w:val="24"/>
                <w:szCs w:val="24"/>
              </w:rPr>
            </w:pPr>
            <w:r>
              <w:rPr>
                <w:rFonts w:hint="eastAsia" w:ascii="仿宋_GB2312" w:eastAsia="仿宋_GB2312"/>
                <w:color w:val="000000"/>
                <w:sz w:val="24"/>
                <w:szCs w:val="24"/>
              </w:rPr>
              <w:t>…</w:t>
            </w:r>
          </w:p>
        </w:tc>
        <w:tc>
          <w:tcPr>
            <w:tcW w:w="1223" w:type="pct"/>
            <w:vAlign w:val="center"/>
          </w:tcPr>
          <w:p w14:paraId="7558AA0D">
            <w:pPr>
              <w:autoSpaceDE w:val="0"/>
              <w:autoSpaceDN w:val="0"/>
              <w:adjustRightInd w:val="0"/>
              <w:jc w:val="center"/>
              <w:rPr>
                <w:rFonts w:ascii="仿宋_GB2312" w:eastAsia="仿宋_GB2312"/>
                <w:color w:val="000000"/>
                <w:sz w:val="24"/>
                <w:szCs w:val="24"/>
              </w:rPr>
            </w:pPr>
          </w:p>
        </w:tc>
        <w:tc>
          <w:tcPr>
            <w:tcW w:w="1136" w:type="pct"/>
            <w:vAlign w:val="center"/>
          </w:tcPr>
          <w:p w14:paraId="6580BA9E">
            <w:pPr>
              <w:autoSpaceDE w:val="0"/>
              <w:autoSpaceDN w:val="0"/>
              <w:adjustRightInd w:val="0"/>
              <w:jc w:val="center"/>
              <w:rPr>
                <w:rFonts w:ascii="仿宋_GB2312" w:eastAsia="仿宋_GB2312"/>
                <w:color w:val="000000"/>
                <w:sz w:val="24"/>
                <w:szCs w:val="24"/>
              </w:rPr>
            </w:pPr>
          </w:p>
        </w:tc>
        <w:tc>
          <w:tcPr>
            <w:tcW w:w="1049" w:type="pct"/>
            <w:vAlign w:val="center"/>
          </w:tcPr>
          <w:p w14:paraId="16843005">
            <w:pPr>
              <w:autoSpaceDE w:val="0"/>
              <w:autoSpaceDN w:val="0"/>
              <w:adjustRightInd w:val="0"/>
              <w:jc w:val="center"/>
              <w:rPr>
                <w:rFonts w:ascii="仿宋_GB2312" w:eastAsia="仿宋_GB2312"/>
                <w:color w:val="000000"/>
                <w:sz w:val="24"/>
                <w:szCs w:val="24"/>
              </w:rPr>
            </w:pPr>
          </w:p>
        </w:tc>
        <w:tc>
          <w:tcPr>
            <w:tcW w:w="1136" w:type="pct"/>
            <w:vAlign w:val="center"/>
          </w:tcPr>
          <w:p w14:paraId="6832E384">
            <w:pPr>
              <w:autoSpaceDE w:val="0"/>
              <w:autoSpaceDN w:val="0"/>
              <w:adjustRightInd w:val="0"/>
              <w:jc w:val="center"/>
              <w:rPr>
                <w:rFonts w:ascii="仿宋_GB2312" w:eastAsia="仿宋_GB2312"/>
                <w:color w:val="000000"/>
                <w:sz w:val="24"/>
                <w:szCs w:val="24"/>
              </w:rPr>
            </w:pPr>
          </w:p>
        </w:tc>
      </w:tr>
    </w:tbl>
    <w:p w14:paraId="0E5F9F70">
      <w:pPr>
        <w:rPr>
          <w:rFonts w:ascii="仿宋_GB2312" w:hAnsi="Times New Roman" w:eastAsia="仿宋_GB2312"/>
          <w:color w:val="000000"/>
          <w:sz w:val="24"/>
          <w:szCs w:val="24"/>
        </w:rPr>
      </w:pPr>
      <w:r>
        <w:rPr>
          <w:rFonts w:hint="eastAsia" w:ascii="仿宋_GB2312" w:hAnsi="Times New Roman" w:eastAsia="仿宋_GB2312"/>
          <w:b/>
          <w:bCs/>
          <w:color w:val="000000"/>
          <w:sz w:val="24"/>
          <w:szCs w:val="24"/>
        </w:rPr>
        <w:t>三、</w:t>
      </w:r>
      <w:r>
        <w:rPr>
          <w:rFonts w:hint="eastAsia" w:ascii="仿宋_GB2312" w:hAnsi="Times New Roman" w:eastAsia="仿宋_GB2312"/>
          <w:b/>
          <w:color w:val="000000"/>
          <w:sz w:val="24"/>
          <w:szCs w:val="24"/>
        </w:rPr>
        <w:t>其他需要提示的事项</w:t>
      </w:r>
    </w:p>
    <w:p w14:paraId="057434AE">
      <w:pPr>
        <w:spacing w:line="360" w:lineRule="auto"/>
        <w:rPr>
          <w:rFonts w:hint="eastAsia" w:ascii="仿宋_GB2312" w:hAnsi="仿宋" w:eastAsia="仿宋_GB2312"/>
          <w:b/>
          <w:sz w:val="24"/>
          <w:szCs w:val="24"/>
        </w:rPr>
      </w:pPr>
    </w:p>
    <w:p w14:paraId="5615A90A">
      <w:pPr>
        <w:spacing w:after="156" w:afterLines="50" w:line="360" w:lineRule="auto"/>
        <w:outlineLvl w:val="2"/>
        <w:rPr>
          <w:rFonts w:hint="eastAsia" w:ascii="宋体" w:hAnsi="宋体"/>
          <w:b/>
          <w:sz w:val="24"/>
        </w:rPr>
      </w:pPr>
      <w:bookmarkStart w:id="1546" w:name="_Toc65181457"/>
      <w:bookmarkStart w:id="1547" w:name="_Toc30951"/>
      <w:r>
        <w:rPr>
          <w:rFonts w:ascii="宋体" w:hAnsi="宋体"/>
          <w:b/>
          <w:sz w:val="24"/>
        </w:rPr>
        <w:br w:type="page"/>
      </w:r>
      <w:bookmarkStart w:id="1548" w:name="_Toc439125154"/>
      <w:bookmarkStart w:id="1549" w:name="_Toc1639479733"/>
      <w:bookmarkStart w:id="1550" w:name="_Toc1655732501"/>
      <w:bookmarkStart w:id="1551" w:name="_Toc70604266"/>
      <w:bookmarkStart w:id="1552" w:name="_Toc236573844"/>
      <w:bookmarkStart w:id="1553" w:name="_Toc1144983901"/>
      <w:bookmarkStart w:id="1554" w:name="_Toc66012761"/>
      <w:bookmarkStart w:id="1555" w:name="_Toc13270758"/>
      <w:r>
        <w:rPr>
          <w:rFonts w:hint="eastAsia" w:ascii="宋体" w:hAnsi="宋体"/>
          <w:b/>
          <w:sz w:val="24"/>
        </w:rPr>
        <w:t>附件</w:t>
      </w:r>
      <w:r>
        <w:rPr>
          <w:rFonts w:hint="eastAsia" w:ascii="Times New Roman" w:hAnsi="Times New Roman"/>
          <w:b/>
          <w:sz w:val="24"/>
        </w:rPr>
        <w:t>2</w:t>
      </w:r>
      <w:r>
        <w:rPr>
          <w:rFonts w:hint="eastAsia" w:ascii="宋体" w:hAnsi="宋体"/>
          <w:b/>
          <w:sz w:val="24"/>
        </w:rPr>
        <w:t>-</w:t>
      </w:r>
      <w:r>
        <w:rPr>
          <w:rFonts w:hint="eastAsia" w:ascii="Times New Roman" w:hAnsi="Times New Roman"/>
          <w:b/>
          <w:sz w:val="24"/>
        </w:rPr>
        <w:t>5</w:t>
      </w:r>
      <w:r>
        <w:rPr>
          <w:rFonts w:hint="eastAsia" w:ascii="宋体" w:hAnsi="宋体"/>
          <w:b/>
          <w:sz w:val="24"/>
        </w:rPr>
        <w:t>：《上市交易公告书》必备要素</w:t>
      </w:r>
      <w:bookmarkEnd w:id="1546"/>
      <w:bookmarkEnd w:id="1547"/>
      <w:bookmarkEnd w:id="1548"/>
      <w:bookmarkEnd w:id="1549"/>
      <w:bookmarkEnd w:id="1550"/>
      <w:bookmarkEnd w:id="1551"/>
      <w:bookmarkEnd w:id="1552"/>
      <w:bookmarkEnd w:id="1553"/>
      <w:bookmarkEnd w:id="1554"/>
      <w:bookmarkEnd w:id="1555"/>
    </w:p>
    <w:p w14:paraId="1802B675">
      <w:pPr>
        <w:pStyle w:val="30"/>
        <w:spacing w:line="360" w:lineRule="auto"/>
        <w:ind w:firstLine="0" w:firstLineChars="0"/>
        <w:rPr>
          <w:rFonts w:hint="eastAsia" w:ascii="仿宋_GB2312" w:hAnsi="仿宋" w:eastAsia="仿宋_GB2312"/>
          <w:b/>
          <w:sz w:val="24"/>
          <w:szCs w:val="24"/>
        </w:rPr>
      </w:pPr>
      <w:r>
        <w:rPr>
          <w:rFonts w:hint="eastAsia" w:ascii="仿宋" w:hAnsi="仿宋" w:eastAsia="仿宋"/>
          <w:b/>
          <w:sz w:val="24"/>
          <w:szCs w:val="24"/>
        </w:rPr>
        <w:t>一、</w:t>
      </w:r>
      <w:r>
        <w:rPr>
          <w:rFonts w:hint="eastAsia" w:ascii="仿宋_GB2312" w:hAnsi="仿宋" w:eastAsia="仿宋_GB2312"/>
          <w:b/>
          <w:sz w:val="24"/>
          <w:szCs w:val="24"/>
        </w:rPr>
        <w:t>重要声明与提示</w:t>
      </w:r>
    </w:p>
    <w:p w14:paraId="3B1E6778">
      <w:pPr>
        <w:spacing w:line="360" w:lineRule="auto"/>
        <w:rPr>
          <w:rFonts w:hint="eastAsia" w:ascii="仿宋_GB2312" w:hAnsi="仿宋" w:eastAsia="仿宋_GB2312"/>
          <w:b/>
          <w:sz w:val="24"/>
          <w:szCs w:val="24"/>
        </w:rPr>
      </w:pPr>
      <w:r>
        <w:rPr>
          <w:rFonts w:hint="eastAsia" w:ascii="仿宋_GB2312" w:hAnsi="仿宋" w:eastAsia="仿宋_GB2312"/>
          <w:b/>
          <w:sz w:val="24"/>
          <w:szCs w:val="24"/>
        </w:rPr>
        <w:t>二、</w:t>
      </w:r>
      <w:r>
        <w:rPr>
          <w:rFonts w:ascii="仿宋_GB2312" w:hAnsi="仿宋" w:eastAsia="仿宋_GB2312"/>
          <w:b/>
          <w:sz w:val="24"/>
          <w:szCs w:val="24"/>
        </w:rPr>
        <w:t>基金概览</w:t>
      </w:r>
    </w:p>
    <w:p w14:paraId="18742C94">
      <w:pPr>
        <w:spacing w:line="360" w:lineRule="auto"/>
        <w:rPr>
          <w:rFonts w:hint="eastAsia" w:ascii="仿宋_GB2312" w:hAnsi="仿宋" w:eastAsia="仿宋_GB2312"/>
          <w:sz w:val="24"/>
          <w:szCs w:val="24"/>
        </w:rPr>
      </w:pPr>
      <w:r>
        <w:rPr>
          <w:rFonts w:hint="eastAsia" w:ascii="仿宋_GB2312" w:hAnsi="仿宋" w:eastAsia="仿宋_GB2312"/>
          <w:sz w:val="24"/>
          <w:szCs w:val="24"/>
        </w:rPr>
        <w:t>（一）基金简称、交易代码、截至公告日前两个工作日的基金份额总额、本次上市交易份额、上市交易的证券交易所、上市交易日期、基金管理人、基金托管人、上市推荐人等基本信息；</w:t>
      </w:r>
    </w:p>
    <w:p w14:paraId="3BDEF645">
      <w:pPr>
        <w:spacing w:line="360" w:lineRule="auto"/>
        <w:rPr>
          <w:rFonts w:hint="eastAsia" w:ascii="仿宋_GB2312" w:hAnsi="仿宋" w:eastAsia="仿宋_GB2312"/>
          <w:sz w:val="24"/>
          <w:szCs w:val="24"/>
        </w:rPr>
      </w:pPr>
      <w:r>
        <w:rPr>
          <w:rFonts w:hint="eastAsia" w:ascii="仿宋_GB2312" w:hAnsi="仿宋" w:eastAsia="仿宋_GB2312"/>
          <w:sz w:val="24"/>
          <w:szCs w:val="24"/>
        </w:rPr>
        <w:t>（二）基金投资运作、交易等环节的主要风险；</w:t>
      </w:r>
    </w:p>
    <w:p w14:paraId="739A79FF">
      <w:pPr>
        <w:spacing w:line="360" w:lineRule="auto"/>
        <w:rPr>
          <w:rFonts w:hint="eastAsia" w:ascii="仿宋_GB2312" w:hAnsi="仿宋" w:eastAsia="仿宋_GB2312"/>
          <w:sz w:val="24"/>
          <w:szCs w:val="24"/>
        </w:rPr>
      </w:pPr>
      <w:r>
        <w:rPr>
          <w:rFonts w:hint="eastAsia" w:ascii="仿宋_GB2312" w:hAnsi="仿宋" w:eastAsia="仿宋_GB2312"/>
          <w:sz w:val="24"/>
          <w:szCs w:val="24"/>
        </w:rPr>
        <w:t>（三）基金认购资产支持证券以及基金所投资专项计划投资基础资产的情况。</w:t>
      </w:r>
    </w:p>
    <w:p w14:paraId="0847300A">
      <w:pPr>
        <w:pStyle w:val="30"/>
        <w:spacing w:line="360" w:lineRule="auto"/>
        <w:ind w:firstLine="0" w:firstLineChars="0"/>
        <w:rPr>
          <w:rFonts w:hint="eastAsia" w:ascii="仿宋_GB2312" w:hAnsi="仿宋" w:eastAsia="仿宋_GB2312"/>
          <w:b/>
          <w:sz w:val="24"/>
          <w:szCs w:val="24"/>
        </w:rPr>
      </w:pPr>
      <w:r>
        <w:rPr>
          <w:rFonts w:hint="eastAsia" w:ascii="仿宋_GB2312" w:hAnsi="仿宋" w:eastAsia="仿宋_GB2312"/>
          <w:b/>
          <w:sz w:val="24"/>
          <w:szCs w:val="24"/>
        </w:rPr>
        <w:t>三、基金的募集与上市交易</w:t>
      </w:r>
    </w:p>
    <w:p w14:paraId="2E0AA19D">
      <w:pPr>
        <w:pStyle w:val="30"/>
        <w:spacing w:line="360" w:lineRule="auto"/>
        <w:ind w:firstLine="0" w:firstLineChars="0"/>
        <w:rPr>
          <w:rFonts w:hint="eastAsia" w:ascii="仿宋_GB2312" w:hAnsi="仿宋" w:eastAsia="仿宋_GB2312"/>
          <w:sz w:val="24"/>
          <w:szCs w:val="24"/>
        </w:rPr>
      </w:pPr>
      <w:r>
        <w:rPr>
          <w:rFonts w:hint="eastAsia" w:ascii="仿宋_GB2312" w:hAnsi="仿宋" w:eastAsia="仿宋_GB2312"/>
          <w:sz w:val="24"/>
          <w:szCs w:val="24"/>
        </w:rPr>
        <w:t>（一）本次上市前基金募集情况，至少包括：</w:t>
      </w:r>
    </w:p>
    <w:p w14:paraId="68E6BD6E">
      <w:pPr>
        <w:pStyle w:val="30"/>
        <w:spacing w:line="360" w:lineRule="auto"/>
        <w:ind w:firstLine="0" w:firstLineChars="0"/>
        <w:rPr>
          <w:rFonts w:hint="eastAsia" w:ascii="仿宋_GB2312" w:hAnsi="仿宋" w:eastAsia="仿宋_GB2312"/>
          <w:sz w:val="24"/>
          <w:szCs w:val="24"/>
        </w:rPr>
      </w:pPr>
      <w:r>
        <w:rPr>
          <w:rFonts w:hint="eastAsia" w:ascii="Times New Roman" w:hAnsi="Times New Roman" w:eastAsia="仿宋_GB2312"/>
          <w:sz w:val="24"/>
          <w:szCs w:val="24"/>
        </w:rPr>
        <w:t>1</w:t>
      </w:r>
      <w:r>
        <w:rPr>
          <w:rFonts w:hint="eastAsia" w:ascii="仿宋_GB2312" w:hAnsi="仿宋" w:eastAsia="仿宋_GB2312"/>
          <w:sz w:val="24"/>
          <w:szCs w:val="24"/>
        </w:rPr>
        <w:t>、基金募集申请的核准机构和核准文号、基金运作方式、基金合同期限、发售日期、发售价格、发售期限、发售方式、发售机构、验资机构名称、募集资金总额及入账情况、基金备案情况、基金合同生效日及该日的基金份额总额等；</w:t>
      </w:r>
    </w:p>
    <w:p w14:paraId="76FE040B">
      <w:pPr>
        <w:pStyle w:val="30"/>
        <w:spacing w:line="360" w:lineRule="auto"/>
        <w:ind w:firstLine="0" w:firstLineChars="0"/>
        <w:rPr>
          <w:rFonts w:hint="eastAsia" w:ascii="仿宋_GB2312" w:hAnsi="仿宋" w:eastAsia="仿宋_GB2312"/>
          <w:sz w:val="24"/>
          <w:szCs w:val="24"/>
        </w:rPr>
      </w:pPr>
      <w:r>
        <w:rPr>
          <w:rFonts w:hint="eastAsia" w:ascii="Times New Roman" w:hAnsi="Times New Roman" w:eastAsia="仿宋_GB2312"/>
          <w:sz w:val="24"/>
          <w:szCs w:val="24"/>
        </w:rPr>
        <w:t>2</w:t>
      </w:r>
      <w:r>
        <w:rPr>
          <w:rFonts w:hint="eastAsia" w:ascii="仿宋_GB2312" w:hAnsi="仿宋" w:eastAsia="仿宋_GB2312"/>
          <w:sz w:val="24"/>
          <w:szCs w:val="24"/>
        </w:rPr>
        <w:t>、不动产项目原始权益人或同一控制下的关联方、其他战略投资者参与本次基金战略配售的具体情况及限售安排。</w:t>
      </w:r>
    </w:p>
    <w:p w14:paraId="09EE0718">
      <w:pPr>
        <w:pStyle w:val="30"/>
        <w:spacing w:line="360" w:lineRule="auto"/>
        <w:ind w:firstLine="0" w:firstLineChars="0"/>
        <w:rPr>
          <w:rFonts w:hint="eastAsia" w:ascii="仿宋_GB2312" w:hAnsi="仿宋" w:eastAsia="仿宋_GB2312"/>
          <w:sz w:val="24"/>
          <w:szCs w:val="24"/>
        </w:rPr>
      </w:pPr>
      <w:r>
        <w:rPr>
          <w:rFonts w:hint="eastAsia" w:ascii="仿宋_GB2312" w:hAnsi="仿宋" w:eastAsia="仿宋_GB2312"/>
          <w:sz w:val="24"/>
          <w:szCs w:val="24"/>
        </w:rPr>
        <w:t>（二）基金上市交易的主要内容，至少包括：</w:t>
      </w:r>
    </w:p>
    <w:p w14:paraId="0B92E92E">
      <w:pPr>
        <w:pStyle w:val="30"/>
        <w:spacing w:line="360" w:lineRule="auto"/>
        <w:ind w:firstLine="0" w:firstLineChars="0"/>
        <w:rPr>
          <w:rFonts w:hint="eastAsia" w:ascii="仿宋_GB2312" w:hAnsi="仿宋" w:eastAsia="仿宋_GB2312"/>
          <w:sz w:val="24"/>
          <w:szCs w:val="24"/>
        </w:rPr>
      </w:pPr>
      <w:r>
        <w:rPr>
          <w:rFonts w:hint="eastAsia" w:ascii="仿宋_GB2312" w:hAnsi="仿宋" w:eastAsia="仿宋_GB2312"/>
          <w:sz w:val="24"/>
          <w:szCs w:val="24"/>
        </w:rPr>
        <w:t>基金上市交易的核准机构和核准文号、上市交易日期、上市交易的证券交易所、基金简称、基金交易代码、本次上市交易份额、未上市交易份额的流通规定、锁定期份额的情况等。</w:t>
      </w:r>
    </w:p>
    <w:p w14:paraId="1E084BCD">
      <w:pPr>
        <w:pStyle w:val="30"/>
        <w:spacing w:line="360" w:lineRule="auto"/>
        <w:ind w:firstLine="0" w:firstLineChars="0"/>
        <w:rPr>
          <w:rFonts w:hint="eastAsia" w:ascii="仿宋_GB2312" w:hAnsi="仿宋" w:eastAsia="仿宋_GB2312"/>
          <w:b/>
          <w:sz w:val="24"/>
          <w:szCs w:val="24"/>
        </w:rPr>
      </w:pPr>
      <w:r>
        <w:rPr>
          <w:rFonts w:hint="eastAsia" w:ascii="仿宋_GB2312" w:hAnsi="仿宋" w:eastAsia="仿宋_GB2312"/>
          <w:b/>
          <w:sz w:val="24"/>
          <w:szCs w:val="24"/>
        </w:rPr>
        <w:t>四、持有人户数、持有人结构及前十名持有人</w:t>
      </w:r>
    </w:p>
    <w:p w14:paraId="3F50B2E4">
      <w:pPr>
        <w:pStyle w:val="30"/>
        <w:spacing w:line="360" w:lineRule="auto"/>
        <w:ind w:firstLine="0" w:firstLineChars="0"/>
        <w:rPr>
          <w:rFonts w:hint="eastAsia" w:ascii="仿宋_GB2312" w:hAnsi="仿宋" w:eastAsia="仿宋_GB2312"/>
          <w:b/>
          <w:sz w:val="24"/>
          <w:szCs w:val="24"/>
        </w:rPr>
      </w:pPr>
      <w:r>
        <w:rPr>
          <w:rFonts w:hint="eastAsia" w:ascii="仿宋_GB2312" w:hAnsi="仿宋" w:eastAsia="仿宋_GB2312"/>
          <w:b/>
          <w:sz w:val="24"/>
          <w:szCs w:val="24"/>
        </w:rPr>
        <w:t>五、基金主要当事人简介</w:t>
      </w:r>
    </w:p>
    <w:p w14:paraId="15EBB03E">
      <w:pPr>
        <w:pStyle w:val="30"/>
        <w:spacing w:line="360" w:lineRule="auto"/>
        <w:ind w:firstLine="0" w:firstLineChars="0"/>
        <w:rPr>
          <w:rFonts w:hint="eastAsia" w:ascii="仿宋_GB2312" w:hAnsi="仿宋" w:eastAsia="仿宋_GB2312"/>
          <w:sz w:val="24"/>
          <w:szCs w:val="24"/>
        </w:rPr>
      </w:pPr>
      <w:r>
        <w:rPr>
          <w:rFonts w:hint="eastAsia" w:ascii="仿宋_GB2312" w:hAnsi="仿宋" w:eastAsia="仿宋_GB2312"/>
          <w:sz w:val="24"/>
          <w:szCs w:val="24"/>
        </w:rPr>
        <w:t>基金管理人、基金托管人、基金上市推荐人、基金验资机构等基本信息</w:t>
      </w:r>
    </w:p>
    <w:p w14:paraId="0DD50515">
      <w:pPr>
        <w:pStyle w:val="30"/>
        <w:spacing w:line="360" w:lineRule="auto"/>
        <w:ind w:firstLine="0" w:firstLineChars="0"/>
        <w:rPr>
          <w:rFonts w:hint="eastAsia" w:ascii="仿宋_GB2312" w:hAnsi="仿宋" w:eastAsia="仿宋_GB2312"/>
          <w:b/>
          <w:sz w:val="24"/>
          <w:szCs w:val="24"/>
        </w:rPr>
      </w:pPr>
      <w:r>
        <w:rPr>
          <w:rFonts w:hint="eastAsia" w:ascii="仿宋_GB2312" w:hAnsi="仿宋" w:eastAsia="仿宋_GB2312"/>
          <w:b/>
          <w:sz w:val="24"/>
          <w:szCs w:val="24"/>
        </w:rPr>
        <w:t>六、基金合同摘要</w:t>
      </w:r>
    </w:p>
    <w:p w14:paraId="40309FD7">
      <w:pPr>
        <w:pStyle w:val="30"/>
        <w:spacing w:line="360" w:lineRule="auto"/>
        <w:ind w:firstLine="0" w:firstLineChars="0"/>
        <w:rPr>
          <w:rFonts w:hint="eastAsia" w:ascii="仿宋_GB2312" w:hAnsi="仿宋" w:eastAsia="仿宋_GB2312"/>
          <w:b/>
          <w:sz w:val="24"/>
          <w:szCs w:val="24"/>
        </w:rPr>
      </w:pPr>
      <w:r>
        <w:rPr>
          <w:rFonts w:hint="eastAsia" w:ascii="仿宋_GB2312" w:hAnsi="仿宋" w:eastAsia="仿宋_GB2312"/>
          <w:b/>
          <w:sz w:val="24"/>
          <w:szCs w:val="24"/>
        </w:rPr>
        <w:t>七、</w:t>
      </w:r>
      <w:r>
        <w:rPr>
          <w:rFonts w:ascii="仿宋_GB2312" w:hAnsi="仿宋" w:eastAsia="仿宋_GB2312"/>
          <w:b/>
          <w:sz w:val="24"/>
          <w:szCs w:val="24"/>
        </w:rPr>
        <w:t>基金财务状况</w:t>
      </w:r>
    </w:p>
    <w:p w14:paraId="2470D133">
      <w:pPr>
        <w:pStyle w:val="30"/>
        <w:spacing w:line="360" w:lineRule="auto"/>
        <w:ind w:firstLine="0" w:firstLineChars="0"/>
        <w:rPr>
          <w:rFonts w:hint="eastAsia" w:ascii="仿宋_GB2312" w:hAnsi="仿宋" w:eastAsia="仿宋_GB2312"/>
          <w:b/>
          <w:sz w:val="24"/>
          <w:szCs w:val="24"/>
        </w:rPr>
      </w:pPr>
      <w:r>
        <w:rPr>
          <w:rFonts w:hint="eastAsia" w:ascii="仿宋_GB2312" w:hAnsi="仿宋" w:eastAsia="仿宋_GB2312"/>
          <w:b/>
          <w:sz w:val="24"/>
          <w:szCs w:val="24"/>
        </w:rPr>
        <w:t>八、</w:t>
      </w:r>
      <w:r>
        <w:rPr>
          <w:rFonts w:ascii="仿宋_GB2312" w:hAnsi="仿宋" w:eastAsia="仿宋_GB2312"/>
          <w:b/>
          <w:sz w:val="24"/>
          <w:szCs w:val="24"/>
        </w:rPr>
        <w:t>基金</w:t>
      </w:r>
      <w:r>
        <w:rPr>
          <w:rFonts w:hint="eastAsia" w:ascii="仿宋_GB2312" w:hAnsi="仿宋" w:eastAsia="仿宋_GB2312"/>
          <w:b/>
          <w:sz w:val="24"/>
          <w:szCs w:val="24"/>
        </w:rPr>
        <w:t>投资组合</w:t>
      </w:r>
    </w:p>
    <w:p w14:paraId="1716600E">
      <w:pPr>
        <w:pStyle w:val="30"/>
        <w:spacing w:line="360" w:lineRule="auto"/>
        <w:ind w:firstLine="0" w:firstLineChars="0"/>
        <w:rPr>
          <w:rFonts w:hint="eastAsia" w:ascii="仿宋_GB2312" w:hAnsi="仿宋" w:eastAsia="仿宋_GB2312"/>
          <w:b/>
          <w:sz w:val="24"/>
          <w:szCs w:val="24"/>
        </w:rPr>
      </w:pPr>
      <w:r>
        <w:rPr>
          <w:rFonts w:hint="eastAsia" w:ascii="仿宋_GB2312" w:hAnsi="仿宋" w:eastAsia="仿宋_GB2312"/>
          <w:b/>
          <w:sz w:val="24"/>
          <w:szCs w:val="24"/>
        </w:rPr>
        <w:t>九、重大事件揭示</w:t>
      </w:r>
    </w:p>
    <w:p w14:paraId="506FBA59">
      <w:pPr>
        <w:pStyle w:val="30"/>
        <w:spacing w:line="360" w:lineRule="auto"/>
        <w:ind w:firstLine="0" w:firstLineChars="0"/>
        <w:rPr>
          <w:rFonts w:hint="eastAsia" w:ascii="仿宋_GB2312" w:hAnsi="仿宋" w:eastAsia="仿宋_GB2312"/>
          <w:b/>
          <w:sz w:val="24"/>
          <w:szCs w:val="24"/>
        </w:rPr>
      </w:pPr>
      <w:r>
        <w:rPr>
          <w:rFonts w:hint="eastAsia" w:ascii="仿宋_GB2312" w:hAnsi="仿宋" w:eastAsia="仿宋_GB2312"/>
          <w:b/>
          <w:sz w:val="24"/>
          <w:szCs w:val="24"/>
        </w:rPr>
        <w:t>十、基金管理人承诺</w:t>
      </w:r>
    </w:p>
    <w:p w14:paraId="694CCA30">
      <w:pPr>
        <w:pStyle w:val="30"/>
        <w:spacing w:line="360" w:lineRule="auto"/>
        <w:ind w:firstLine="0" w:firstLineChars="0"/>
        <w:rPr>
          <w:rFonts w:hint="eastAsia" w:ascii="仿宋_GB2312" w:hAnsi="仿宋" w:eastAsia="仿宋_GB2312"/>
          <w:b/>
          <w:sz w:val="24"/>
          <w:szCs w:val="24"/>
        </w:rPr>
      </w:pPr>
      <w:r>
        <w:rPr>
          <w:rFonts w:hint="eastAsia" w:ascii="仿宋_GB2312" w:hAnsi="仿宋" w:eastAsia="仿宋_GB2312"/>
          <w:b/>
          <w:sz w:val="24"/>
          <w:szCs w:val="24"/>
        </w:rPr>
        <w:t>十一、基金托管人承诺</w:t>
      </w:r>
    </w:p>
    <w:p w14:paraId="41F575D2">
      <w:pPr>
        <w:pStyle w:val="30"/>
        <w:spacing w:line="360" w:lineRule="auto"/>
        <w:ind w:firstLine="0" w:firstLineChars="0"/>
        <w:rPr>
          <w:rFonts w:hint="eastAsia" w:ascii="仿宋_GB2312" w:hAnsi="仿宋" w:eastAsia="仿宋_GB2312"/>
          <w:b/>
          <w:sz w:val="24"/>
          <w:szCs w:val="24"/>
        </w:rPr>
      </w:pPr>
      <w:r>
        <w:rPr>
          <w:rFonts w:hint="eastAsia" w:ascii="仿宋_GB2312" w:hAnsi="仿宋" w:eastAsia="仿宋_GB2312"/>
          <w:b/>
          <w:sz w:val="24"/>
          <w:szCs w:val="24"/>
        </w:rPr>
        <w:t>十二、基金上市推荐人意见</w:t>
      </w:r>
    </w:p>
    <w:p w14:paraId="00B5BFBA">
      <w:pPr>
        <w:pStyle w:val="30"/>
        <w:spacing w:line="360" w:lineRule="auto"/>
        <w:ind w:firstLine="0" w:firstLineChars="0"/>
        <w:rPr>
          <w:rFonts w:hint="eastAsia" w:ascii="仿宋_GB2312" w:hAnsi="仿宋" w:eastAsia="仿宋_GB2312"/>
          <w:b/>
          <w:sz w:val="24"/>
          <w:szCs w:val="24"/>
        </w:rPr>
      </w:pPr>
      <w:r>
        <w:rPr>
          <w:rFonts w:hint="eastAsia" w:ascii="仿宋_GB2312" w:hAnsi="仿宋" w:eastAsia="仿宋_GB2312"/>
          <w:b/>
          <w:sz w:val="24"/>
          <w:szCs w:val="24"/>
        </w:rPr>
        <w:t>十三、备查文件目录</w:t>
      </w:r>
    </w:p>
    <w:p w14:paraId="5788EC28">
      <w:pPr>
        <w:pStyle w:val="30"/>
        <w:spacing w:line="360" w:lineRule="auto"/>
        <w:ind w:firstLine="0" w:firstLineChars="0"/>
        <w:rPr>
          <w:rFonts w:hint="eastAsia" w:ascii="仿宋_GB2312" w:hAnsi="仿宋" w:eastAsia="仿宋_GB2312"/>
          <w:b/>
          <w:sz w:val="24"/>
          <w:szCs w:val="24"/>
        </w:rPr>
      </w:pPr>
    </w:p>
    <w:p w14:paraId="3AD88D1B">
      <w:pPr>
        <w:rPr>
          <w:rFonts w:hint="eastAsia" w:ascii="仿宋_GB2312" w:hAnsi="仿宋_GB2312" w:eastAsia="仿宋_GB2312" w:cs="仿宋_GB2312"/>
          <w:b/>
          <w:sz w:val="24"/>
          <w:szCs w:val="24"/>
        </w:rPr>
      </w:pPr>
    </w:p>
    <w:sectPr>
      <w:headerReference r:id="rId4" w:type="first"/>
      <w:footerReference r:id="rId6" w:type="first"/>
      <w:headerReference r:id="rId3" w:type="default"/>
      <w:footerReference r:id="rId5" w:type="default"/>
      <w:pgSz w:w="11906" w:h="16838"/>
      <w:pgMar w:top="1440" w:right="1800" w:bottom="1440" w:left="1800" w:header="851" w:footer="992" w:gutter="0"/>
      <w:cols w:space="720"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DejaVu Sans">
    <w:panose1 w:val="020B0603030804020204"/>
    <w:charset w:val="00"/>
    <w:family w:val="auto"/>
    <w:pitch w:val="default"/>
    <w:sig w:usb0="E7006EFF" w:usb1="D200FDFF" w:usb2="0A246029" w:usb3="0400200C" w:csb0="600001FF" w:csb1="DFFF0000"/>
  </w:font>
  <w:font w:name="仿宋_GB2312">
    <w:panose1 w:val="02010609030101010101"/>
    <w:charset w:val="86"/>
    <w:family w:val="modern"/>
    <w:pitch w:val="default"/>
    <w:sig w:usb0="00000001" w:usb1="080E0000" w:usb2="00000000" w:usb3="00000000" w:csb0="00040000" w:csb1="00000000"/>
  </w:font>
  <w:font w:name="方正大标宋简体">
    <w:panose1 w:val="02000000000000000000"/>
    <w:charset w:val="86"/>
    <w:family w:val="script"/>
    <w:pitch w:val="default"/>
    <w:sig w:usb0="A00002BF" w:usb1="184F6CFA" w:usb2="00000012" w:usb3="00000000" w:csb0="00040001" w:csb1="00000000"/>
  </w:font>
  <w:font w:name="Calibri Light">
    <w:altName w:val="Times New Roman"/>
    <w:panose1 w:val="020F0302020204030204"/>
    <w:charset w:val="00"/>
    <w:family w:val="swiss"/>
    <w:pitch w:val="default"/>
    <w:sig w:usb0="00000000" w:usb1="00000000" w:usb2="00000009" w:usb3="00000000" w:csb0="000001FF" w:csb1="00000000"/>
  </w:font>
  <w:font w:name="Cambria">
    <w:altName w:val="Noto Sans Syriac Eastern"/>
    <w:panose1 w:val="02040503050406030204"/>
    <w:charset w:val="00"/>
    <w:family w:val="roman"/>
    <w:pitch w:val="default"/>
    <w:sig w:usb0="00000000" w:usb1="00000000" w:usb2="02000000" w:usb3="00000000" w:csb0="0000019F" w:csb1="00000000"/>
  </w:font>
  <w:font w:name="Noto Sans Syriac Eastern">
    <w:panose1 w:val="02040503050306020203"/>
    <w:charset w:val="86"/>
    <w:family w:val="auto"/>
    <w:pitch w:val="default"/>
    <w:sig w:usb0="00000000" w:usb1="00000000" w:usb2="00000080" w:usb3="00000000" w:csb0="203E0161" w:csb1="D7FF0000"/>
  </w:font>
  <w:font w:name="华文楷体">
    <w:altName w:val="方正楷体_GBK"/>
    <w:panose1 w:val="02010600040101010101"/>
    <w:charset w:val="86"/>
    <w:family w:val="auto"/>
    <w:pitch w:val="default"/>
    <w:sig w:usb0="00000000" w:usb1="00000000" w:usb2="00000010" w:usb3="00000000" w:csb0="0004009F" w:csb1="00000000"/>
  </w:font>
  <w:font w:name="方正楷体_GBK">
    <w:panose1 w:val="02000000000000000000"/>
    <w:charset w:val="86"/>
    <w:family w:val="auto"/>
    <w:pitch w:val="default"/>
    <w:sig w:usb0="00000001" w:usb1="08000000" w:usb2="00000000" w:usb3="00000000" w:csb0="00040000" w:csb1="00000000"/>
  </w:font>
  <w:font w:name="仿宋">
    <w:altName w:val="方正仿宋_GBK"/>
    <w:panose1 w:val="02010609060101010101"/>
    <w:charset w:val="86"/>
    <w:family w:val="modern"/>
    <w:pitch w:val="default"/>
    <w:sig w:usb0="00000000" w:usb1="00000000" w:usb2="00000016" w:usb3="00000000" w:csb0="00040001" w:csb1="00000000"/>
  </w:font>
  <w:font w:name="方正仿宋_GBK">
    <w:panose1 w:val="02000000000000000000"/>
    <w:charset w:val="86"/>
    <w:family w:val="auto"/>
    <w:pitch w:val="default"/>
    <w:sig w:usb0="00000001" w:usb1="08000000" w:usb2="00000000" w:usb3="00000000" w:csb0="00040000" w:csb1="00000000"/>
  </w:font>
  <w:font w:name="Noto Sans CJK JP Bold">
    <w:panose1 w:val="020B0800000000000000"/>
    <w:charset w:val="86"/>
    <w:family w:val="auto"/>
    <w:pitch w:val="default"/>
    <w:sig w:usb0="30000003" w:usb1="2BDF3C10" w:usb2="00000016" w:usb3="00000000" w:csb0="602E0107"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284659032"/>
    </w:sdtPr>
    <w:sdtContent>
      <w:p w14:paraId="14656652">
        <w:pPr>
          <w:pStyle w:val="9"/>
          <w:jc w:val="center"/>
        </w:pPr>
        <w:r>
          <w:fldChar w:fldCharType="begin"/>
        </w:r>
        <w:r>
          <w:instrText xml:space="preserve"> PAGE   \* MERGEFORMAT </w:instrText>
        </w:r>
        <w:r>
          <w:fldChar w:fldCharType="separate"/>
        </w:r>
        <w:r>
          <w:rPr>
            <w:lang w:val="zh-CN"/>
          </w:rPr>
          <w:t>5</w:t>
        </w:r>
        <w:r>
          <w:rPr>
            <w:rFonts w:ascii="Times New Roman" w:hAnsi="Times New Roman"/>
            <w:lang w:val="zh-CN"/>
          </w:rPr>
          <w:t>6</w:t>
        </w:r>
        <w:r>
          <w:rPr>
            <w:lang w:val="zh-CN"/>
          </w:rPr>
          <w:fldChar w:fldCharType="end"/>
        </w:r>
      </w:p>
    </w:sdtContent>
  </w:sdt>
  <w:p w14:paraId="111319CE">
    <w:pPr>
      <w:pStyle w:val="9"/>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7C24BA5">
    <w:pPr>
      <w:pStyle w:val="9"/>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2F1472B"/>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AAB3E25">
    <w:pPr>
      <w:pStyle w:val="1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CA0540A"/>
    <w:multiLevelType w:val="multilevel"/>
    <w:tmpl w:val="ACA0540A"/>
    <w:lvl w:ilvl="0" w:tentative="0">
      <w:start w:val="1"/>
      <w:numFmt w:val="chineseCountingThousand"/>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
    <w:nsid w:val="AD7A0236"/>
    <w:multiLevelType w:val="multilevel"/>
    <w:tmpl w:val="AD7A0236"/>
    <w:lvl w:ilvl="0" w:tentative="0">
      <w:start w:val="1"/>
      <w:numFmt w:val="decimal"/>
      <w:lvlText w:val="%1)"/>
      <w:lvlJc w:val="left"/>
      <w:pPr>
        <w:tabs>
          <w:tab w:val="left" w:pos="420"/>
        </w:tabs>
        <w:ind w:left="420" w:hanging="420"/>
      </w:pPr>
      <w:rPr>
        <w:rFonts w:hint="default" w:ascii="Times New Roman" w:hAnsi="Times New Roman" w:cs="Times New Roman"/>
      </w:rPr>
    </w:lvl>
    <w:lvl w:ilvl="1" w:tentative="0">
      <w:start w:val="1"/>
      <w:numFmt w:val="decimal"/>
      <w:lvlText w:val="%2."/>
      <w:lvlJc w:val="left"/>
      <w:pPr>
        <w:tabs>
          <w:tab w:val="left" w:pos="840"/>
        </w:tabs>
        <w:ind w:left="840" w:hanging="420"/>
      </w:pPr>
      <w:rPr>
        <w:rFonts w:hint="default"/>
      </w:rPr>
    </w:lvl>
    <w:lvl w:ilvl="2" w:tentative="0">
      <w:start w:val="1"/>
      <w:numFmt w:val="japaneseCounting"/>
      <w:lvlText w:val="(%3)"/>
      <w:lvlJc w:val="left"/>
      <w:pPr>
        <w:tabs>
          <w:tab w:val="left" w:pos="1200"/>
        </w:tabs>
        <w:ind w:left="1200" w:hanging="360"/>
      </w:pPr>
      <w:rPr>
        <w:rFonts w:hint="default" w:ascii="仿宋_GB2312" w:eastAsia="仿宋_GB2312"/>
        <w:sz w:val="30"/>
      </w:rPr>
    </w:lvl>
    <w:lvl w:ilvl="3" w:tentative="0">
      <w:start w:val="6"/>
      <w:numFmt w:val="japaneseCounting"/>
      <w:lvlText w:val="第%4节"/>
      <w:lvlJc w:val="left"/>
      <w:pPr>
        <w:tabs>
          <w:tab w:val="left" w:pos="2710"/>
        </w:tabs>
        <w:ind w:left="2710" w:hanging="1450"/>
      </w:pPr>
      <w:rPr>
        <w:rFonts w:hint="default"/>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abstractNum w:abstractNumId="2">
    <w:nsid w:val="BBDE65B6"/>
    <w:multiLevelType w:val="singleLevel"/>
    <w:tmpl w:val="BBDE65B6"/>
    <w:lvl w:ilvl="0" w:tentative="0">
      <w:start w:val="1"/>
      <w:numFmt w:val="decimal"/>
      <w:lvlText w:val="%1)"/>
      <w:lvlJc w:val="left"/>
      <w:pPr>
        <w:tabs>
          <w:tab w:val="left" w:pos="420"/>
        </w:tabs>
        <w:ind w:left="845" w:hanging="425"/>
      </w:pPr>
      <w:rPr>
        <w:rFonts w:hint="default" w:ascii="Times New Roman" w:hAnsi="Times New Roman" w:cs="Times New Roman"/>
      </w:rPr>
    </w:lvl>
  </w:abstractNum>
  <w:abstractNum w:abstractNumId="3">
    <w:nsid w:val="FCFF4C58"/>
    <w:multiLevelType w:val="singleLevel"/>
    <w:tmpl w:val="FCFF4C58"/>
    <w:lvl w:ilvl="0" w:tentative="0">
      <w:start w:val="1"/>
      <w:numFmt w:val="decimalEnclosedCircleChinese"/>
      <w:suff w:val="nothing"/>
      <w:lvlText w:val="%1　"/>
      <w:lvlJc w:val="left"/>
      <w:pPr>
        <w:ind w:left="0" w:firstLine="400"/>
      </w:pPr>
      <w:rPr>
        <w:rFonts w:hint="eastAsia"/>
      </w:rPr>
    </w:lvl>
  </w:abstractNum>
  <w:abstractNum w:abstractNumId="4">
    <w:nsid w:val="FEE2FBBA"/>
    <w:multiLevelType w:val="singleLevel"/>
    <w:tmpl w:val="FEE2FBBA"/>
    <w:lvl w:ilvl="0" w:tentative="0">
      <w:start w:val="1"/>
      <w:numFmt w:val="decimalEnclosedCircleChinese"/>
      <w:suff w:val="nothing"/>
      <w:lvlText w:val="%1　"/>
      <w:lvlJc w:val="left"/>
      <w:pPr>
        <w:ind w:left="0" w:firstLine="400"/>
      </w:pPr>
      <w:rPr>
        <w:rFonts w:hint="eastAsia"/>
      </w:rPr>
    </w:lvl>
  </w:abstractNum>
  <w:abstractNum w:abstractNumId="5">
    <w:nsid w:val="02EB2FC5"/>
    <w:multiLevelType w:val="multilevel"/>
    <w:tmpl w:val="02EB2FC5"/>
    <w:lvl w:ilvl="0" w:tentative="0">
      <w:start w:val="1"/>
      <w:numFmt w:val="japaneseCounting"/>
      <w:lvlText w:val="%1、"/>
      <w:lvlJc w:val="left"/>
      <w:pPr>
        <w:tabs>
          <w:tab w:val="left" w:pos="720"/>
        </w:tabs>
        <w:ind w:left="720" w:hanging="720"/>
      </w:pPr>
      <w:rPr>
        <w:rFonts w:hint="default"/>
      </w:rPr>
    </w:lvl>
    <w:lvl w:ilvl="1" w:tentative="0">
      <w:start w:val="1"/>
      <w:numFmt w:val="decimal"/>
      <w:lvlText w:val="%2."/>
      <w:lvlJc w:val="left"/>
      <w:pPr>
        <w:tabs>
          <w:tab w:val="left" w:pos="840"/>
        </w:tabs>
        <w:ind w:left="840" w:hanging="420"/>
      </w:pPr>
      <w:rPr>
        <w:rFonts w:hint="default" w:ascii="Times New Roman" w:hAnsi="Times New Roman" w:cs="Times New Roman"/>
      </w:rPr>
    </w:lvl>
    <w:lvl w:ilvl="2" w:tentative="0">
      <w:start w:val="1"/>
      <w:numFmt w:val="japaneseCounting"/>
      <w:lvlText w:val="（%3）"/>
      <w:lvlJc w:val="left"/>
      <w:pPr>
        <w:tabs>
          <w:tab w:val="left" w:pos="1560"/>
        </w:tabs>
        <w:ind w:left="1560" w:hanging="720"/>
      </w:pPr>
      <w:rPr>
        <w:rFonts w:hint="default"/>
      </w:r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6">
    <w:nsid w:val="05A95B4D"/>
    <w:multiLevelType w:val="multilevel"/>
    <w:tmpl w:val="05A95B4D"/>
    <w:lvl w:ilvl="0" w:tentative="0">
      <w:start w:val="1"/>
      <w:numFmt w:val="chineseCountingThousand"/>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7">
    <w:nsid w:val="06174679"/>
    <w:multiLevelType w:val="multilevel"/>
    <w:tmpl w:val="06174679"/>
    <w:lvl w:ilvl="0" w:tentative="0">
      <w:start w:val="1"/>
      <w:numFmt w:val="decimal"/>
      <w:lvlText w:val="%1)"/>
      <w:lvlJc w:val="left"/>
      <w:pPr>
        <w:ind w:left="1260" w:hanging="420"/>
      </w:pPr>
      <w:rPr>
        <w:rFonts w:hint="default" w:ascii="Times New Roman" w:hAnsi="Times New Roman" w:cs="Times New Roman"/>
      </w:rPr>
    </w:lvl>
    <w:lvl w:ilvl="1" w:tentative="0">
      <w:start w:val="1"/>
      <w:numFmt w:val="lowerLetter"/>
      <w:lvlText w:val="%2)"/>
      <w:lvlJc w:val="left"/>
      <w:pPr>
        <w:ind w:left="1680" w:hanging="420"/>
      </w:pPr>
    </w:lvl>
    <w:lvl w:ilvl="2" w:tentative="0">
      <w:start w:val="1"/>
      <w:numFmt w:val="lowerRoman"/>
      <w:lvlText w:val="%3."/>
      <w:lvlJc w:val="right"/>
      <w:pPr>
        <w:ind w:left="2100" w:hanging="420"/>
      </w:pPr>
    </w:lvl>
    <w:lvl w:ilvl="3" w:tentative="0">
      <w:start w:val="1"/>
      <w:numFmt w:val="decimal"/>
      <w:lvlText w:val="%4."/>
      <w:lvlJc w:val="left"/>
      <w:pPr>
        <w:ind w:left="2520" w:hanging="420"/>
      </w:pPr>
    </w:lvl>
    <w:lvl w:ilvl="4" w:tentative="0">
      <w:start w:val="1"/>
      <w:numFmt w:val="lowerLetter"/>
      <w:lvlText w:val="%5)"/>
      <w:lvlJc w:val="left"/>
      <w:pPr>
        <w:ind w:left="2940" w:hanging="420"/>
      </w:pPr>
    </w:lvl>
    <w:lvl w:ilvl="5" w:tentative="0">
      <w:start w:val="1"/>
      <w:numFmt w:val="lowerRoman"/>
      <w:lvlText w:val="%6."/>
      <w:lvlJc w:val="right"/>
      <w:pPr>
        <w:ind w:left="3360" w:hanging="420"/>
      </w:pPr>
    </w:lvl>
    <w:lvl w:ilvl="6" w:tentative="0">
      <w:start w:val="1"/>
      <w:numFmt w:val="decimal"/>
      <w:lvlText w:val="%7."/>
      <w:lvlJc w:val="left"/>
      <w:pPr>
        <w:ind w:left="3780" w:hanging="420"/>
      </w:pPr>
    </w:lvl>
    <w:lvl w:ilvl="7" w:tentative="0">
      <w:start w:val="1"/>
      <w:numFmt w:val="lowerLetter"/>
      <w:lvlText w:val="%8)"/>
      <w:lvlJc w:val="left"/>
      <w:pPr>
        <w:ind w:left="4200" w:hanging="420"/>
      </w:pPr>
    </w:lvl>
    <w:lvl w:ilvl="8" w:tentative="0">
      <w:start w:val="1"/>
      <w:numFmt w:val="lowerRoman"/>
      <w:lvlText w:val="%9."/>
      <w:lvlJc w:val="right"/>
      <w:pPr>
        <w:ind w:left="4620" w:hanging="420"/>
      </w:pPr>
    </w:lvl>
  </w:abstractNum>
  <w:abstractNum w:abstractNumId="8">
    <w:nsid w:val="06615745"/>
    <w:multiLevelType w:val="multilevel"/>
    <w:tmpl w:val="06615745"/>
    <w:lvl w:ilvl="0" w:tentative="0">
      <w:start w:val="1"/>
      <w:numFmt w:val="decimalEnclosedCircle"/>
      <w:lvlText w:val="%1 "/>
      <w:lvlJc w:val="left"/>
      <w:pPr>
        <w:ind w:left="1271" w:hanging="420"/>
      </w:pPr>
      <w:rPr>
        <w:rFonts w:hint="eastAsia"/>
      </w:rPr>
    </w:lvl>
    <w:lvl w:ilvl="1" w:tentative="0">
      <w:start w:val="1"/>
      <w:numFmt w:val="lowerLetter"/>
      <w:lvlText w:val="%2)"/>
      <w:lvlJc w:val="left"/>
      <w:pPr>
        <w:ind w:left="1741" w:hanging="420"/>
      </w:pPr>
    </w:lvl>
    <w:lvl w:ilvl="2" w:tentative="0">
      <w:start w:val="1"/>
      <w:numFmt w:val="lowerRoman"/>
      <w:lvlText w:val="%3."/>
      <w:lvlJc w:val="right"/>
      <w:pPr>
        <w:ind w:left="2161" w:hanging="420"/>
      </w:pPr>
    </w:lvl>
    <w:lvl w:ilvl="3" w:tentative="0">
      <w:start w:val="1"/>
      <w:numFmt w:val="decimal"/>
      <w:lvlText w:val="%4."/>
      <w:lvlJc w:val="left"/>
      <w:pPr>
        <w:ind w:left="2581" w:hanging="420"/>
      </w:pPr>
    </w:lvl>
    <w:lvl w:ilvl="4" w:tentative="0">
      <w:start w:val="1"/>
      <w:numFmt w:val="lowerLetter"/>
      <w:lvlText w:val="%5)"/>
      <w:lvlJc w:val="left"/>
      <w:pPr>
        <w:ind w:left="3001" w:hanging="420"/>
      </w:pPr>
    </w:lvl>
    <w:lvl w:ilvl="5" w:tentative="0">
      <w:start w:val="1"/>
      <w:numFmt w:val="lowerRoman"/>
      <w:lvlText w:val="%6."/>
      <w:lvlJc w:val="right"/>
      <w:pPr>
        <w:ind w:left="3421" w:hanging="420"/>
      </w:pPr>
    </w:lvl>
    <w:lvl w:ilvl="6" w:tentative="0">
      <w:start w:val="1"/>
      <w:numFmt w:val="decimal"/>
      <w:lvlText w:val="%7."/>
      <w:lvlJc w:val="left"/>
      <w:pPr>
        <w:ind w:left="3841" w:hanging="420"/>
      </w:pPr>
    </w:lvl>
    <w:lvl w:ilvl="7" w:tentative="0">
      <w:start w:val="1"/>
      <w:numFmt w:val="lowerLetter"/>
      <w:lvlText w:val="%8)"/>
      <w:lvlJc w:val="left"/>
      <w:pPr>
        <w:ind w:left="4261" w:hanging="420"/>
      </w:pPr>
    </w:lvl>
    <w:lvl w:ilvl="8" w:tentative="0">
      <w:start w:val="1"/>
      <w:numFmt w:val="lowerRoman"/>
      <w:lvlText w:val="%9."/>
      <w:lvlJc w:val="right"/>
      <w:pPr>
        <w:ind w:left="4681" w:hanging="420"/>
      </w:pPr>
    </w:lvl>
  </w:abstractNum>
  <w:abstractNum w:abstractNumId="9">
    <w:nsid w:val="07F90A87"/>
    <w:multiLevelType w:val="multilevel"/>
    <w:tmpl w:val="07F90A87"/>
    <w:lvl w:ilvl="0" w:tentative="0">
      <w:start w:val="1"/>
      <w:numFmt w:val="decimalEnclosedCircle"/>
      <w:lvlText w:val="%1 "/>
      <w:lvlJc w:val="left"/>
      <w:pPr>
        <w:ind w:left="1271" w:hanging="420"/>
      </w:pPr>
      <w:rPr>
        <w:rFonts w:hint="eastAsia"/>
      </w:rPr>
    </w:lvl>
    <w:lvl w:ilvl="1" w:tentative="0">
      <w:start w:val="1"/>
      <w:numFmt w:val="lowerLetter"/>
      <w:lvlText w:val="%2)"/>
      <w:lvlJc w:val="left"/>
      <w:pPr>
        <w:ind w:left="1741" w:hanging="420"/>
      </w:pPr>
    </w:lvl>
    <w:lvl w:ilvl="2" w:tentative="0">
      <w:start w:val="1"/>
      <w:numFmt w:val="lowerRoman"/>
      <w:lvlText w:val="%3."/>
      <w:lvlJc w:val="right"/>
      <w:pPr>
        <w:ind w:left="2161" w:hanging="420"/>
      </w:pPr>
    </w:lvl>
    <w:lvl w:ilvl="3" w:tentative="0">
      <w:start w:val="1"/>
      <w:numFmt w:val="decimal"/>
      <w:lvlText w:val="%4."/>
      <w:lvlJc w:val="left"/>
      <w:pPr>
        <w:ind w:left="2581" w:hanging="420"/>
      </w:pPr>
    </w:lvl>
    <w:lvl w:ilvl="4" w:tentative="0">
      <w:start w:val="1"/>
      <w:numFmt w:val="lowerLetter"/>
      <w:lvlText w:val="%5)"/>
      <w:lvlJc w:val="left"/>
      <w:pPr>
        <w:ind w:left="3001" w:hanging="420"/>
      </w:pPr>
    </w:lvl>
    <w:lvl w:ilvl="5" w:tentative="0">
      <w:start w:val="1"/>
      <w:numFmt w:val="lowerRoman"/>
      <w:lvlText w:val="%6."/>
      <w:lvlJc w:val="right"/>
      <w:pPr>
        <w:ind w:left="3421" w:hanging="420"/>
      </w:pPr>
    </w:lvl>
    <w:lvl w:ilvl="6" w:tentative="0">
      <w:start w:val="1"/>
      <w:numFmt w:val="decimal"/>
      <w:lvlText w:val="%7."/>
      <w:lvlJc w:val="left"/>
      <w:pPr>
        <w:ind w:left="3841" w:hanging="420"/>
      </w:pPr>
    </w:lvl>
    <w:lvl w:ilvl="7" w:tentative="0">
      <w:start w:val="1"/>
      <w:numFmt w:val="lowerLetter"/>
      <w:lvlText w:val="%8)"/>
      <w:lvlJc w:val="left"/>
      <w:pPr>
        <w:ind w:left="4261" w:hanging="420"/>
      </w:pPr>
    </w:lvl>
    <w:lvl w:ilvl="8" w:tentative="0">
      <w:start w:val="1"/>
      <w:numFmt w:val="lowerRoman"/>
      <w:lvlText w:val="%9."/>
      <w:lvlJc w:val="right"/>
      <w:pPr>
        <w:ind w:left="4681" w:hanging="420"/>
      </w:pPr>
    </w:lvl>
  </w:abstractNum>
  <w:abstractNum w:abstractNumId="10">
    <w:nsid w:val="0A410228"/>
    <w:multiLevelType w:val="multilevel"/>
    <w:tmpl w:val="0A410228"/>
    <w:lvl w:ilvl="0" w:tentative="0">
      <w:start w:val="1"/>
      <w:numFmt w:val="japaneseCounting"/>
      <w:lvlText w:val="%1、"/>
      <w:lvlJc w:val="left"/>
      <w:pPr>
        <w:tabs>
          <w:tab w:val="left" w:pos="720"/>
        </w:tabs>
        <w:ind w:left="720" w:hanging="720"/>
      </w:pPr>
      <w:rPr>
        <w:rFonts w:hint="default"/>
      </w:rPr>
    </w:lvl>
    <w:lvl w:ilvl="1" w:tentative="0">
      <w:start w:val="1"/>
      <w:numFmt w:val="decimal"/>
      <w:lvlText w:val="%2."/>
      <w:lvlJc w:val="left"/>
      <w:pPr>
        <w:tabs>
          <w:tab w:val="left" w:pos="840"/>
        </w:tabs>
        <w:ind w:left="840" w:hanging="420"/>
      </w:pPr>
      <w:rPr>
        <w:rFonts w:hint="default" w:ascii="Times New Roman" w:hAnsi="Times New Roman" w:cs="Times New Roman"/>
      </w:rPr>
    </w:lvl>
    <w:lvl w:ilvl="2" w:tentative="0">
      <w:start w:val="1"/>
      <w:numFmt w:val="japaneseCounting"/>
      <w:lvlText w:val="（%3）"/>
      <w:lvlJc w:val="left"/>
      <w:pPr>
        <w:tabs>
          <w:tab w:val="left" w:pos="1560"/>
        </w:tabs>
        <w:ind w:left="1560" w:hanging="720"/>
      </w:pPr>
      <w:rPr>
        <w:rFonts w:hint="default"/>
      </w:r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1">
    <w:nsid w:val="0B1F5645"/>
    <w:multiLevelType w:val="multilevel"/>
    <w:tmpl w:val="0B1F5645"/>
    <w:lvl w:ilvl="0" w:tentative="0">
      <w:start w:val="1"/>
      <w:numFmt w:val="decimalEnclosedCircle"/>
      <w:lvlText w:val="%1 "/>
      <w:lvlJc w:val="left"/>
      <w:pPr>
        <w:ind w:left="1271" w:hanging="420"/>
      </w:pPr>
      <w:rPr>
        <w:rFonts w:hint="eastAsia"/>
      </w:rPr>
    </w:lvl>
    <w:lvl w:ilvl="1" w:tentative="0">
      <w:start w:val="1"/>
      <w:numFmt w:val="lowerLetter"/>
      <w:lvlText w:val="%2)"/>
      <w:lvlJc w:val="left"/>
      <w:pPr>
        <w:ind w:left="1741" w:hanging="420"/>
      </w:pPr>
    </w:lvl>
    <w:lvl w:ilvl="2" w:tentative="0">
      <w:start w:val="1"/>
      <w:numFmt w:val="lowerRoman"/>
      <w:lvlText w:val="%3."/>
      <w:lvlJc w:val="right"/>
      <w:pPr>
        <w:ind w:left="2161" w:hanging="420"/>
      </w:pPr>
    </w:lvl>
    <w:lvl w:ilvl="3" w:tentative="0">
      <w:start w:val="1"/>
      <w:numFmt w:val="decimal"/>
      <w:lvlText w:val="%4."/>
      <w:lvlJc w:val="left"/>
      <w:pPr>
        <w:ind w:left="2581" w:hanging="420"/>
      </w:pPr>
    </w:lvl>
    <w:lvl w:ilvl="4" w:tentative="0">
      <w:start w:val="1"/>
      <w:numFmt w:val="lowerLetter"/>
      <w:lvlText w:val="%5)"/>
      <w:lvlJc w:val="left"/>
      <w:pPr>
        <w:ind w:left="3001" w:hanging="420"/>
      </w:pPr>
    </w:lvl>
    <w:lvl w:ilvl="5" w:tentative="0">
      <w:start w:val="1"/>
      <w:numFmt w:val="lowerRoman"/>
      <w:lvlText w:val="%6."/>
      <w:lvlJc w:val="right"/>
      <w:pPr>
        <w:ind w:left="3421" w:hanging="420"/>
      </w:pPr>
    </w:lvl>
    <w:lvl w:ilvl="6" w:tentative="0">
      <w:start w:val="1"/>
      <w:numFmt w:val="decimal"/>
      <w:lvlText w:val="%7."/>
      <w:lvlJc w:val="left"/>
      <w:pPr>
        <w:ind w:left="3841" w:hanging="420"/>
      </w:pPr>
    </w:lvl>
    <w:lvl w:ilvl="7" w:tentative="0">
      <w:start w:val="1"/>
      <w:numFmt w:val="lowerLetter"/>
      <w:lvlText w:val="%8)"/>
      <w:lvlJc w:val="left"/>
      <w:pPr>
        <w:ind w:left="4261" w:hanging="420"/>
      </w:pPr>
    </w:lvl>
    <w:lvl w:ilvl="8" w:tentative="0">
      <w:start w:val="1"/>
      <w:numFmt w:val="lowerRoman"/>
      <w:lvlText w:val="%9."/>
      <w:lvlJc w:val="right"/>
      <w:pPr>
        <w:ind w:left="4681" w:hanging="420"/>
      </w:pPr>
    </w:lvl>
  </w:abstractNum>
  <w:abstractNum w:abstractNumId="12">
    <w:nsid w:val="0E336DFC"/>
    <w:multiLevelType w:val="multilevel"/>
    <w:tmpl w:val="0E336DFC"/>
    <w:lvl w:ilvl="0" w:tentative="0">
      <w:start w:val="1"/>
      <w:numFmt w:val="bullet"/>
      <w:lvlText w:val=""/>
      <w:lvlJc w:val="left"/>
      <w:pPr>
        <w:tabs>
          <w:tab w:val="left" w:pos="420"/>
        </w:tabs>
        <w:ind w:left="420" w:hanging="420"/>
      </w:pPr>
      <w:rPr>
        <w:rFonts w:hint="default" w:ascii="Wingdings" w:hAnsi="Wingdings"/>
      </w:rPr>
    </w:lvl>
    <w:lvl w:ilvl="1" w:tentative="0">
      <w:start w:val="1"/>
      <w:numFmt w:val="decimal"/>
      <w:lvlText w:val="%2."/>
      <w:lvlJc w:val="left"/>
      <w:pPr>
        <w:tabs>
          <w:tab w:val="left" w:pos="840"/>
        </w:tabs>
        <w:ind w:left="840" w:hanging="420"/>
      </w:pPr>
      <w:rPr>
        <w:rFonts w:hint="default"/>
      </w:rPr>
    </w:lvl>
    <w:lvl w:ilvl="2" w:tentative="0">
      <w:start w:val="1"/>
      <w:numFmt w:val="japaneseCounting"/>
      <w:lvlText w:val="(%3)"/>
      <w:lvlJc w:val="left"/>
      <w:pPr>
        <w:tabs>
          <w:tab w:val="left" w:pos="1200"/>
        </w:tabs>
        <w:ind w:left="1200" w:hanging="360"/>
      </w:pPr>
      <w:rPr>
        <w:rFonts w:hint="default" w:ascii="仿宋_GB2312" w:eastAsia="仿宋_GB2312"/>
        <w:sz w:val="30"/>
      </w:rPr>
    </w:lvl>
    <w:lvl w:ilvl="3" w:tentative="0">
      <w:start w:val="6"/>
      <w:numFmt w:val="japaneseCounting"/>
      <w:lvlText w:val="第%4节"/>
      <w:lvlJc w:val="left"/>
      <w:pPr>
        <w:tabs>
          <w:tab w:val="left" w:pos="2710"/>
        </w:tabs>
        <w:ind w:left="2710" w:hanging="1450"/>
      </w:pPr>
      <w:rPr>
        <w:rFonts w:hint="default"/>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abstractNum w:abstractNumId="13">
    <w:nsid w:val="11300EFD"/>
    <w:multiLevelType w:val="multilevel"/>
    <w:tmpl w:val="11300EFD"/>
    <w:lvl w:ilvl="0" w:tentative="0">
      <w:start w:val="1"/>
      <w:numFmt w:val="decimalEnclosedCircle"/>
      <w:lvlText w:val="%1 "/>
      <w:lvlJc w:val="left"/>
      <w:pPr>
        <w:ind w:left="1271" w:hanging="420"/>
      </w:pPr>
      <w:rPr>
        <w:rFonts w:hint="eastAsia"/>
      </w:rPr>
    </w:lvl>
    <w:lvl w:ilvl="1" w:tentative="0">
      <w:start w:val="1"/>
      <w:numFmt w:val="lowerLetter"/>
      <w:lvlText w:val="%2)"/>
      <w:lvlJc w:val="left"/>
      <w:pPr>
        <w:ind w:left="1741" w:hanging="420"/>
      </w:pPr>
    </w:lvl>
    <w:lvl w:ilvl="2" w:tentative="0">
      <w:start w:val="1"/>
      <w:numFmt w:val="lowerRoman"/>
      <w:lvlText w:val="%3."/>
      <w:lvlJc w:val="right"/>
      <w:pPr>
        <w:ind w:left="2161" w:hanging="420"/>
      </w:pPr>
    </w:lvl>
    <w:lvl w:ilvl="3" w:tentative="0">
      <w:start w:val="1"/>
      <w:numFmt w:val="decimal"/>
      <w:lvlText w:val="%4."/>
      <w:lvlJc w:val="left"/>
      <w:pPr>
        <w:ind w:left="2581" w:hanging="420"/>
      </w:pPr>
    </w:lvl>
    <w:lvl w:ilvl="4" w:tentative="0">
      <w:start w:val="1"/>
      <w:numFmt w:val="lowerLetter"/>
      <w:lvlText w:val="%5)"/>
      <w:lvlJc w:val="left"/>
      <w:pPr>
        <w:ind w:left="3001" w:hanging="420"/>
      </w:pPr>
    </w:lvl>
    <w:lvl w:ilvl="5" w:tentative="0">
      <w:start w:val="1"/>
      <w:numFmt w:val="lowerRoman"/>
      <w:lvlText w:val="%6."/>
      <w:lvlJc w:val="right"/>
      <w:pPr>
        <w:ind w:left="3421" w:hanging="420"/>
      </w:pPr>
    </w:lvl>
    <w:lvl w:ilvl="6" w:tentative="0">
      <w:start w:val="1"/>
      <w:numFmt w:val="decimal"/>
      <w:lvlText w:val="%7."/>
      <w:lvlJc w:val="left"/>
      <w:pPr>
        <w:ind w:left="3841" w:hanging="420"/>
      </w:pPr>
    </w:lvl>
    <w:lvl w:ilvl="7" w:tentative="0">
      <w:start w:val="1"/>
      <w:numFmt w:val="lowerLetter"/>
      <w:lvlText w:val="%8)"/>
      <w:lvlJc w:val="left"/>
      <w:pPr>
        <w:ind w:left="4261" w:hanging="420"/>
      </w:pPr>
    </w:lvl>
    <w:lvl w:ilvl="8" w:tentative="0">
      <w:start w:val="1"/>
      <w:numFmt w:val="lowerRoman"/>
      <w:lvlText w:val="%9."/>
      <w:lvlJc w:val="right"/>
      <w:pPr>
        <w:ind w:left="4681" w:hanging="420"/>
      </w:pPr>
    </w:lvl>
  </w:abstractNum>
  <w:abstractNum w:abstractNumId="14">
    <w:nsid w:val="11384238"/>
    <w:multiLevelType w:val="multilevel"/>
    <w:tmpl w:val="11384238"/>
    <w:lvl w:ilvl="0" w:tentative="0">
      <w:start w:val="1"/>
      <w:numFmt w:val="decimalEnclosedCircle"/>
      <w:lvlText w:val="%1 "/>
      <w:lvlJc w:val="left"/>
      <w:pPr>
        <w:ind w:left="1271" w:hanging="420"/>
      </w:pPr>
      <w:rPr>
        <w:rFonts w:hint="eastAsia"/>
      </w:rPr>
    </w:lvl>
    <w:lvl w:ilvl="1" w:tentative="0">
      <w:start w:val="1"/>
      <w:numFmt w:val="lowerLetter"/>
      <w:lvlText w:val="%2)"/>
      <w:lvlJc w:val="left"/>
      <w:pPr>
        <w:ind w:left="1741" w:hanging="420"/>
      </w:pPr>
    </w:lvl>
    <w:lvl w:ilvl="2" w:tentative="0">
      <w:start w:val="1"/>
      <w:numFmt w:val="lowerRoman"/>
      <w:lvlText w:val="%3."/>
      <w:lvlJc w:val="right"/>
      <w:pPr>
        <w:ind w:left="2161" w:hanging="420"/>
      </w:pPr>
    </w:lvl>
    <w:lvl w:ilvl="3" w:tentative="0">
      <w:start w:val="1"/>
      <w:numFmt w:val="decimal"/>
      <w:lvlText w:val="%4."/>
      <w:lvlJc w:val="left"/>
      <w:pPr>
        <w:ind w:left="2581" w:hanging="420"/>
      </w:pPr>
    </w:lvl>
    <w:lvl w:ilvl="4" w:tentative="0">
      <w:start w:val="1"/>
      <w:numFmt w:val="lowerLetter"/>
      <w:lvlText w:val="%5)"/>
      <w:lvlJc w:val="left"/>
      <w:pPr>
        <w:ind w:left="3001" w:hanging="420"/>
      </w:pPr>
    </w:lvl>
    <w:lvl w:ilvl="5" w:tentative="0">
      <w:start w:val="1"/>
      <w:numFmt w:val="lowerRoman"/>
      <w:lvlText w:val="%6."/>
      <w:lvlJc w:val="right"/>
      <w:pPr>
        <w:ind w:left="3421" w:hanging="420"/>
      </w:pPr>
    </w:lvl>
    <w:lvl w:ilvl="6" w:tentative="0">
      <w:start w:val="1"/>
      <w:numFmt w:val="decimal"/>
      <w:lvlText w:val="%7."/>
      <w:lvlJc w:val="left"/>
      <w:pPr>
        <w:ind w:left="3841" w:hanging="420"/>
      </w:pPr>
    </w:lvl>
    <w:lvl w:ilvl="7" w:tentative="0">
      <w:start w:val="1"/>
      <w:numFmt w:val="lowerLetter"/>
      <w:lvlText w:val="%8)"/>
      <w:lvlJc w:val="left"/>
      <w:pPr>
        <w:ind w:left="4261" w:hanging="420"/>
      </w:pPr>
    </w:lvl>
    <w:lvl w:ilvl="8" w:tentative="0">
      <w:start w:val="1"/>
      <w:numFmt w:val="lowerRoman"/>
      <w:lvlText w:val="%9."/>
      <w:lvlJc w:val="right"/>
      <w:pPr>
        <w:ind w:left="4681" w:hanging="420"/>
      </w:pPr>
    </w:lvl>
  </w:abstractNum>
  <w:abstractNum w:abstractNumId="15">
    <w:nsid w:val="132A6284"/>
    <w:multiLevelType w:val="multilevel"/>
    <w:tmpl w:val="132A6284"/>
    <w:lvl w:ilvl="0" w:tentative="0">
      <w:start w:val="1"/>
      <w:numFmt w:val="decimalEnclosedCircle"/>
      <w:lvlText w:val="%1 "/>
      <w:lvlJc w:val="left"/>
      <w:pPr>
        <w:ind w:left="1271" w:hanging="420"/>
      </w:pPr>
      <w:rPr>
        <w:rFonts w:hint="eastAsia"/>
      </w:rPr>
    </w:lvl>
    <w:lvl w:ilvl="1" w:tentative="0">
      <w:start w:val="1"/>
      <w:numFmt w:val="lowerLetter"/>
      <w:lvlText w:val="%2)"/>
      <w:lvlJc w:val="left"/>
      <w:pPr>
        <w:ind w:left="1741" w:hanging="420"/>
      </w:pPr>
    </w:lvl>
    <w:lvl w:ilvl="2" w:tentative="0">
      <w:start w:val="1"/>
      <w:numFmt w:val="lowerRoman"/>
      <w:lvlText w:val="%3."/>
      <w:lvlJc w:val="right"/>
      <w:pPr>
        <w:ind w:left="2161" w:hanging="420"/>
      </w:pPr>
    </w:lvl>
    <w:lvl w:ilvl="3" w:tentative="0">
      <w:start w:val="1"/>
      <w:numFmt w:val="decimal"/>
      <w:lvlText w:val="%4."/>
      <w:lvlJc w:val="left"/>
      <w:pPr>
        <w:ind w:left="2581" w:hanging="420"/>
      </w:pPr>
    </w:lvl>
    <w:lvl w:ilvl="4" w:tentative="0">
      <w:start w:val="1"/>
      <w:numFmt w:val="lowerLetter"/>
      <w:lvlText w:val="%5)"/>
      <w:lvlJc w:val="left"/>
      <w:pPr>
        <w:ind w:left="3001" w:hanging="420"/>
      </w:pPr>
    </w:lvl>
    <w:lvl w:ilvl="5" w:tentative="0">
      <w:start w:val="1"/>
      <w:numFmt w:val="lowerRoman"/>
      <w:lvlText w:val="%6."/>
      <w:lvlJc w:val="right"/>
      <w:pPr>
        <w:ind w:left="3421" w:hanging="420"/>
      </w:pPr>
    </w:lvl>
    <w:lvl w:ilvl="6" w:tentative="0">
      <w:start w:val="1"/>
      <w:numFmt w:val="decimal"/>
      <w:lvlText w:val="%7."/>
      <w:lvlJc w:val="left"/>
      <w:pPr>
        <w:ind w:left="3841" w:hanging="420"/>
      </w:pPr>
    </w:lvl>
    <w:lvl w:ilvl="7" w:tentative="0">
      <w:start w:val="1"/>
      <w:numFmt w:val="lowerLetter"/>
      <w:lvlText w:val="%8)"/>
      <w:lvlJc w:val="left"/>
      <w:pPr>
        <w:ind w:left="4261" w:hanging="420"/>
      </w:pPr>
    </w:lvl>
    <w:lvl w:ilvl="8" w:tentative="0">
      <w:start w:val="1"/>
      <w:numFmt w:val="lowerRoman"/>
      <w:lvlText w:val="%9."/>
      <w:lvlJc w:val="right"/>
      <w:pPr>
        <w:ind w:left="4681" w:hanging="420"/>
      </w:pPr>
    </w:lvl>
  </w:abstractNum>
  <w:abstractNum w:abstractNumId="16">
    <w:nsid w:val="14DB5959"/>
    <w:multiLevelType w:val="multilevel"/>
    <w:tmpl w:val="14DB5959"/>
    <w:lvl w:ilvl="0" w:tentative="0">
      <w:start w:val="1"/>
      <w:numFmt w:val="japaneseCounting"/>
      <w:lvlText w:val="%1、"/>
      <w:lvlJc w:val="left"/>
      <w:pPr>
        <w:tabs>
          <w:tab w:val="left" w:pos="720"/>
        </w:tabs>
        <w:ind w:left="720" w:hanging="720"/>
      </w:pPr>
      <w:rPr>
        <w:rFonts w:hint="default"/>
      </w:rPr>
    </w:lvl>
    <w:lvl w:ilvl="1" w:tentative="0">
      <w:start w:val="1"/>
      <w:numFmt w:val="decimal"/>
      <w:lvlText w:val="%2."/>
      <w:lvlJc w:val="left"/>
      <w:pPr>
        <w:tabs>
          <w:tab w:val="left" w:pos="840"/>
        </w:tabs>
        <w:ind w:left="840" w:hanging="420"/>
      </w:pPr>
      <w:rPr>
        <w:rFonts w:hint="default" w:ascii="Times New Roman" w:hAnsi="Times New Roman" w:cs="Times New Roman"/>
      </w:rPr>
    </w:lvl>
    <w:lvl w:ilvl="2" w:tentative="0">
      <w:start w:val="1"/>
      <w:numFmt w:val="japaneseCounting"/>
      <w:lvlText w:val="（%3）"/>
      <w:lvlJc w:val="left"/>
      <w:pPr>
        <w:tabs>
          <w:tab w:val="left" w:pos="1560"/>
        </w:tabs>
        <w:ind w:left="1560" w:hanging="720"/>
      </w:pPr>
      <w:rPr>
        <w:rFonts w:hint="default"/>
      </w:r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7">
    <w:nsid w:val="16085521"/>
    <w:multiLevelType w:val="multilevel"/>
    <w:tmpl w:val="16085521"/>
    <w:lvl w:ilvl="0" w:tentative="0">
      <w:start w:val="1"/>
      <w:numFmt w:val="chineseCountingThousand"/>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8">
    <w:nsid w:val="16FD243C"/>
    <w:multiLevelType w:val="multilevel"/>
    <w:tmpl w:val="16FD243C"/>
    <w:lvl w:ilvl="0" w:tentative="0">
      <w:start w:val="1"/>
      <w:numFmt w:val="bullet"/>
      <w:lvlText w:val=""/>
      <w:lvlJc w:val="left"/>
      <w:pPr>
        <w:tabs>
          <w:tab w:val="left" w:pos="420"/>
        </w:tabs>
        <w:ind w:left="420" w:hanging="420"/>
      </w:pPr>
      <w:rPr>
        <w:rFonts w:hint="default" w:ascii="Wingdings" w:hAnsi="Wingdings"/>
      </w:rPr>
    </w:lvl>
    <w:lvl w:ilvl="1" w:tentative="0">
      <w:start w:val="1"/>
      <w:numFmt w:val="decimal"/>
      <w:lvlText w:val="%2."/>
      <w:lvlJc w:val="left"/>
      <w:pPr>
        <w:tabs>
          <w:tab w:val="left" w:pos="840"/>
        </w:tabs>
        <w:ind w:left="840" w:hanging="420"/>
      </w:pPr>
      <w:rPr>
        <w:rFonts w:hint="default"/>
      </w:rPr>
    </w:lvl>
    <w:lvl w:ilvl="2" w:tentative="0">
      <w:start w:val="1"/>
      <w:numFmt w:val="japaneseCounting"/>
      <w:lvlText w:val="(%3)"/>
      <w:lvlJc w:val="left"/>
      <w:pPr>
        <w:tabs>
          <w:tab w:val="left" w:pos="1200"/>
        </w:tabs>
        <w:ind w:left="1200" w:hanging="360"/>
      </w:pPr>
      <w:rPr>
        <w:rFonts w:hint="default" w:ascii="仿宋_GB2312" w:eastAsia="仿宋_GB2312"/>
        <w:sz w:val="30"/>
      </w:rPr>
    </w:lvl>
    <w:lvl w:ilvl="3" w:tentative="0">
      <w:start w:val="6"/>
      <w:numFmt w:val="japaneseCounting"/>
      <w:lvlText w:val="第%4节"/>
      <w:lvlJc w:val="left"/>
      <w:pPr>
        <w:tabs>
          <w:tab w:val="left" w:pos="2710"/>
        </w:tabs>
        <w:ind w:left="2710" w:hanging="1450"/>
      </w:pPr>
      <w:rPr>
        <w:rFonts w:hint="default"/>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abstractNum w:abstractNumId="19">
    <w:nsid w:val="17F676DB"/>
    <w:multiLevelType w:val="multilevel"/>
    <w:tmpl w:val="17F676DB"/>
    <w:lvl w:ilvl="0" w:tentative="0">
      <w:start w:val="1"/>
      <w:numFmt w:val="decimal"/>
      <w:lvlText w:val="%1)"/>
      <w:lvlJc w:val="left"/>
      <w:pPr>
        <w:ind w:left="1260" w:hanging="420"/>
      </w:pPr>
      <w:rPr>
        <w:rFonts w:hint="default" w:ascii="Times New Roman" w:hAnsi="Times New Roman" w:cs="Times New Roman"/>
      </w:rPr>
    </w:lvl>
    <w:lvl w:ilvl="1" w:tentative="0">
      <w:start w:val="1"/>
      <w:numFmt w:val="lowerLetter"/>
      <w:lvlText w:val="%2)"/>
      <w:lvlJc w:val="left"/>
      <w:pPr>
        <w:ind w:left="1680" w:hanging="420"/>
      </w:pPr>
    </w:lvl>
    <w:lvl w:ilvl="2" w:tentative="0">
      <w:start w:val="1"/>
      <w:numFmt w:val="lowerRoman"/>
      <w:lvlText w:val="%3."/>
      <w:lvlJc w:val="right"/>
      <w:pPr>
        <w:ind w:left="2100" w:hanging="420"/>
      </w:pPr>
    </w:lvl>
    <w:lvl w:ilvl="3" w:tentative="0">
      <w:start w:val="1"/>
      <w:numFmt w:val="decimal"/>
      <w:lvlText w:val="%4."/>
      <w:lvlJc w:val="left"/>
      <w:pPr>
        <w:ind w:left="2520" w:hanging="420"/>
      </w:pPr>
    </w:lvl>
    <w:lvl w:ilvl="4" w:tentative="0">
      <w:start w:val="1"/>
      <w:numFmt w:val="lowerLetter"/>
      <w:lvlText w:val="%5)"/>
      <w:lvlJc w:val="left"/>
      <w:pPr>
        <w:ind w:left="2940" w:hanging="420"/>
      </w:pPr>
    </w:lvl>
    <w:lvl w:ilvl="5" w:tentative="0">
      <w:start w:val="1"/>
      <w:numFmt w:val="lowerRoman"/>
      <w:lvlText w:val="%6."/>
      <w:lvlJc w:val="right"/>
      <w:pPr>
        <w:ind w:left="3360" w:hanging="420"/>
      </w:pPr>
    </w:lvl>
    <w:lvl w:ilvl="6" w:tentative="0">
      <w:start w:val="1"/>
      <w:numFmt w:val="decimal"/>
      <w:lvlText w:val="%7."/>
      <w:lvlJc w:val="left"/>
      <w:pPr>
        <w:ind w:left="3780" w:hanging="420"/>
      </w:pPr>
    </w:lvl>
    <w:lvl w:ilvl="7" w:tentative="0">
      <w:start w:val="1"/>
      <w:numFmt w:val="lowerLetter"/>
      <w:lvlText w:val="%8)"/>
      <w:lvlJc w:val="left"/>
      <w:pPr>
        <w:ind w:left="4200" w:hanging="420"/>
      </w:pPr>
    </w:lvl>
    <w:lvl w:ilvl="8" w:tentative="0">
      <w:start w:val="1"/>
      <w:numFmt w:val="lowerRoman"/>
      <w:lvlText w:val="%9."/>
      <w:lvlJc w:val="right"/>
      <w:pPr>
        <w:ind w:left="4620" w:hanging="420"/>
      </w:pPr>
    </w:lvl>
  </w:abstractNum>
  <w:abstractNum w:abstractNumId="20">
    <w:nsid w:val="188D0784"/>
    <w:multiLevelType w:val="multilevel"/>
    <w:tmpl w:val="188D0784"/>
    <w:lvl w:ilvl="0" w:tentative="0">
      <w:start w:val="1"/>
      <w:numFmt w:val="japaneseCounting"/>
      <w:lvlText w:val="%1、"/>
      <w:lvlJc w:val="left"/>
      <w:pPr>
        <w:ind w:left="420" w:hanging="420"/>
      </w:pPr>
      <w:rPr>
        <w:rFonts w:hint="eastAsia"/>
        <w:sz w:val="32"/>
        <w:szCs w:val="32"/>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1">
    <w:nsid w:val="1963181A"/>
    <w:multiLevelType w:val="multilevel"/>
    <w:tmpl w:val="1963181A"/>
    <w:lvl w:ilvl="0" w:tentative="0">
      <w:start w:val="1"/>
      <w:numFmt w:val="decimalEnclosedCircle"/>
      <w:lvlText w:val="%1"/>
      <w:lvlJc w:val="left"/>
      <w:pPr>
        <w:ind w:left="465" w:hanging="360"/>
      </w:pPr>
    </w:lvl>
    <w:lvl w:ilvl="1" w:tentative="0">
      <w:start w:val="1"/>
      <w:numFmt w:val="lowerLetter"/>
      <w:lvlText w:val="%2)"/>
      <w:lvlJc w:val="left"/>
      <w:pPr>
        <w:ind w:left="945" w:hanging="420"/>
      </w:pPr>
    </w:lvl>
    <w:lvl w:ilvl="2" w:tentative="0">
      <w:start w:val="1"/>
      <w:numFmt w:val="lowerRoman"/>
      <w:lvlText w:val="%3."/>
      <w:lvlJc w:val="right"/>
      <w:pPr>
        <w:ind w:left="1365" w:hanging="420"/>
      </w:pPr>
    </w:lvl>
    <w:lvl w:ilvl="3" w:tentative="0">
      <w:start w:val="1"/>
      <w:numFmt w:val="decimal"/>
      <w:lvlText w:val="%4."/>
      <w:lvlJc w:val="left"/>
      <w:pPr>
        <w:ind w:left="1785" w:hanging="420"/>
      </w:pPr>
    </w:lvl>
    <w:lvl w:ilvl="4" w:tentative="0">
      <w:start w:val="1"/>
      <w:numFmt w:val="lowerLetter"/>
      <w:lvlText w:val="%5)"/>
      <w:lvlJc w:val="left"/>
      <w:pPr>
        <w:ind w:left="2205" w:hanging="420"/>
      </w:pPr>
    </w:lvl>
    <w:lvl w:ilvl="5" w:tentative="0">
      <w:start w:val="1"/>
      <w:numFmt w:val="lowerRoman"/>
      <w:lvlText w:val="%6."/>
      <w:lvlJc w:val="right"/>
      <w:pPr>
        <w:ind w:left="2625" w:hanging="420"/>
      </w:pPr>
    </w:lvl>
    <w:lvl w:ilvl="6" w:tentative="0">
      <w:start w:val="1"/>
      <w:numFmt w:val="decimal"/>
      <w:lvlText w:val="%7."/>
      <w:lvlJc w:val="left"/>
      <w:pPr>
        <w:ind w:left="3045" w:hanging="420"/>
      </w:pPr>
    </w:lvl>
    <w:lvl w:ilvl="7" w:tentative="0">
      <w:start w:val="1"/>
      <w:numFmt w:val="lowerLetter"/>
      <w:lvlText w:val="%8)"/>
      <w:lvlJc w:val="left"/>
      <w:pPr>
        <w:ind w:left="3465" w:hanging="420"/>
      </w:pPr>
    </w:lvl>
    <w:lvl w:ilvl="8" w:tentative="0">
      <w:start w:val="1"/>
      <w:numFmt w:val="lowerRoman"/>
      <w:lvlText w:val="%9."/>
      <w:lvlJc w:val="right"/>
      <w:pPr>
        <w:ind w:left="3885" w:hanging="420"/>
      </w:pPr>
    </w:lvl>
  </w:abstractNum>
  <w:abstractNum w:abstractNumId="22">
    <w:nsid w:val="196A2B14"/>
    <w:multiLevelType w:val="multilevel"/>
    <w:tmpl w:val="196A2B14"/>
    <w:lvl w:ilvl="0" w:tentative="0">
      <w:start w:val="1"/>
      <w:numFmt w:val="japaneseCounting"/>
      <w:lvlText w:val="%1、"/>
      <w:lvlJc w:val="left"/>
      <w:pPr>
        <w:tabs>
          <w:tab w:val="left" w:pos="720"/>
        </w:tabs>
        <w:ind w:left="720" w:hanging="720"/>
      </w:pPr>
      <w:rPr>
        <w:rFonts w:hint="default"/>
      </w:rPr>
    </w:lvl>
    <w:lvl w:ilvl="1" w:tentative="0">
      <w:start w:val="1"/>
      <w:numFmt w:val="decimal"/>
      <w:lvlText w:val="%2."/>
      <w:lvlJc w:val="left"/>
      <w:pPr>
        <w:tabs>
          <w:tab w:val="left" w:pos="840"/>
        </w:tabs>
        <w:ind w:left="840" w:hanging="420"/>
      </w:pPr>
      <w:rPr>
        <w:rFonts w:hint="default" w:ascii="Times New Roman" w:hAnsi="Times New Roman" w:cs="Times New Roman"/>
      </w:rPr>
    </w:lvl>
    <w:lvl w:ilvl="2" w:tentative="0">
      <w:start w:val="1"/>
      <w:numFmt w:val="japaneseCounting"/>
      <w:lvlText w:val="（%3）"/>
      <w:lvlJc w:val="left"/>
      <w:pPr>
        <w:tabs>
          <w:tab w:val="left" w:pos="1560"/>
        </w:tabs>
        <w:ind w:left="1560" w:hanging="720"/>
      </w:pPr>
      <w:rPr>
        <w:rFonts w:hint="default"/>
      </w:r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3">
    <w:nsid w:val="1A833E9F"/>
    <w:multiLevelType w:val="multilevel"/>
    <w:tmpl w:val="1A833E9F"/>
    <w:lvl w:ilvl="0" w:tentative="0">
      <w:start w:val="1"/>
      <w:numFmt w:val="bullet"/>
      <w:lvlText w:val=""/>
      <w:lvlJc w:val="left"/>
      <w:pPr>
        <w:tabs>
          <w:tab w:val="left" w:pos="420"/>
        </w:tabs>
        <w:ind w:left="420" w:hanging="420"/>
      </w:pPr>
      <w:rPr>
        <w:rFonts w:hint="default" w:ascii="Wingdings" w:hAnsi="Wingdings"/>
      </w:rPr>
    </w:lvl>
    <w:lvl w:ilvl="1" w:tentative="0">
      <w:start w:val="1"/>
      <w:numFmt w:val="decimal"/>
      <w:lvlText w:val="%2."/>
      <w:lvlJc w:val="left"/>
      <w:pPr>
        <w:tabs>
          <w:tab w:val="left" w:pos="840"/>
        </w:tabs>
        <w:ind w:left="840" w:hanging="420"/>
      </w:pPr>
      <w:rPr>
        <w:rFonts w:hint="default" w:ascii="Times New Roman" w:hAnsi="Times New Roman" w:cs="Times New Roman"/>
      </w:rPr>
    </w:lvl>
    <w:lvl w:ilvl="2" w:tentative="0">
      <w:start w:val="1"/>
      <w:numFmt w:val="japaneseCounting"/>
      <w:lvlText w:val="(%3)"/>
      <w:lvlJc w:val="left"/>
      <w:pPr>
        <w:tabs>
          <w:tab w:val="left" w:pos="1200"/>
        </w:tabs>
        <w:ind w:left="1200" w:hanging="360"/>
      </w:pPr>
      <w:rPr>
        <w:rFonts w:hint="eastAsia" w:ascii="仿宋_GB2312" w:eastAsia="仿宋_GB2312"/>
        <w:sz w:val="30"/>
        <w:szCs w:val="30"/>
      </w:rPr>
    </w:lvl>
    <w:lvl w:ilvl="3" w:tentative="0">
      <w:start w:val="6"/>
      <w:numFmt w:val="japaneseCounting"/>
      <w:lvlText w:val="第%4节"/>
      <w:lvlJc w:val="left"/>
      <w:pPr>
        <w:tabs>
          <w:tab w:val="left" w:pos="2710"/>
        </w:tabs>
        <w:ind w:left="2710" w:hanging="1450"/>
      </w:pPr>
      <w:rPr>
        <w:rFonts w:hint="default" w:ascii="Times New Roman" w:hAnsi="Times New Roman" w:cs="Times New Roman"/>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abstractNum w:abstractNumId="24">
    <w:nsid w:val="1DC5337F"/>
    <w:multiLevelType w:val="multilevel"/>
    <w:tmpl w:val="1DC5337F"/>
    <w:lvl w:ilvl="0" w:tentative="0">
      <w:start w:val="1"/>
      <w:numFmt w:val="japaneseCounting"/>
      <w:lvlText w:val="%1、"/>
      <w:lvlJc w:val="left"/>
      <w:pPr>
        <w:tabs>
          <w:tab w:val="left" w:pos="720"/>
        </w:tabs>
        <w:ind w:left="720" w:hanging="720"/>
      </w:pPr>
      <w:rPr>
        <w:rFonts w:hint="default"/>
      </w:rPr>
    </w:lvl>
    <w:lvl w:ilvl="1" w:tentative="0">
      <w:start w:val="1"/>
      <w:numFmt w:val="decimal"/>
      <w:lvlText w:val="%2."/>
      <w:lvlJc w:val="left"/>
      <w:pPr>
        <w:tabs>
          <w:tab w:val="left" w:pos="840"/>
        </w:tabs>
        <w:ind w:left="840" w:hanging="420"/>
      </w:pPr>
      <w:rPr>
        <w:rFonts w:hint="default"/>
      </w:rPr>
    </w:lvl>
    <w:lvl w:ilvl="2" w:tentative="0">
      <w:start w:val="1"/>
      <w:numFmt w:val="japaneseCounting"/>
      <w:lvlText w:val="（%3）"/>
      <w:lvlJc w:val="left"/>
      <w:pPr>
        <w:tabs>
          <w:tab w:val="left" w:pos="1560"/>
        </w:tabs>
        <w:ind w:left="1560" w:hanging="720"/>
      </w:pPr>
      <w:rPr>
        <w:rFonts w:hint="default"/>
      </w:r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5">
    <w:nsid w:val="1EE16633"/>
    <w:multiLevelType w:val="multilevel"/>
    <w:tmpl w:val="1EE16633"/>
    <w:lvl w:ilvl="0" w:tentative="0">
      <w:start w:val="1"/>
      <w:numFmt w:val="japaneseCounting"/>
      <w:lvlText w:val="%1、"/>
      <w:lvlJc w:val="left"/>
      <w:pPr>
        <w:ind w:left="420" w:hanging="420"/>
      </w:pPr>
      <w:rPr>
        <w:rFonts w:hint="eastAsia"/>
        <w:sz w:val="32"/>
        <w:szCs w:val="32"/>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6">
    <w:nsid w:val="209E12E6"/>
    <w:multiLevelType w:val="multilevel"/>
    <w:tmpl w:val="209E12E6"/>
    <w:lvl w:ilvl="0" w:tentative="0">
      <w:start w:val="1"/>
      <w:numFmt w:val="japaneseCounting"/>
      <w:lvlText w:val="%1、"/>
      <w:lvlJc w:val="left"/>
      <w:pPr>
        <w:ind w:left="420" w:hanging="420"/>
      </w:pPr>
      <w:rPr>
        <w:rFonts w:hint="eastAsia"/>
        <w:sz w:val="32"/>
        <w:szCs w:val="32"/>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7">
    <w:nsid w:val="225F5E23"/>
    <w:multiLevelType w:val="multilevel"/>
    <w:tmpl w:val="225F5E23"/>
    <w:lvl w:ilvl="0" w:tentative="0">
      <w:start w:val="1"/>
      <w:numFmt w:val="japaneseCounting"/>
      <w:lvlText w:val="%1、"/>
      <w:lvlJc w:val="left"/>
      <w:pPr>
        <w:tabs>
          <w:tab w:val="left" w:pos="720"/>
        </w:tabs>
        <w:ind w:left="720" w:hanging="720"/>
      </w:pPr>
      <w:rPr>
        <w:rFonts w:hint="default"/>
      </w:rPr>
    </w:lvl>
    <w:lvl w:ilvl="1" w:tentative="0">
      <w:start w:val="1"/>
      <w:numFmt w:val="decimal"/>
      <w:lvlText w:val="%2."/>
      <w:lvlJc w:val="left"/>
      <w:pPr>
        <w:tabs>
          <w:tab w:val="left" w:pos="840"/>
        </w:tabs>
        <w:ind w:left="840" w:hanging="420"/>
      </w:pPr>
      <w:rPr>
        <w:rFonts w:hint="default" w:ascii="Times New Roman" w:hAnsi="Times New Roman" w:cs="Times New Roman"/>
      </w:rPr>
    </w:lvl>
    <w:lvl w:ilvl="2" w:tentative="0">
      <w:start w:val="1"/>
      <w:numFmt w:val="japaneseCounting"/>
      <w:lvlText w:val="（%3）"/>
      <w:lvlJc w:val="left"/>
      <w:pPr>
        <w:tabs>
          <w:tab w:val="left" w:pos="1560"/>
        </w:tabs>
        <w:ind w:left="1560" w:hanging="720"/>
      </w:pPr>
      <w:rPr>
        <w:rFonts w:hint="default"/>
      </w:r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8">
    <w:nsid w:val="226F3237"/>
    <w:multiLevelType w:val="multilevel"/>
    <w:tmpl w:val="226F3237"/>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29">
    <w:nsid w:val="26A42DAB"/>
    <w:multiLevelType w:val="multilevel"/>
    <w:tmpl w:val="26A42DAB"/>
    <w:lvl w:ilvl="0" w:tentative="0">
      <w:start w:val="1"/>
      <w:numFmt w:val="decimal"/>
      <w:lvlText w:val="%1)"/>
      <w:lvlJc w:val="left"/>
      <w:pPr>
        <w:tabs>
          <w:tab w:val="left" w:pos="839"/>
        </w:tabs>
        <w:ind w:left="839" w:hanging="420"/>
      </w:pPr>
      <w:rPr>
        <w:rFonts w:hint="default" w:ascii="Times New Roman" w:hAnsi="Times New Roman" w:cs="Times New Roman"/>
      </w:rPr>
    </w:lvl>
    <w:lvl w:ilvl="1" w:tentative="0">
      <w:start w:val="1"/>
      <w:numFmt w:val="lowerLetter"/>
      <w:lvlText w:val="%2)"/>
      <w:lvlJc w:val="left"/>
      <w:pPr>
        <w:tabs>
          <w:tab w:val="left" w:pos="1259"/>
        </w:tabs>
        <w:ind w:left="1259" w:hanging="420"/>
      </w:pPr>
    </w:lvl>
    <w:lvl w:ilvl="2" w:tentative="0">
      <w:start w:val="1"/>
      <w:numFmt w:val="lowerRoman"/>
      <w:lvlText w:val="%3."/>
      <w:lvlJc w:val="right"/>
      <w:pPr>
        <w:tabs>
          <w:tab w:val="left" w:pos="1679"/>
        </w:tabs>
        <w:ind w:left="1679" w:hanging="420"/>
      </w:pPr>
    </w:lvl>
    <w:lvl w:ilvl="3" w:tentative="0">
      <w:start w:val="1"/>
      <w:numFmt w:val="decimal"/>
      <w:lvlText w:val="%4."/>
      <w:lvlJc w:val="left"/>
      <w:pPr>
        <w:tabs>
          <w:tab w:val="left" w:pos="2099"/>
        </w:tabs>
        <w:ind w:left="2099" w:hanging="420"/>
      </w:pPr>
    </w:lvl>
    <w:lvl w:ilvl="4" w:tentative="0">
      <w:start w:val="1"/>
      <w:numFmt w:val="lowerLetter"/>
      <w:lvlText w:val="%5)"/>
      <w:lvlJc w:val="left"/>
      <w:pPr>
        <w:tabs>
          <w:tab w:val="left" w:pos="2519"/>
        </w:tabs>
        <w:ind w:left="2519" w:hanging="420"/>
      </w:pPr>
    </w:lvl>
    <w:lvl w:ilvl="5" w:tentative="0">
      <w:start w:val="1"/>
      <w:numFmt w:val="lowerRoman"/>
      <w:lvlText w:val="%6."/>
      <w:lvlJc w:val="right"/>
      <w:pPr>
        <w:tabs>
          <w:tab w:val="left" w:pos="2939"/>
        </w:tabs>
        <w:ind w:left="2939" w:hanging="420"/>
      </w:pPr>
    </w:lvl>
    <w:lvl w:ilvl="6" w:tentative="0">
      <w:start w:val="1"/>
      <w:numFmt w:val="decimal"/>
      <w:lvlText w:val="%7."/>
      <w:lvlJc w:val="left"/>
      <w:pPr>
        <w:tabs>
          <w:tab w:val="left" w:pos="3359"/>
        </w:tabs>
        <w:ind w:left="3359" w:hanging="420"/>
      </w:pPr>
    </w:lvl>
    <w:lvl w:ilvl="7" w:tentative="0">
      <w:start w:val="1"/>
      <w:numFmt w:val="lowerLetter"/>
      <w:lvlText w:val="%8)"/>
      <w:lvlJc w:val="left"/>
      <w:pPr>
        <w:tabs>
          <w:tab w:val="left" w:pos="3779"/>
        </w:tabs>
        <w:ind w:left="3779" w:hanging="420"/>
      </w:pPr>
    </w:lvl>
    <w:lvl w:ilvl="8" w:tentative="0">
      <w:start w:val="1"/>
      <w:numFmt w:val="lowerRoman"/>
      <w:lvlText w:val="%9."/>
      <w:lvlJc w:val="right"/>
      <w:pPr>
        <w:tabs>
          <w:tab w:val="left" w:pos="4199"/>
        </w:tabs>
        <w:ind w:left="4199" w:hanging="420"/>
      </w:pPr>
    </w:lvl>
  </w:abstractNum>
  <w:abstractNum w:abstractNumId="30">
    <w:nsid w:val="281B4AE3"/>
    <w:multiLevelType w:val="multilevel"/>
    <w:tmpl w:val="281B4AE3"/>
    <w:lvl w:ilvl="0" w:tentative="0">
      <w:start w:val="1"/>
      <w:numFmt w:val="decimalEnclosedCircle"/>
      <w:lvlText w:val="%1 "/>
      <w:lvlJc w:val="left"/>
      <w:pPr>
        <w:ind w:left="1271" w:hanging="420"/>
      </w:pPr>
      <w:rPr>
        <w:rFonts w:hint="eastAsia"/>
      </w:rPr>
    </w:lvl>
    <w:lvl w:ilvl="1" w:tentative="0">
      <w:start w:val="1"/>
      <w:numFmt w:val="lowerLetter"/>
      <w:lvlText w:val="%2)"/>
      <w:lvlJc w:val="left"/>
      <w:pPr>
        <w:ind w:left="1741" w:hanging="420"/>
      </w:pPr>
    </w:lvl>
    <w:lvl w:ilvl="2" w:tentative="0">
      <w:start w:val="1"/>
      <w:numFmt w:val="lowerRoman"/>
      <w:lvlText w:val="%3."/>
      <w:lvlJc w:val="right"/>
      <w:pPr>
        <w:ind w:left="2161" w:hanging="420"/>
      </w:pPr>
    </w:lvl>
    <w:lvl w:ilvl="3" w:tentative="0">
      <w:start w:val="1"/>
      <w:numFmt w:val="decimal"/>
      <w:lvlText w:val="%4."/>
      <w:lvlJc w:val="left"/>
      <w:pPr>
        <w:ind w:left="2581" w:hanging="420"/>
      </w:pPr>
    </w:lvl>
    <w:lvl w:ilvl="4" w:tentative="0">
      <w:start w:val="1"/>
      <w:numFmt w:val="lowerLetter"/>
      <w:lvlText w:val="%5)"/>
      <w:lvlJc w:val="left"/>
      <w:pPr>
        <w:ind w:left="3001" w:hanging="420"/>
      </w:pPr>
    </w:lvl>
    <w:lvl w:ilvl="5" w:tentative="0">
      <w:start w:val="1"/>
      <w:numFmt w:val="lowerRoman"/>
      <w:lvlText w:val="%6."/>
      <w:lvlJc w:val="right"/>
      <w:pPr>
        <w:ind w:left="3421" w:hanging="420"/>
      </w:pPr>
    </w:lvl>
    <w:lvl w:ilvl="6" w:tentative="0">
      <w:start w:val="1"/>
      <w:numFmt w:val="decimal"/>
      <w:lvlText w:val="%7."/>
      <w:lvlJc w:val="left"/>
      <w:pPr>
        <w:ind w:left="3841" w:hanging="420"/>
      </w:pPr>
    </w:lvl>
    <w:lvl w:ilvl="7" w:tentative="0">
      <w:start w:val="1"/>
      <w:numFmt w:val="lowerLetter"/>
      <w:lvlText w:val="%8)"/>
      <w:lvlJc w:val="left"/>
      <w:pPr>
        <w:ind w:left="4261" w:hanging="420"/>
      </w:pPr>
    </w:lvl>
    <w:lvl w:ilvl="8" w:tentative="0">
      <w:start w:val="1"/>
      <w:numFmt w:val="lowerRoman"/>
      <w:lvlText w:val="%9."/>
      <w:lvlJc w:val="right"/>
      <w:pPr>
        <w:ind w:left="4681" w:hanging="420"/>
      </w:pPr>
    </w:lvl>
  </w:abstractNum>
  <w:abstractNum w:abstractNumId="31">
    <w:nsid w:val="2B120808"/>
    <w:multiLevelType w:val="multilevel"/>
    <w:tmpl w:val="2B120808"/>
    <w:lvl w:ilvl="0" w:tentative="0">
      <w:start w:val="1"/>
      <w:numFmt w:val="decimal"/>
      <w:lvlText w:val="%1)"/>
      <w:lvlJc w:val="left"/>
      <w:pPr>
        <w:tabs>
          <w:tab w:val="left" w:pos="420"/>
        </w:tabs>
        <w:ind w:left="420" w:hanging="420"/>
      </w:pPr>
      <w:rPr>
        <w:rFonts w:hint="default" w:ascii="Times New Roman" w:hAnsi="Times New Roman" w:cs="Times New Roman"/>
      </w:rPr>
    </w:lvl>
    <w:lvl w:ilvl="1" w:tentative="0">
      <w:start w:val="1"/>
      <w:numFmt w:val="decimal"/>
      <w:lvlText w:val="%2."/>
      <w:lvlJc w:val="left"/>
      <w:pPr>
        <w:tabs>
          <w:tab w:val="left" w:pos="840"/>
        </w:tabs>
        <w:ind w:left="840" w:hanging="420"/>
      </w:pPr>
      <w:rPr>
        <w:rFonts w:hint="default"/>
      </w:rPr>
    </w:lvl>
    <w:lvl w:ilvl="2" w:tentative="0">
      <w:start w:val="1"/>
      <w:numFmt w:val="japaneseCounting"/>
      <w:lvlText w:val="(%3)"/>
      <w:lvlJc w:val="left"/>
      <w:pPr>
        <w:tabs>
          <w:tab w:val="left" w:pos="1200"/>
        </w:tabs>
        <w:ind w:left="1200" w:hanging="360"/>
      </w:pPr>
      <w:rPr>
        <w:rFonts w:hint="default" w:ascii="仿宋_GB2312" w:eastAsia="仿宋_GB2312"/>
        <w:sz w:val="30"/>
      </w:rPr>
    </w:lvl>
    <w:lvl w:ilvl="3" w:tentative="0">
      <w:start w:val="6"/>
      <w:numFmt w:val="japaneseCounting"/>
      <w:lvlText w:val="第%4节"/>
      <w:lvlJc w:val="left"/>
      <w:pPr>
        <w:tabs>
          <w:tab w:val="left" w:pos="2710"/>
        </w:tabs>
        <w:ind w:left="2710" w:hanging="1450"/>
      </w:pPr>
      <w:rPr>
        <w:rFonts w:hint="default"/>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abstractNum w:abstractNumId="32">
    <w:nsid w:val="2B7D1692"/>
    <w:multiLevelType w:val="multilevel"/>
    <w:tmpl w:val="2B7D1692"/>
    <w:lvl w:ilvl="0" w:tentative="0">
      <w:start w:val="1"/>
      <w:numFmt w:val="bullet"/>
      <w:lvlText w:val=""/>
      <w:lvlJc w:val="left"/>
      <w:pPr>
        <w:tabs>
          <w:tab w:val="left" w:pos="1020"/>
        </w:tabs>
        <w:ind w:left="1020" w:hanging="420"/>
      </w:pPr>
      <w:rPr>
        <w:rFonts w:hint="default" w:ascii="Wingdings" w:hAnsi="Wingdings"/>
      </w:rPr>
    </w:lvl>
    <w:lvl w:ilvl="1" w:tentative="0">
      <w:start w:val="1"/>
      <w:numFmt w:val="bullet"/>
      <w:lvlText w:val=""/>
      <w:lvlJc w:val="left"/>
      <w:pPr>
        <w:tabs>
          <w:tab w:val="left" w:pos="1440"/>
        </w:tabs>
        <w:ind w:left="1440" w:hanging="420"/>
      </w:pPr>
      <w:rPr>
        <w:rFonts w:hint="default" w:ascii="Wingdings" w:hAnsi="Wingdings"/>
      </w:rPr>
    </w:lvl>
    <w:lvl w:ilvl="2" w:tentative="0">
      <w:start w:val="1"/>
      <w:numFmt w:val="bullet"/>
      <w:lvlText w:val=""/>
      <w:lvlJc w:val="left"/>
      <w:pPr>
        <w:tabs>
          <w:tab w:val="left" w:pos="1860"/>
        </w:tabs>
        <w:ind w:left="1860" w:hanging="420"/>
      </w:pPr>
      <w:rPr>
        <w:rFonts w:hint="default" w:ascii="Wingdings" w:hAnsi="Wingdings"/>
      </w:rPr>
    </w:lvl>
    <w:lvl w:ilvl="3" w:tentative="0">
      <w:start w:val="1"/>
      <w:numFmt w:val="bullet"/>
      <w:lvlText w:val=""/>
      <w:lvlJc w:val="left"/>
      <w:pPr>
        <w:tabs>
          <w:tab w:val="left" w:pos="2280"/>
        </w:tabs>
        <w:ind w:left="2280" w:hanging="420"/>
      </w:pPr>
      <w:rPr>
        <w:rFonts w:hint="default" w:ascii="Wingdings" w:hAnsi="Wingdings"/>
      </w:rPr>
    </w:lvl>
    <w:lvl w:ilvl="4" w:tentative="0">
      <w:start w:val="1"/>
      <w:numFmt w:val="bullet"/>
      <w:lvlText w:val=""/>
      <w:lvlJc w:val="left"/>
      <w:pPr>
        <w:tabs>
          <w:tab w:val="left" w:pos="2700"/>
        </w:tabs>
        <w:ind w:left="2700" w:hanging="420"/>
      </w:pPr>
      <w:rPr>
        <w:rFonts w:hint="default" w:ascii="Wingdings" w:hAnsi="Wingdings"/>
      </w:rPr>
    </w:lvl>
    <w:lvl w:ilvl="5" w:tentative="0">
      <w:start w:val="1"/>
      <w:numFmt w:val="bullet"/>
      <w:lvlText w:val=""/>
      <w:lvlJc w:val="left"/>
      <w:pPr>
        <w:tabs>
          <w:tab w:val="left" w:pos="3120"/>
        </w:tabs>
        <w:ind w:left="3120" w:hanging="420"/>
      </w:pPr>
      <w:rPr>
        <w:rFonts w:hint="default" w:ascii="Wingdings" w:hAnsi="Wingdings"/>
      </w:rPr>
    </w:lvl>
    <w:lvl w:ilvl="6" w:tentative="0">
      <w:start w:val="1"/>
      <w:numFmt w:val="bullet"/>
      <w:lvlText w:val=""/>
      <w:lvlJc w:val="left"/>
      <w:pPr>
        <w:tabs>
          <w:tab w:val="left" w:pos="3540"/>
        </w:tabs>
        <w:ind w:left="3540" w:hanging="420"/>
      </w:pPr>
      <w:rPr>
        <w:rFonts w:hint="default" w:ascii="Wingdings" w:hAnsi="Wingdings"/>
      </w:rPr>
    </w:lvl>
    <w:lvl w:ilvl="7" w:tentative="0">
      <w:start w:val="1"/>
      <w:numFmt w:val="bullet"/>
      <w:lvlText w:val=""/>
      <w:lvlJc w:val="left"/>
      <w:pPr>
        <w:tabs>
          <w:tab w:val="left" w:pos="3960"/>
        </w:tabs>
        <w:ind w:left="3960" w:hanging="420"/>
      </w:pPr>
      <w:rPr>
        <w:rFonts w:hint="default" w:ascii="Wingdings" w:hAnsi="Wingdings"/>
      </w:rPr>
    </w:lvl>
    <w:lvl w:ilvl="8" w:tentative="0">
      <w:start w:val="1"/>
      <w:numFmt w:val="bullet"/>
      <w:lvlText w:val=""/>
      <w:lvlJc w:val="left"/>
      <w:pPr>
        <w:tabs>
          <w:tab w:val="left" w:pos="4380"/>
        </w:tabs>
        <w:ind w:left="4380" w:hanging="420"/>
      </w:pPr>
      <w:rPr>
        <w:rFonts w:hint="default" w:ascii="Wingdings" w:hAnsi="Wingdings"/>
      </w:rPr>
    </w:lvl>
  </w:abstractNum>
  <w:abstractNum w:abstractNumId="33">
    <w:nsid w:val="2C1B3979"/>
    <w:multiLevelType w:val="multilevel"/>
    <w:tmpl w:val="2C1B3979"/>
    <w:lvl w:ilvl="0" w:tentative="0">
      <w:start w:val="1"/>
      <w:numFmt w:val="decimal"/>
      <w:lvlText w:val="%1."/>
      <w:lvlJc w:val="left"/>
      <w:pPr>
        <w:tabs>
          <w:tab w:val="left" w:pos="779"/>
        </w:tabs>
        <w:ind w:left="779" w:hanging="360"/>
      </w:pPr>
      <w:rPr>
        <w:rFonts w:hint="default" w:ascii="Times New Roman" w:hAnsi="Times New Roman" w:cs="Times New Roman"/>
      </w:rPr>
    </w:lvl>
    <w:lvl w:ilvl="1" w:tentative="0">
      <w:start w:val="1"/>
      <w:numFmt w:val="lowerLetter"/>
      <w:lvlText w:val="%2)"/>
      <w:lvlJc w:val="left"/>
      <w:pPr>
        <w:tabs>
          <w:tab w:val="left" w:pos="1259"/>
        </w:tabs>
        <w:ind w:left="1259" w:hanging="420"/>
      </w:pPr>
    </w:lvl>
    <w:lvl w:ilvl="2" w:tentative="0">
      <w:start w:val="1"/>
      <w:numFmt w:val="lowerRoman"/>
      <w:lvlText w:val="%3."/>
      <w:lvlJc w:val="right"/>
      <w:pPr>
        <w:tabs>
          <w:tab w:val="left" w:pos="1679"/>
        </w:tabs>
        <w:ind w:left="1679" w:hanging="420"/>
      </w:pPr>
    </w:lvl>
    <w:lvl w:ilvl="3" w:tentative="0">
      <w:start w:val="1"/>
      <w:numFmt w:val="decimal"/>
      <w:lvlText w:val="%4."/>
      <w:lvlJc w:val="left"/>
      <w:pPr>
        <w:tabs>
          <w:tab w:val="left" w:pos="2099"/>
        </w:tabs>
        <w:ind w:left="2099" w:hanging="420"/>
      </w:pPr>
    </w:lvl>
    <w:lvl w:ilvl="4" w:tentative="0">
      <w:start w:val="1"/>
      <w:numFmt w:val="lowerLetter"/>
      <w:lvlText w:val="%5)"/>
      <w:lvlJc w:val="left"/>
      <w:pPr>
        <w:tabs>
          <w:tab w:val="left" w:pos="2519"/>
        </w:tabs>
        <w:ind w:left="2519" w:hanging="420"/>
      </w:pPr>
    </w:lvl>
    <w:lvl w:ilvl="5" w:tentative="0">
      <w:start w:val="1"/>
      <w:numFmt w:val="lowerRoman"/>
      <w:lvlText w:val="%6."/>
      <w:lvlJc w:val="right"/>
      <w:pPr>
        <w:tabs>
          <w:tab w:val="left" w:pos="2939"/>
        </w:tabs>
        <w:ind w:left="2939" w:hanging="420"/>
      </w:pPr>
    </w:lvl>
    <w:lvl w:ilvl="6" w:tentative="0">
      <w:start w:val="1"/>
      <w:numFmt w:val="decimal"/>
      <w:lvlText w:val="%7."/>
      <w:lvlJc w:val="left"/>
      <w:pPr>
        <w:tabs>
          <w:tab w:val="left" w:pos="3359"/>
        </w:tabs>
        <w:ind w:left="3359" w:hanging="420"/>
      </w:pPr>
    </w:lvl>
    <w:lvl w:ilvl="7" w:tentative="0">
      <w:start w:val="1"/>
      <w:numFmt w:val="lowerLetter"/>
      <w:lvlText w:val="%8)"/>
      <w:lvlJc w:val="left"/>
      <w:pPr>
        <w:tabs>
          <w:tab w:val="left" w:pos="3779"/>
        </w:tabs>
        <w:ind w:left="3779" w:hanging="420"/>
      </w:pPr>
    </w:lvl>
    <w:lvl w:ilvl="8" w:tentative="0">
      <w:start w:val="1"/>
      <w:numFmt w:val="lowerRoman"/>
      <w:lvlText w:val="%9."/>
      <w:lvlJc w:val="right"/>
      <w:pPr>
        <w:tabs>
          <w:tab w:val="left" w:pos="4199"/>
        </w:tabs>
        <w:ind w:left="4199" w:hanging="420"/>
      </w:pPr>
    </w:lvl>
  </w:abstractNum>
  <w:abstractNum w:abstractNumId="34">
    <w:nsid w:val="30B25380"/>
    <w:multiLevelType w:val="multilevel"/>
    <w:tmpl w:val="30B25380"/>
    <w:lvl w:ilvl="0" w:tentative="0">
      <w:start w:val="1"/>
      <w:numFmt w:val="decimalEnclosedCircle"/>
      <w:lvlText w:val="%1 "/>
      <w:lvlJc w:val="left"/>
      <w:pPr>
        <w:tabs>
          <w:tab w:val="left" w:pos="420"/>
        </w:tabs>
        <w:ind w:left="420" w:hanging="420"/>
      </w:pPr>
      <w:rPr>
        <w:rFonts w:hint="eastAsia"/>
      </w:rPr>
    </w:lvl>
    <w:lvl w:ilvl="1" w:tentative="0">
      <w:start w:val="1"/>
      <w:numFmt w:val="decimal"/>
      <w:lvlText w:val="%2."/>
      <w:lvlJc w:val="left"/>
      <w:pPr>
        <w:tabs>
          <w:tab w:val="left" w:pos="840"/>
        </w:tabs>
        <w:ind w:left="840" w:hanging="420"/>
      </w:pPr>
      <w:rPr>
        <w:rFonts w:hint="default"/>
      </w:rPr>
    </w:lvl>
    <w:lvl w:ilvl="2" w:tentative="0">
      <w:start w:val="1"/>
      <w:numFmt w:val="japaneseCounting"/>
      <w:lvlText w:val="(%3)"/>
      <w:lvlJc w:val="left"/>
      <w:pPr>
        <w:tabs>
          <w:tab w:val="left" w:pos="1200"/>
        </w:tabs>
        <w:ind w:left="1200" w:hanging="360"/>
      </w:pPr>
      <w:rPr>
        <w:rFonts w:hint="default" w:ascii="仿宋_GB2312" w:eastAsia="仿宋_GB2312"/>
        <w:sz w:val="30"/>
      </w:rPr>
    </w:lvl>
    <w:lvl w:ilvl="3" w:tentative="0">
      <w:start w:val="6"/>
      <w:numFmt w:val="japaneseCounting"/>
      <w:lvlText w:val="第%4节"/>
      <w:lvlJc w:val="left"/>
      <w:pPr>
        <w:tabs>
          <w:tab w:val="left" w:pos="2710"/>
        </w:tabs>
        <w:ind w:left="2710" w:hanging="1450"/>
      </w:pPr>
      <w:rPr>
        <w:rFonts w:hint="default"/>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abstractNum w:abstractNumId="35">
    <w:nsid w:val="33395AE1"/>
    <w:multiLevelType w:val="multilevel"/>
    <w:tmpl w:val="33395AE1"/>
    <w:lvl w:ilvl="0" w:tentative="0">
      <w:start w:val="1"/>
      <w:numFmt w:val="decimal"/>
      <w:lvlText w:val="%1)"/>
      <w:lvlJc w:val="left"/>
      <w:pPr>
        <w:ind w:left="1260" w:hanging="420"/>
      </w:pPr>
      <w:rPr>
        <w:rFonts w:hint="eastAsia"/>
      </w:rPr>
    </w:lvl>
    <w:lvl w:ilvl="1" w:tentative="0">
      <w:start w:val="1"/>
      <w:numFmt w:val="lowerLetter"/>
      <w:lvlText w:val="%2)"/>
      <w:lvlJc w:val="left"/>
      <w:pPr>
        <w:ind w:left="1680" w:hanging="420"/>
      </w:pPr>
    </w:lvl>
    <w:lvl w:ilvl="2" w:tentative="0">
      <w:start w:val="1"/>
      <w:numFmt w:val="lowerRoman"/>
      <w:lvlText w:val="%3."/>
      <w:lvlJc w:val="right"/>
      <w:pPr>
        <w:ind w:left="2100" w:hanging="420"/>
      </w:pPr>
    </w:lvl>
    <w:lvl w:ilvl="3" w:tentative="0">
      <w:start w:val="1"/>
      <w:numFmt w:val="decimal"/>
      <w:lvlText w:val="%4."/>
      <w:lvlJc w:val="left"/>
      <w:pPr>
        <w:ind w:left="2520" w:hanging="420"/>
      </w:pPr>
    </w:lvl>
    <w:lvl w:ilvl="4" w:tentative="0">
      <w:start w:val="1"/>
      <w:numFmt w:val="lowerLetter"/>
      <w:lvlText w:val="%5)"/>
      <w:lvlJc w:val="left"/>
      <w:pPr>
        <w:ind w:left="2940" w:hanging="420"/>
      </w:pPr>
    </w:lvl>
    <w:lvl w:ilvl="5" w:tentative="0">
      <w:start w:val="1"/>
      <w:numFmt w:val="lowerRoman"/>
      <w:lvlText w:val="%6."/>
      <w:lvlJc w:val="right"/>
      <w:pPr>
        <w:ind w:left="3360" w:hanging="420"/>
      </w:pPr>
    </w:lvl>
    <w:lvl w:ilvl="6" w:tentative="0">
      <w:start w:val="1"/>
      <w:numFmt w:val="decimal"/>
      <w:lvlText w:val="%7."/>
      <w:lvlJc w:val="left"/>
      <w:pPr>
        <w:ind w:left="3780" w:hanging="420"/>
      </w:pPr>
    </w:lvl>
    <w:lvl w:ilvl="7" w:tentative="0">
      <w:start w:val="1"/>
      <w:numFmt w:val="lowerLetter"/>
      <w:lvlText w:val="%8)"/>
      <w:lvlJc w:val="left"/>
      <w:pPr>
        <w:ind w:left="4200" w:hanging="420"/>
      </w:pPr>
    </w:lvl>
    <w:lvl w:ilvl="8" w:tentative="0">
      <w:start w:val="1"/>
      <w:numFmt w:val="lowerRoman"/>
      <w:lvlText w:val="%9."/>
      <w:lvlJc w:val="right"/>
      <w:pPr>
        <w:ind w:left="4620" w:hanging="420"/>
      </w:pPr>
    </w:lvl>
  </w:abstractNum>
  <w:abstractNum w:abstractNumId="36">
    <w:nsid w:val="346376F7"/>
    <w:multiLevelType w:val="multilevel"/>
    <w:tmpl w:val="346376F7"/>
    <w:lvl w:ilvl="0" w:tentative="0">
      <w:start w:val="1"/>
      <w:numFmt w:val="bullet"/>
      <w:lvlText w:val=""/>
      <w:lvlJc w:val="left"/>
      <w:pPr>
        <w:ind w:left="840" w:hanging="420"/>
      </w:pPr>
      <w:rPr>
        <w:rFonts w:hint="default" w:ascii="Wingdings" w:hAnsi="Wingdings"/>
      </w:rPr>
    </w:lvl>
    <w:lvl w:ilvl="1" w:tentative="0">
      <w:start w:val="1"/>
      <w:numFmt w:val="bullet"/>
      <w:lvlText w:val=""/>
      <w:lvlJc w:val="left"/>
      <w:pPr>
        <w:ind w:left="1260" w:hanging="420"/>
      </w:pPr>
      <w:rPr>
        <w:rFonts w:hint="default" w:ascii="Wingdings" w:hAnsi="Wingdings"/>
      </w:rPr>
    </w:lvl>
    <w:lvl w:ilvl="2" w:tentative="0">
      <w:start w:val="1"/>
      <w:numFmt w:val="bullet"/>
      <w:lvlText w:val=""/>
      <w:lvlJc w:val="left"/>
      <w:pPr>
        <w:ind w:left="1680" w:hanging="420"/>
      </w:pPr>
      <w:rPr>
        <w:rFonts w:hint="default" w:ascii="Wingdings" w:hAnsi="Wingdings"/>
      </w:rPr>
    </w:lvl>
    <w:lvl w:ilvl="3" w:tentative="0">
      <w:start w:val="1"/>
      <w:numFmt w:val="bullet"/>
      <w:lvlText w:val=""/>
      <w:lvlJc w:val="left"/>
      <w:pPr>
        <w:ind w:left="2100" w:hanging="420"/>
      </w:pPr>
      <w:rPr>
        <w:rFonts w:hint="default" w:ascii="Wingdings" w:hAnsi="Wingdings"/>
      </w:rPr>
    </w:lvl>
    <w:lvl w:ilvl="4" w:tentative="0">
      <w:start w:val="1"/>
      <w:numFmt w:val="bullet"/>
      <w:lvlText w:val=""/>
      <w:lvlJc w:val="left"/>
      <w:pPr>
        <w:ind w:left="2520" w:hanging="420"/>
      </w:pPr>
      <w:rPr>
        <w:rFonts w:hint="default" w:ascii="Wingdings" w:hAnsi="Wingdings"/>
      </w:rPr>
    </w:lvl>
    <w:lvl w:ilvl="5" w:tentative="0">
      <w:start w:val="1"/>
      <w:numFmt w:val="bullet"/>
      <w:lvlText w:val=""/>
      <w:lvlJc w:val="left"/>
      <w:pPr>
        <w:ind w:left="2940" w:hanging="420"/>
      </w:pPr>
      <w:rPr>
        <w:rFonts w:hint="default" w:ascii="Wingdings" w:hAnsi="Wingdings"/>
      </w:rPr>
    </w:lvl>
    <w:lvl w:ilvl="6" w:tentative="0">
      <w:start w:val="1"/>
      <w:numFmt w:val="bullet"/>
      <w:lvlText w:val=""/>
      <w:lvlJc w:val="left"/>
      <w:pPr>
        <w:ind w:left="3360" w:hanging="420"/>
      </w:pPr>
      <w:rPr>
        <w:rFonts w:hint="default" w:ascii="Wingdings" w:hAnsi="Wingdings"/>
      </w:rPr>
    </w:lvl>
    <w:lvl w:ilvl="7" w:tentative="0">
      <w:start w:val="1"/>
      <w:numFmt w:val="bullet"/>
      <w:lvlText w:val=""/>
      <w:lvlJc w:val="left"/>
      <w:pPr>
        <w:ind w:left="3780" w:hanging="420"/>
      </w:pPr>
      <w:rPr>
        <w:rFonts w:hint="default" w:ascii="Wingdings" w:hAnsi="Wingdings"/>
      </w:rPr>
    </w:lvl>
    <w:lvl w:ilvl="8" w:tentative="0">
      <w:start w:val="1"/>
      <w:numFmt w:val="bullet"/>
      <w:lvlText w:val=""/>
      <w:lvlJc w:val="left"/>
      <w:pPr>
        <w:ind w:left="4200" w:hanging="420"/>
      </w:pPr>
      <w:rPr>
        <w:rFonts w:hint="default" w:ascii="Wingdings" w:hAnsi="Wingdings"/>
      </w:rPr>
    </w:lvl>
  </w:abstractNum>
  <w:abstractNum w:abstractNumId="37">
    <w:nsid w:val="3559553D"/>
    <w:multiLevelType w:val="multilevel"/>
    <w:tmpl w:val="3559553D"/>
    <w:lvl w:ilvl="0" w:tentative="0">
      <w:start w:val="1"/>
      <w:numFmt w:val="decimalEnclosedCircle"/>
      <w:lvlText w:val="%1 "/>
      <w:lvlJc w:val="left"/>
      <w:pPr>
        <w:ind w:left="1271" w:hanging="420"/>
      </w:pPr>
      <w:rPr>
        <w:rFonts w:hint="eastAsia"/>
      </w:rPr>
    </w:lvl>
    <w:lvl w:ilvl="1" w:tentative="0">
      <w:start w:val="1"/>
      <w:numFmt w:val="lowerLetter"/>
      <w:lvlText w:val="%2)"/>
      <w:lvlJc w:val="left"/>
      <w:pPr>
        <w:ind w:left="1741" w:hanging="420"/>
      </w:pPr>
    </w:lvl>
    <w:lvl w:ilvl="2" w:tentative="0">
      <w:start w:val="1"/>
      <w:numFmt w:val="lowerRoman"/>
      <w:lvlText w:val="%3."/>
      <w:lvlJc w:val="right"/>
      <w:pPr>
        <w:ind w:left="2161" w:hanging="420"/>
      </w:pPr>
    </w:lvl>
    <w:lvl w:ilvl="3" w:tentative="0">
      <w:start w:val="1"/>
      <w:numFmt w:val="decimal"/>
      <w:lvlText w:val="%4."/>
      <w:lvlJc w:val="left"/>
      <w:pPr>
        <w:ind w:left="2581" w:hanging="420"/>
      </w:pPr>
    </w:lvl>
    <w:lvl w:ilvl="4" w:tentative="0">
      <w:start w:val="1"/>
      <w:numFmt w:val="lowerLetter"/>
      <w:lvlText w:val="%5)"/>
      <w:lvlJc w:val="left"/>
      <w:pPr>
        <w:ind w:left="3001" w:hanging="420"/>
      </w:pPr>
    </w:lvl>
    <w:lvl w:ilvl="5" w:tentative="0">
      <w:start w:val="1"/>
      <w:numFmt w:val="lowerRoman"/>
      <w:lvlText w:val="%6."/>
      <w:lvlJc w:val="right"/>
      <w:pPr>
        <w:ind w:left="3421" w:hanging="420"/>
      </w:pPr>
    </w:lvl>
    <w:lvl w:ilvl="6" w:tentative="0">
      <w:start w:val="1"/>
      <w:numFmt w:val="decimal"/>
      <w:lvlText w:val="%7."/>
      <w:lvlJc w:val="left"/>
      <w:pPr>
        <w:ind w:left="3841" w:hanging="420"/>
      </w:pPr>
    </w:lvl>
    <w:lvl w:ilvl="7" w:tentative="0">
      <w:start w:val="1"/>
      <w:numFmt w:val="lowerLetter"/>
      <w:lvlText w:val="%8)"/>
      <w:lvlJc w:val="left"/>
      <w:pPr>
        <w:ind w:left="4261" w:hanging="420"/>
      </w:pPr>
    </w:lvl>
    <w:lvl w:ilvl="8" w:tentative="0">
      <w:start w:val="1"/>
      <w:numFmt w:val="lowerRoman"/>
      <w:lvlText w:val="%9."/>
      <w:lvlJc w:val="right"/>
      <w:pPr>
        <w:ind w:left="4681" w:hanging="420"/>
      </w:pPr>
    </w:lvl>
  </w:abstractNum>
  <w:abstractNum w:abstractNumId="38">
    <w:nsid w:val="36896933"/>
    <w:multiLevelType w:val="multilevel"/>
    <w:tmpl w:val="36896933"/>
    <w:lvl w:ilvl="0" w:tentative="0">
      <w:start w:val="1"/>
      <w:numFmt w:val="decimal"/>
      <w:lvlText w:val="%1)"/>
      <w:lvlJc w:val="left"/>
      <w:pPr>
        <w:ind w:left="1260" w:hanging="420"/>
      </w:pPr>
      <w:rPr>
        <w:rFonts w:hint="default" w:ascii="Times New Roman" w:hAnsi="Times New Roman" w:cs="Times New Roman"/>
      </w:rPr>
    </w:lvl>
    <w:lvl w:ilvl="1" w:tentative="0">
      <w:start w:val="1"/>
      <w:numFmt w:val="lowerLetter"/>
      <w:lvlText w:val="%2)"/>
      <w:lvlJc w:val="left"/>
      <w:pPr>
        <w:ind w:left="1680" w:hanging="420"/>
      </w:pPr>
    </w:lvl>
    <w:lvl w:ilvl="2" w:tentative="0">
      <w:start w:val="1"/>
      <w:numFmt w:val="lowerRoman"/>
      <w:lvlText w:val="%3."/>
      <w:lvlJc w:val="right"/>
      <w:pPr>
        <w:ind w:left="2100" w:hanging="420"/>
      </w:pPr>
    </w:lvl>
    <w:lvl w:ilvl="3" w:tentative="0">
      <w:start w:val="1"/>
      <w:numFmt w:val="decimal"/>
      <w:lvlText w:val="%4."/>
      <w:lvlJc w:val="left"/>
      <w:pPr>
        <w:ind w:left="2520" w:hanging="420"/>
      </w:pPr>
    </w:lvl>
    <w:lvl w:ilvl="4" w:tentative="0">
      <w:start w:val="1"/>
      <w:numFmt w:val="lowerLetter"/>
      <w:lvlText w:val="%5)"/>
      <w:lvlJc w:val="left"/>
      <w:pPr>
        <w:ind w:left="2940" w:hanging="420"/>
      </w:pPr>
    </w:lvl>
    <w:lvl w:ilvl="5" w:tentative="0">
      <w:start w:val="1"/>
      <w:numFmt w:val="lowerRoman"/>
      <w:lvlText w:val="%6."/>
      <w:lvlJc w:val="right"/>
      <w:pPr>
        <w:ind w:left="3360" w:hanging="420"/>
      </w:pPr>
    </w:lvl>
    <w:lvl w:ilvl="6" w:tentative="0">
      <w:start w:val="1"/>
      <w:numFmt w:val="decimal"/>
      <w:lvlText w:val="%7."/>
      <w:lvlJc w:val="left"/>
      <w:pPr>
        <w:ind w:left="3780" w:hanging="420"/>
      </w:pPr>
    </w:lvl>
    <w:lvl w:ilvl="7" w:tentative="0">
      <w:start w:val="1"/>
      <w:numFmt w:val="lowerLetter"/>
      <w:lvlText w:val="%8)"/>
      <w:lvlJc w:val="left"/>
      <w:pPr>
        <w:ind w:left="4200" w:hanging="420"/>
      </w:pPr>
    </w:lvl>
    <w:lvl w:ilvl="8" w:tentative="0">
      <w:start w:val="1"/>
      <w:numFmt w:val="lowerRoman"/>
      <w:lvlText w:val="%9."/>
      <w:lvlJc w:val="right"/>
      <w:pPr>
        <w:ind w:left="4620" w:hanging="420"/>
      </w:pPr>
    </w:lvl>
  </w:abstractNum>
  <w:abstractNum w:abstractNumId="39">
    <w:nsid w:val="37254C86"/>
    <w:multiLevelType w:val="multilevel"/>
    <w:tmpl w:val="37254C86"/>
    <w:lvl w:ilvl="0" w:tentative="0">
      <w:start w:val="1"/>
      <w:numFmt w:val="bullet"/>
      <w:lvlText w:val=""/>
      <w:lvlJc w:val="left"/>
      <w:pPr>
        <w:ind w:left="839" w:hanging="420"/>
      </w:pPr>
      <w:rPr>
        <w:rFonts w:hint="default" w:ascii="Wingdings" w:hAnsi="Wingdings"/>
      </w:rPr>
    </w:lvl>
    <w:lvl w:ilvl="1" w:tentative="0">
      <w:start w:val="1"/>
      <w:numFmt w:val="bullet"/>
      <w:lvlText w:val=""/>
      <w:lvlJc w:val="left"/>
      <w:pPr>
        <w:ind w:left="1259" w:hanging="420"/>
      </w:pPr>
      <w:rPr>
        <w:rFonts w:hint="default" w:ascii="Wingdings" w:hAnsi="Wingdings"/>
      </w:rPr>
    </w:lvl>
    <w:lvl w:ilvl="2" w:tentative="0">
      <w:start w:val="1"/>
      <w:numFmt w:val="bullet"/>
      <w:lvlText w:val=""/>
      <w:lvlJc w:val="left"/>
      <w:pPr>
        <w:ind w:left="1679" w:hanging="420"/>
      </w:pPr>
      <w:rPr>
        <w:rFonts w:hint="default" w:ascii="Wingdings" w:hAnsi="Wingdings"/>
      </w:rPr>
    </w:lvl>
    <w:lvl w:ilvl="3" w:tentative="0">
      <w:start w:val="1"/>
      <w:numFmt w:val="bullet"/>
      <w:lvlText w:val=""/>
      <w:lvlJc w:val="left"/>
      <w:pPr>
        <w:ind w:left="2099" w:hanging="420"/>
      </w:pPr>
      <w:rPr>
        <w:rFonts w:hint="default" w:ascii="Wingdings" w:hAnsi="Wingdings"/>
      </w:rPr>
    </w:lvl>
    <w:lvl w:ilvl="4" w:tentative="0">
      <w:start w:val="1"/>
      <w:numFmt w:val="bullet"/>
      <w:lvlText w:val=""/>
      <w:lvlJc w:val="left"/>
      <w:pPr>
        <w:ind w:left="2519" w:hanging="420"/>
      </w:pPr>
      <w:rPr>
        <w:rFonts w:hint="default" w:ascii="Wingdings" w:hAnsi="Wingdings"/>
      </w:rPr>
    </w:lvl>
    <w:lvl w:ilvl="5" w:tentative="0">
      <w:start w:val="1"/>
      <w:numFmt w:val="bullet"/>
      <w:lvlText w:val=""/>
      <w:lvlJc w:val="left"/>
      <w:pPr>
        <w:ind w:left="2939" w:hanging="420"/>
      </w:pPr>
      <w:rPr>
        <w:rFonts w:hint="default" w:ascii="Wingdings" w:hAnsi="Wingdings"/>
      </w:rPr>
    </w:lvl>
    <w:lvl w:ilvl="6" w:tentative="0">
      <w:start w:val="1"/>
      <w:numFmt w:val="bullet"/>
      <w:lvlText w:val=""/>
      <w:lvlJc w:val="left"/>
      <w:pPr>
        <w:ind w:left="3359" w:hanging="420"/>
      </w:pPr>
      <w:rPr>
        <w:rFonts w:hint="default" w:ascii="Wingdings" w:hAnsi="Wingdings"/>
      </w:rPr>
    </w:lvl>
    <w:lvl w:ilvl="7" w:tentative="0">
      <w:start w:val="1"/>
      <w:numFmt w:val="bullet"/>
      <w:lvlText w:val=""/>
      <w:lvlJc w:val="left"/>
      <w:pPr>
        <w:ind w:left="3779" w:hanging="420"/>
      </w:pPr>
      <w:rPr>
        <w:rFonts w:hint="default" w:ascii="Wingdings" w:hAnsi="Wingdings"/>
      </w:rPr>
    </w:lvl>
    <w:lvl w:ilvl="8" w:tentative="0">
      <w:start w:val="1"/>
      <w:numFmt w:val="bullet"/>
      <w:lvlText w:val=""/>
      <w:lvlJc w:val="left"/>
      <w:pPr>
        <w:ind w:left="4199" w:hanging="420"/>
      </w:pPr>
      <w:rPr>
        <w:rFonts w:hint="default" w:ascii="Wingdings" w:hAnsi="Wingdings"/>
      </w:rPr>
    </w:lvl>
  </w:abstractNum>
  <w:abstractNum w:abstractNumId="40">
    <w:nsid w:val="37F8714D"/>
    <w:multiLevelType w:val="multilevel"/>
    <w:tmpl w:val="37F8714D"/>
    <w:lvl w:ilvl="0" w:tentative="0">
      <w:start w:val="1"/>
      <w:numFmt w:val="bullet"/>
      <w:lvlText w:val=""/>
      <w:lvlJc w:val="left"/>
      <w:pPr>
        <w:tabs>
          <w:tab w:val="left" w:pos="1020"/>
        </w:tabs>
        <w:ind w:left="1020" w:hanging="420"/>
      </w:pPr>
      <w:rPr>
        <w:rFonts w:hint="default" w:ascii="Wingdings" w:hAnsi="Wingdings"/>
      </w:rPr>
    </w:lvl>
    <w:lvl w:ilvl="1" w:tentative="0">
      <w:start w:val="1"/>
      <w:numFmt w:val="bullet"/>
      <w:lvlText w:val=""/>
      <w:lvlJc w:val="left"/>
      <w:pPr>
        <w:tabs>
          <w:tab w:val="left" w:pos="1440"/>
        </w:tabs>
        <w:ind w:left="1440" w:hanging="420"/>
      </w:pPr>
      <w:rPr>
        <w:rFonts w:hint="default" w:ascii="Wingdings" w:hAnsi="Wingdings"/>
      </w:rPr>
    </w:lvl>
    <w:lvl w:ilvl="2" w:tentative="0">
      <w:start w:val="1"/>
      <w:numFmt w:val="bullet"/>
      <w:lvlText w:val=""/>
      <w:lvlJc w:val="left"/>
      <w:pPr>
        <w:tabs>
          <w:tab w:val="left" w:pos="1860"/>
        </w:tabs>
        <w:ind w:left="1860" w:hanging="420"/>
      </w:pPr>
      <w:rPr>
        <w:rFonts w:hint="default" w:ascii="Wingdings" w:hAnsi="Wingdings"/>
      </w:rPr>
    </w:lvl>
    <w:lvl w:ilvl="3" w:tentative="0">
      <w:start w:val="1"/>
      <w:numFmt w:val="bullet"/>
      <w:lvlText w:val=""/>
      <w:lvlJc w:val="left"/>
      <w:pPr>
        <w:tabs>
          <w:tab w:val="left" w:pos="2280"/>
        </w:tabs>
        <w:ind w:left="2280" w:hanging="420"/>
      </w:pPr>
      <w:rPr>
        <w:rFonts w:hint="default" w:ascii="Wingdings" w:hAnsi="Wingdings"/>
      </w:rPr>
    </w:lvl>
    <w:lvl w:ilvl="4" w:tentative="0">
      <w:start w:val="1"/>
      <w:numFmt w:val="bullet"/>
      <w:lvlText w:val=""/>
      <w:lvlJc w:val="left"/>
      <w:pPr>
        <w:tabs>
          <w:tab w:val="left" w:pos="2700"/>
        </w:tabs>
        <w:ind w:left="2700" w:hanging="420"/>
      </w:pPr>
      <w:rPr>
        <w:rFonts w:hint="default" w:ascii="Wingdings" w:hAnsi="Wingdings"/>
      </w:rPr>
    </w:lvl>
    <w:lvl w:ilvl="5" w:tentative="0">
      <w:start w:val="1"/>
      <w:numFmt w:val="bullet"/>
      <w:lvlText w:val=""/>
      <w:lvlJc w:val="left"/>
      <w:pPr>
        <w:tabs>
          <w:tab w:val="left" w:pos="3120"/>
        </w:tabs>
        <w:ind w:left="3120" w:hanging="420"/>
      </w:pPr>
      <w:rPr>
        <w:rFonts w:hint="default" w:ascii="Wingdings" w:hAnsi="Wingdings"/>
      </w:rPr>
    </w:lvl>
    <w:lvl w:ilvl="6" w:tentative="0">
      <w:start w:val="1"/>
      <w:numFmt w:val="bullet"/>
      <w:lvlText w:val=""/>
      <w:lvlJc w:val="left"/>
      <w:pPr>
        <w:tabs>
          <w:tab w:val="left" w:pos="3540"/>
        </w:tabs>
        <w:ind w:left="3540" w:hanging="420"/>
      </w:pPr>
      <w:rPr>
        <w:rFonts w:hint="default" w:ascii="Wingdings" w:hAnsi="Wingdings"/>
      </w:rPr>
    </w:lvl>
    <w:lvl w:ilvl="7" w:tentative="0">
      <w:start w:val="1"/>
      <w:numFmt w:val="bullet"/>
      <w:lvlText w:val=""/>
      <w:lvlJc w:val="left"/>
      <w:pPr>
        <w:tabs>
          <w:tab w:val="left" w:pos="3960"/>
        </w:tabs>
        <w:ind w:left="3960" w:hanging="420"/>
      </w:pPr>
      <w:rPr>
        <w:rFonts w:hint="default" w:ascii="Wingdings" w:hAnsi="Wingdings"/>
      </w:rPr>
    </w:lvl>
    <w:lvl w:ilvl="8" w:tentative="0">
      <w:start w:val="1"/>
      <w:numFmt w:val="bullet"/>
      <w:lvlText w:val=""/>
      <w:lvlJc w:val="left"/>
      <w:pPr>
        <w:tabs>
          <w:tab w:val="left" w:pos="4380"/>
        </w:tabs>
        <w:ind w:left="4380" w:hanging="420"/>
      </w:pPr>
      <w:rPr>
        <w:rFonts w:hint="default" w:ascii="Wingdings" w:hAnsi="Wingdings"/>
      </w:rPr>
    </w:lvl>
  </w:abstractNum>
  <w:abstractNum w:abstractNumId="41">
    <w:nsid w:val="387C3729"/>
    <w:multiLevelType w:val="multilevel"/>
    <w:tmpl w:val="387C3729"/>
    <w:lvl w:ilvl="0" w:tentative="0">
      <w:start w:val="1"/>
      <w:numFmt w:val="decimal"/>
      <w:lvlText w:val="%1)"/>
      <w:lvlJc w:val="left"/>
      <w:pPr>
        <w:ind w:left="1260" w:hanging="420"/>
      </w:pPr>
      <w:rPr>
        <w:rFonts w:hint="default" w:ascii="Times New Roman" w:hAnsi="Times New Roman" w:cs="Times New Roman"/>
      </w:rPr>
    </w:lvl>
    <w:lvl w:ilvl="1" w:tentative="0">
      <w:start w:val="1"/>
      <w:numFmt w:val="lowerLetter"/>
      <w:lvlText w:val="%2)"/>
      <w:lvlJc w:val="left"/>
      <w:pPr>
        <w:ind w:left="1680" w:hanging="420"/>
      </w:pPr>
    </w:lvl>
    <w:lvl w:ilvl="2" w:tentative="0">
      <w:start w:val="1"/>
      <w:numFmt w:val="lowerRoman"/>
      <w:lvlText w:val="%3."/>
      <w:lvlJc w:val="right"/>
      <w:pPr>
        <w:ind w:left="2100" w:hanging="420"/>
      </w:pPr>
    </w:lvl>
    <w:lvl w:ilvl="3" w:tentative="0">
      <w:start w:val="1"/>
      <w:numFmt w:val="decimal"/>
      <w:lvlText w:val="%4."/>
      <w:lvlJc w:val="left"/>
      <w:pPr>
        <w:ind w:left="2520" w:hanging="420"/>
      </w:pPr>
    </w:lvl>
    <w:lvl w:ilvl="4" w:tentative="0">
      <w:start w:val="1"/>
      <w:numFmt w:val="lowerLetter"/>
      <w:lvlText w:val="%5)"/>
      <w:lvlJc w:val="left"/>
      <w:pPr>
        <w:ind w:left="2940" w:hanging="420"/>
      </w:pPr>
    </w:lvl>
    <w:lvl w:ilvl="5" w:tentative="0">
      <w:start w:val="1"/>
      <w:numFmt w:val="lowerRoman"/>
      <w:lvlText w:val="%6."/>
      <w:lvlJc w:val="right"/>
      <w:pPr>
        <w:ind w:left="3360" w:hanging="420"/>
      </w:pPr>
    </w:lvl>
    <w:lvl w:ilvl="6" w:tentative="0">
      <w:start w:val="1"/>
      <w:numFmt w:val="decimal"/>
      <w:lvlText w:val="%7."/>
      <w:lvlJc w:val="left"/>
      <w:pPr>
        <w:ind w:left="3780" w:hanging="420"/>
      </w:pPr>
    </w:lvl>
    <w:lvl w:ilvl="7" w:tentative="0">
      <w:start w:val="1"/>
      <w:numFmt w:val="lowerLetter"/>
      <w:lvlText w:val="%8)"/>
      <w:lvlJc w:val="left"/>
      <w:pPr>
        <w:ind w:left="4200" w:hanging="420"/>
      </w:pPr>
    </w:lvl>
    <w:lvl w:ilvl="8" w:tentative="0">
      <w:start w:val="1"/>
      <w:numFmt w:val="lowerRoman"/>
      <w:lvlText w:val="%9."/>
      <w:lvlJc w:val="right"/>
      <w:pPr>
        <w:ind w:left="4620" w:hanging="420"/>
      </w:pPr>
    </w:lvl>
  </w:abstractNum>
  <w:abstractNum w:abstractNumId="42">
    <w:nsid w:val="38F310FA"/>
    <w:multiLevelType w:val="multilevel"/>
    <w:tmpl w:val="38F310FA"/>
    <w:lvl w:ilvl="0" w:tentative="0">
      <w:start w:val="1"/>
      <w:numFmt w:val="japaneseCounting"/>
      <w:lvlText w:val="%1、"/>
      <w:lvlJc w:val="left"/>
      <w:pPr>
        <w:tabs>
          <w:tab w:val="left" w:pos="720"/>
        </w:tabs>
        <w:ind w:left="720" w:hanging="720"/>
      </w:pPr>
      <w:rPr>
        <w:rFonts w:hint="default"/>
      </w:rPr>
    </w:lvl>
    <w:lvl w:ilvl="1" w:tentative="0">
      <w:start w:val="1"/>
      <w:numFmt w:val="decimal"/>
      <w:lvlText w:val="%2."/>
      <w:lvlJc w:val="left"/>
      <w:pPr>
        <w:tabs>
          <w:tab w:val="left" w:pos="840"/>
        </w:tabs>
        <w:ind w:left="840" w:hanging="420"/>
      </w:pPr>
      <w:rPr>
        <w:rFonts w:hint="default" w:ascii="Times New Roman" w:hAnsi="Times New Roman" w:cs="Times New Roman"/>
      </w:rPr>
    </w:lvl>
    <w:lvl w:ilvl="2" w:tentative="0">
      <w:start w:val="1"/>
      <w:numFmt w:val="japaneseCounting"/>
      <w:lvlText w:val="（%3）"/>
      <w:lvlJc w:val="left"/>
      <w:pPr>
        <w:tabs>
          <w:tab w:val="left" w:pos="1560"/>
        </w:tabs>
        <w:ind w:left="1560" w:hanging="720"/>
      </w:pPr>
      <w:rPr>
        <w:rFonts w:hint="default"/>
      </w:r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43">
    <w:nsid w:val="3B446E22"/>
    <w:multiLevelType w:val="multilevel"/>
    <w:tmpl w:val="3B446E22"/>
    <w:lvl w:ilvl="0" w:tentative="0">
      <w:start w:val="1"/>
      <w:numFmt w:val="decimalEnclosedCircle"/>
      <w:lvlText w:val="%1 "/>
      <w:lvlJc w:val="left"/>
      <w:pPr>
        <w:tabs>
          <w:tab w:val="left" w:pos="420"/>
        </w:tabs>
        <w:ind w:left="420" w:hanging="420"/>
      </w:pPr>
      <w:rPr>
        <w:rFonts w:hint="eastAsia"/>
      </w:rPr>
    </w:lvl>
    <w:lvl w:ilvl="1" w:tentative="0">
      <w:start w:val="1"/>
      <w:numFmt w:val="decimal"/>
      <w:lvlText w:val="%2."/>
      <w:lvlJc w:val="left"/>
      <w:pPr>
        <w:tabs>
          <w:tab w:val="left" w:pos="840"/>
        </w:tabs>
        <w:ind w:left="840" w:hanging="420"/>
      </w:pPr>
      <w:rPr>
        <w:rFonts w:hint="default"/>
      </w:rPr>
    </w:lvl>
    <w:lvl w:ilvl="2" w:tentative="0">
      <w:start w:val="1"/>
      <w:numFmt w:val="japaneseCounting"/>
      <w:lvlText w:val="(%3)"/>
      <w:lvlJc w:val="left"/>
      <w:pPr>
        <w:tabs>
          <w:tab w:val="left" w:pos="1200"/>
        </w:tabs>
        <w:ind w:left="1200" w:hanging="360"/>
      </w:pPr>
      <w:rPr>
        <w:rFonts w:hint="default" w:ascii="仿宋_GB2312" w:eastAsia="仿宋_GB2312"/>
        <w:sz w:val="30"/>
      </w:rPr>
    </w:lvl>
    <w:lvl w:ilvl="3" w:tentative="0">
      <w:start w:val="6"/>
      <w:numFmt w:val="japaneseCounting"/>
      <w:lvlText w:val="第%4节"/>
      <w:lvlJc w:val="left"/>
      <w:pPr>
        <w:tabs>
          <w:tab w:val="left" w:pos="2710"/>
        </w:tabs>
        <w:ind w:left="2710" w:hanging="1450"/>
      </w:pPr>
      <w:rPr>
        <w:rFonts w:hint="default"/>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abstractNum w:abstractNumId="44">
    <w:nsid w:val="41226459"/>
    <w:multiLevelType w:val="multilevel"/>
    <w:tmpl w:val="41226459"/>
    <w:lvl w:ilvl="0" w:tentative="0">
      <w:start w:val="1"/>
      <w:numFmt w:val="decimal"/>
      <w:lvlText w:val="%1)"/>
      <w:lvlJc w:val="left"/>
      <w:pPr>
        <w:tabs>
          <w:tab w:val="left" w:pos="420"/>
        </w:tabs>
        <w:ind w:left="420" w:hanging="420"/>
      </w:pPr>
      <w:rPr>
        <w:rFonts w:hint="default" w:ascii="Times New Roman" w:hAnsi="Times New Roman" w:cs="Times New Roman"/>
      </w:rPr>
    </w:lvl>
    <w:lvl w:ilvl="1" w:tentative="0">
      <w:start w:val="1"/>
      <w:numFmt w:val="decimal"/>
      <w:lvlText w:val="%2."/>
      <w:lvlJc w:val="left"/>
      <w:pPr>
        <w:tabs>
          <w:tab w:val="left" w:pos="840"/>
        </w:tabs>
        <w:ind w:left="840" w:hanging="420"/>
      </w:pPr>
      <w:rPr>
        <w:rFonts w:hint="default"/>
      </w:rPr>
    </w:lvl>
    <w:lvl w:ilvl="2" w:tentative="0">
      <w:start w:val="1"/>
      <w:numFmt w:val="japaneseCounting"/>
      <w:lvlText w:val="(%3)"/>
      <w:lvlJc w:val="left"/>
      <w:pPr>
        <w:tabs>
          <w:tab w:val="left" w:pos="1200"/>
        </w:tabs>
        <w:ind w:left="1200" w:hanging="360"/>
      </w:pPr>
      <w:rPr>
        <w:rFonts w:hint="default" w:ascii="仿宋_GB2312" w:eastAsia="仿宋_GB2312"/>
        <w:sz w:val="30"/>
      </w:rPr>
    </w:lvl>
    <w:lvl w:ilvl="3" w:tentative="0">
      <w:start w:val="6"/>
      <w:numFmt w:val="japaneseCounting"/>
      <w:lvlText w:val="第%4节"/>
      <w:lvlJc w:val="left"/>
      <w:pPr>
        <w:tabs>
          <w:tab w:val="left" w:pos="2710"/>
        </w:tabs>
        <w:ind w:left="2710" w:hanging="1450"/>
      </w:pPr>
      <w:rPr>
        <w:rFonts w:hint="default"/>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abstractNum w:abstractNumId="45">
    <w:nsid w:val="42352B58"/>
    <w:multiLevelType w:val="multilevel"/>
    <w:tmpl w:val="42352B58"/>
    <w:lvl w:ilvl="0" w:tentative="0">
      <w:start w:val="1"/>
      <w:numFmt w:val="japaneseCounting"/>
      <w:lvlText w:val="%1、"/>
      <w:lvlJc w:val="left"/>
      <w:pPr>
        <w:tabs>
          <w:tab w:val="left" w:pos="720"/>
        </w:tabs>
        <w:ind w:left="720" w:hanging="720"/>
      </w:pPr>
      <w:rPr>
        <w:rFonts w:hint="default"/>
      </w:rPr>
    </w:lvl>
    <w:lvl w:ilvl="1" w:tentative="0">
      <w:start w:val="1"/>
      <w:numFmt w:val="decimal"/>
      <w:lvlText w:val="%2."/>
      <w:lvlJc w:val="left"/>
      <w:pPr>
        <w:tabs>
          <w:tab w:val="left" w:pos="840"/>
        </w:tabs>
        <w:ind w:left="840" w:hanging="420"/>
      </w:pPr>
      <w:rPr>
        <w:rFonts w:hint="default" w:ascii="Times New Roman" w:hAnsi="Times New Roman" w:cs="Times New Roman"/>
      </w:rPr>
    </w:lvl>
    <w:lvl w:ilvl="2" w:tentative="0">
      <w:start w:val="1"/>
      <w:numFmt w:val="japaneseCounting"/>
      <w:lvlText w:val="（%3）"/>
      <w:lvlJc w:val="left"/>
      <w:pPr>
        <w:tabs>
          <w:tab w:val="left" w:pos="1560"/>
        </w:tabs>
        <w:ind w:left="1560" w:hanging="720"/>
      </w:pPr>
      <w:rPr>
        <w:rFonts w:hint="default"/>
      </w:r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46">
    <w:nsid w:val="42D2326B"/>
    <w:multiLevelType w:val="multilevel"/>
    <w:tmpl w:val="42D2326B"/>
    <w:lvl w:ilvl="0" w:tentative="0">
      <w:start w:val="1"/>
      <w:numFmt w:val="decimalEnclosedCircle"/>
      <w:lvlText w:val="%1"/>
      <w:lvlJc w:val="left"/>
      <w:pPr>
        <w:ind w:left="465" w:hanging="360"/>
      </w:pPr>
      <w:rPr>
        <w:rFonts w:hint="default"/>
      </w:rPr>
    </w:lvl>
    <w:lvl w:ilvl="1" w:tentative="0">
      <w:start w:val="1"/>
      <w:numFmt w:val="lowerLetter"/>
      <w:lvlText w:val="%2)"/>
      <w:lvlJc w:val="left"/>
      <w:pPr>
        <w:ind w:left="945" w:hanging="420"/>
      </w:pPr>
    </w:lvl>
    <w:lvl w:ilvl="2" w:tentative="0">
      <w:start w:val="1"/>
      <w:numFmt w:val="lowerRoman"/>
      <w:lvlText w:val="%3."/>
      <w:lvlJc w:val="right"/>
      <w:pPr>
        <w:ind w:left="1365" w:hanging="420"/>
      </w:pPr>
    </w:lvl>
    <w:lvl w:ilvl="3" w:tentative="0">
      <w:start w:val="1"/>
      <w:numFmt w:val="decimal"/>
      <w:lvlText w:val="%4."/>
      <w:lvlJc w:val="left"/>
      <w:pPr>
        <w:ind w:left="1785" w:hanging="420"/>
      </w:pPr>
    </w:lvl>
    <w:lvl w:ilvl="4" w:tentative="0">
      <w:start w:val="1"/>
      <w:numFmt w:val="lowerLetter"/>
      <w:lvlText w:val="%5)"/>
      <w:lvlJc w:val="left"/>
      <w:pPr>
        <w:ind w:left="2205" w:hanging="420"/>
      </w:pPr>
    </w:lvl>
    <w:lvl w:ilvl="5" w:tentative="0">
      <w:start w:val="1"/>
      <w:numFmt w:val="lowerRoman"/>
      <w:lvlText w:val="%6."/>
      <w:lvlJc w:val="right"/>
      <w:pPr>
        <w:ind w:left="2625" w:hanging="420"/>
      </w:pPr>
    </w:lvl>
    <w:lvl w:ilvl="6" w:tentative="0">
      <w:start w:val="1"/>
      <w:numFmt w:val="decimal"/>
      <w:lvlText w:val="%7."/>
      <w:lvlJc w:val="left"/>
      <w:pPr>
        <w:ind w:left="3045" w:hanging="420"/>
      </w:pPr>
    </w:lvl>
    <w:lvl w:ilvl="7" w:tentative="0">
      <w:start w:val="1"/>
      <w:numFmt w:val="lowerLetter"/>
      <w:lvlText w:val="%8)"/>
      <w:lvlJc w:val="left"/>
      <w:pPr>
        <w:ind w:left="3465" w:hanging="420"/>
      </w:pPr>
    </w:lvl>
    <w:lvl w:ilvl="8" w:tentative="0">
      <w:start w:val="1"/>
      <w:numFmt w:val="lowerRoman"/>
      <w:lvlText w:val="%9."/>
      <w:lvlJc w:val="right"/>
      <w:pPr>
        <w:ind w:left="3885" w:hanging="420"/>
      </w:pPr>
    </w:lvl>
  </w:abstractNum>
  <w:abstractNum w:abstractNumId="47">
    <w:nsid w:val="449C5371"/>
    <w:multiLevelType w:val="multilevel"/>
    <w:tmpl w:val="449C5371"/>
    <w:lvl w:ilvl="0" w:tentative="0">
      <w:start w:val="1"/>
      <w:numFmt w:val="decimal"/>
      <w:lvlText w:val="%1."/>
      <w:lvlJc w:val="left"/>
      <w:pPr>
        <w:ind w:left="885" w:hanging="420"/>
      </w:pPr>
      <w:rPr>
        <w:rFonts w:hint="default" w:ascii="Times New Roman" w:hAnsi="Times New Roman" w:cs="Times New Roman"/>
      </w:rPr>
    </w:lvl>
    <w:lvl w:ilvl="1" w:tentative="0">
      <w:start w:val="1"/>
      <w:numFmt w:val="lowerLetter"/>
      <w:lvlText w:val="%2)"/>
      <w:lvlJc w:val="left"/>
      <w:pPr>
        <w:ind w:left="1305" w:hanging="420"/>
      </w:pPr>
      <w:rPr>
        <w:rFonts w:hint="default" w:ascii="Times New Roman" w:hAnsi="Times New Roman" w:cs="Times New Roman"/>
      </w:rPr>
    </w:lvl>
    <w:lvl w:ilvl="2" w:tentative="0">
      <w:start w:val="1"/>
      <w:numFmt w:val="lowerRoman"/>
      <w:lvlText w:val="%3."/>
      <w:lvlJc w:val="right"/>
      <w:pPr>
        <w:ind w:left="1725" w:hanging="420"/>
      </w:pPr>
      <w:rPr>
        <w:rFonts w:hint="default" w:ascii="Times New Roman" w:hAnsi="Times New Roman" w:cs="Times New Roman"/>
      </w:rPr>
    </w:lvl>
    <w:lvl w:ilvl="3" w:tentative="0">
      <w:start w:val="1"/>
      <w:numFmt w:val="decimal"/>
      <w:lvlText w:val="%4."/>
      <w:lvlJc w:val="left"/>
      <w:pPr>
        <w:ind w:left="2145" w:hanging="420"/>
      </w:pPr>
      <w:rPr>
        <w:rFonts w:hint="default" w:ascii="Times New Roman" w:hAnsi="Times New Roman" w:cs="Times New Roman"/>
      </w:rPr>
    </w:lvl>
    <w:lvl w:ilvl="4" w:tentative="0">
      <w:start w:val="1"/>
      <w:numFmt w:val="lowerLetter"/>
      <w:lvlText w:val="%5)"/>
      <w:lvlJc w:val="left"/>
      <w:pPr>
        <w:ind w:left="2565" w:hanging="420"/>
      </w:pPr>
      <w:rPr>
        <w:rFonts w:hint="default" w:ascii="Times New Roman" w:hAnsi="Times New Roman" w:cs="Times New Roman"/>
      </w:rPr>
    </w:lvl>
    <w:lvl w:ilvl="5" w:tentative="0">
      <w:start w:val="1"/>
      <w:numFmt w:val="lowerRoman"/>
      <w:lvlText w:val="%6."/>
      <w:lvlJc w:val="right"/>
      <w:pPr>
        <w:ind w:left="2985" w:hanging="420"/>
      </w:pPr>
      <w:rPr>
        <w:rFonts w:hint="default" w:ascii="Times New Roman" w:hAnsi="Times New Roman" w:cs="Times New Roman"/>
      </w:rPr>
    </w:lvl>
    <w:lvl w:ilvl="6" w:tentative="0">
      <w:start w:val="1"/>
      <w:numFmt w:val="decimal"/>
      <w:lvlText w:val="%7."/>
      <w:lvlJc w:val="left"/>
      <w:pPr>
        <w:ind w:left="3405" w:hanging="420"/>
      </w:pPr>
      <w:rPr>
        <w:rFonts w:hint="default" w:ascii="Times New Roman" w:hAnsi="Times New Roman" w:cs="Times New Roman"/>
      </w:rPr>
    </w:lvl>
    <w:lvl w:ilvl="7" w:tentative="0">
      <w:start w:val="1"/>
      <w:numFmt w:val="lowerLetter"/>
      <w:lvlText w:val="%8)"/>
      <w:lvlJc w:val="left"/>
      <w:pPr>
        <w:ind w:left="3825" w:hanging="420"/>
      </w:pPr>
      <w:rPr>
        <w:rFonts w:hint="default" w:ascii="Times New Roman" w:hAnsi="Times New Roman" w:cs="Times New Roman"/>
      </w:rPr>
    </w:lvl>
    <w:lvl w:ilvl="8" w:tentative="0">
      <w:start w:val="1"/>
      <w:numFmt w:val="lowerRoman"/>
      <w:lvlText w:val="%9."/>
      <w:lvlJc w:val="right"/>
      <w:pPr>
        <w:ind w:left="4245" w:hanging="420"/>
      </w:pPr>
      <w:rPr>
        <w:rFonts w:hint="default" w:ascii="Times New Roman" w:hAnsi="Times New Roman" w:cs="Times New Roman"/>
      </w:rPr>
    </w:lvl>
  </w:abstractNum>
  <w:abstractNum w:abstractNumId="48">
    <w:nsid w:val="45796B2C"/>
    <w:multiLevelType w:val="multilevel"/>
    <w:tmpl w:val="45796B2C"/>
    <w:lvl w:ilvl="0" w:tentative="0">
      <w:start w:val="1"/>
      <w:numFmt w:val="bullet"/>
      <w:lvlText w:val=""/>
      <w:lvlJc w:val="left"/>
      <w:pPr>
        <w:ind w:left="1320" w:hanging="420"/>
      </w:pPr>
      <w:rPr>
        <w:rFonts w:hint="default" w:ascii="Wingdings" w:hAnsi="Wingdings"/>
      </w:rPr>
    </w:lvl>
    <w:lvl w:ilvl="1" w:tentative="0">
      <w:start w:val="1"/>
      <w:numFmt w:val="bullet"/>
      <w:lvlText w:val=""/>
      <w:lvlJc w:val="left"/>
      <w:pPr>
        <w:ind w:left="1740" w:hanging="420"/>
      </w:pPr>
      <w:rPr>
        <w:rFonts w:hint="default" w:ascii="Wingdings" w:hAnsi="Wingdings"/>
      </w:rPr>
    </w:lvl>
    <w:lvl w:ilvl="2" w:tentative="0">
      <w:start w:val="1"/>
      <w:numFmt w:val="bullet"/>
      <w:lvlText w:val=""/>
      <w:lvlJc w:val="left"/>
      <w:pPr>
        <w:ind w:left="2160" w:hanging="420"/>
      </w:pPr>
      <w:rPr>
        <w:rFonts w:hint="default" w:ascii="Wingdings" w:hAnsi="Wingdings"/>
      </w:rPr>
    </w:lvl>
    <w:lvl w:ilvl="3" w:tentative="0">
      <w:start w:val="1"/>
      <w:numFmt w:val="bullet"/>
      <w:lvlText w:val=""/>
      <w:lvlJc w:val="left"/>
      <w:pPr>
        <w:ind w:left="2580" w:hanging="420"/>
      </w:pPr>
      <w:rPr>
        <w:rFonts w:hint="default" w:ascii="Wingdings" w:hAnsi="Wingdings"/>
      </w:rPr>
    </w:lvl>
    <w:lvl w:ilvl="4" w:tentative="0">
      <w:start w:val="1"/>
      <w:numFmt w:val="bullet"/>
      <w:lvlText w:val=""/>
      <w:lvlJc w:val="left"/>
      <w:pPr>
        <w:ind w:left="3000" w:hanging="420"/>
      </w:pPr>
      <w:rPr>
        <w:rFonts w:hint="default" w:ascii="Wingdings" w:hAnsi="Wingdings"/>
      </w:rPr>
    </w:lvl>
    <w:lvl w:ilvl="5" w:tentative="0">
      <w:start w:val="1"/>
      <w:numFmt w:val="bullet"/>
      <w:lvlText w:val=""/>
      <w:lvlJc w:val="left"/>
      <w:pPr>
        <w:ind w:left="3420" w:hanging="420"/>
      </w:pPr>
      <w:rPr>
        <w:rFonts w:hint="default" w:ascii="Wingdings" w:hAnsi="Wingdings"/>
      </w:rPr>
    </w:lvl>
    <w:lvl w:ilvl="6" w:tentative="0">
      <w:start w:val="1"/>
      <w:numFmt w:val="bullet"/>
      <w:lvlText w:val=""/>
      <w:lvlJc w:val="left"/>
      <w:pPr>
        <w:ind w:left="3840" w:hanging="420"/>
      </w:pPr>
      <w:rPr>
        <w:rFonts w:hint="default" w:ascii="Wingdings" w:hAnsi="Wingdings"/>
      </w:rPr>
    </w:lvl>
    <w:lvl w:ilvl="7" w:tentative="0">
      <w:start w:val="1"/>
      <w:numFmt w:val="bullet"/>
      <w:lvlText w:val=""/>
      <w:lvlJc w:val="left"/>
      <w:pPr>
        <w:ind w:left="4260" w:hanging="420"/>
      </w:pPr>
      <w:rPr>
        <w:rFonts w:hint="default" w:ascii="Wingdings" w:hAnsi="Wingdings"/>
      </w:rPr>
    </w:lvl>
    <w:lvl w:ilvl="8" w:tentative="0">
      <w:start w:val="1"/>
      <w:numFmt w:val="bullet"/>
      <w:lvlText w:val=""/>
      <w:lvlJc w:val="left"/>
      <w:pPr>
        <w:ind w:left="4680" w:hanging="420"/>
      </w:pPr>
      <w:rPr>
        <w:rFonts w:hint="default" w:ascii="Wingdings" w:hAnsi="Wingdings"/>
      </w:rPr>
    </w:lvl>
  </w:abstractNum>
  <w:abstractNum w:abstractNumId="49">
    <w:nsid w:val="49A62940"/>
    <w:multiLevelType w:val="multilevel"/>
    <w:tmpl w:val="49A62940"/>
    <w:lvl w:ilvl="0" w:tentative="0">
      <w:start w:val="1"/>
      <w:numFmt w:val="decimal"/>
      <w:lvlText w:val="%1)"/>
      <w:lvlJc w:val="left"/>
      <w:pPr>
        <w:tabs>
          <w:tab w:val="left" w:pos="839"/>
        </w:tabs>
        <w:ind w:left="839" w:hanging="420"/>
      </w:pPr>
      <w:rPr>
        <w:rFonts w:hint="default" w:ascii="Times New Roman" w:hAnsi="Times New Roman" w:eastAsia="宋体" w:cs="Times New Roman"/>
      </w:rPr>
    </w:lvl>
    <w:lvl w:ilvl="1" w:tentative="0">
      <w:start w:val="1"/>
      <w:numFmt w:val="lowerLetter"/>
      <w:lvlText w:val="%2)"/>
      <w:lvlJc w:val="left"/>
      <w:pPr>
        <w:tabs>
          <w:tab w:val="left" w:pos="1259"/>
        </w:tabs>
        <w:ind w:left="1259" w:hanging="420"/>
      </w:pPr>
      <w:rPr>
        <w:rFonts w:hint="default" w:ascii="Times New Roman" w:hAnsi="Times New Roman" w:cs="Times New Roman"/>
      </w:rPr>
    </w:lvl>
    <w:lvl w:ilvl="2" w:tentative="0">
      <w:start w:val="1"/>
      <w:numFmt w:val="lowerRoman"/>
      <w:lvlText w:val="%3."/>
      <w:lvlJc w:val="right"/>
      <w:pPr>
        <w:tabs>
          <w:tab w:val="left" w:pos="1679"/>
        </w:tabs>
        <w:ind w:left="1679" w:hanging="420"/>
      </w:pPr>
      <w:rPr>
        <w:rFonts w:hint="default" w:ascii="Times New Roman" w:hAnsi="Times New Roman" w:cs="Times New Roman"/>
      </w:rPr>
    </w:lvl>
    <w:lvl w:ilvl="3" w:tentative="0">
      <w:start w:val="1"/>
      <w:numFmt w:val="decimal"/>
      <w:lvlText w:val="%4."/>
      <w:lvlJc w:val="left"/>
      <w:pPr>
        <w:tabs>
          <w:tab w:val="left" w:pos="2099"/>
        </w:tabs>
        <w:ind w:left="2099" w:hanging="420"/>
      </w:pPr>
      <w:rPr>
        <w:rFonts w:hint="default" w:ascii="Times New Roman" w:hAnsi="Times New Roman" w:cs="Times New Roman"/>
      </w:rPr>
    </w:lvl>
    <w:lvl w:ilvl="4" w:tentative="0">
      <w:start w:val="1"/>
      <w:numFmt w:val="lowerLetter"/>
      <w:lvlText w:val="%5)"/>
      <w:lvlJc w:val="left"/>
      <w:pPr>
        <w:tabs>
          <w:tab w:val="left" w:pos="2519"/>
        </w:tabs>
        <w:ind w:left="2519" w:hanging="420"/>
      </w:pPr>
      <w:rPr>
        <w:rFonts w:hint="default" w:ascii="Times New Roman" w:hAnsi="Times New Roman" w:cs="Times New Roman"/>
      </w:rPr>
    </w:lvl>
    <w:lvl w:ilvl="5" w:tentative="0">
      <w:start w:val="1"/>
      <w:numFmt w:val="lowerRoman"/>
      <w:lvlText w:val="%6."/>
      <w:lvlJc w:val="right"/>
      <w:pPr>
        <w:tabs>
          <w:tab w:val="left" w:pos="2939"/>
        </w:tabs>
        <w:ind w:left="2939" w:hanging="420"/>
      </w:pPr>
      <w:rPr>
        <w:rFonts w:hint="default" w:ascii="Times New Roman" w:hAnsi="Times New Roman" w:cs="Times New Roman"/>
      </w:rPr>
    </w:lvl>
    <w:lvl w:ilvl="6" w:tentative="0">
      <w:start w:val="1"/>
      <w:numFmt w:val="decimal"/>
      <w:lvlText w:val="%7."/>
      <w:lvlJc w:val="left"/>
      <w:pPr>
        <w:tabs>
          <w:tab w:val="left" w:pos="3359"/>
        </w:tabs>
        <w:ind w:left="3359" w:hanging="420"/>
      </w:pPr>
      <w:rPr>
        <w:rFonts w:hint="default" w:ascii="Times New Roman" w:hAnsi="Times New Roman" w:cs="Times New Roman"/>
      </w:rPr>
    </w:lvl>
    <w:lvl w:ilvl="7" w:tentative="0">
      <w:start w:val="1"/>
      <w:numFmt w:val="lowerLetter"/>
      <w:lvlText w:val="%8)"/>
      <w:lvlJc w:val="left"/>
      <w:pPr>
        <w:tabs>
          <w:tab w:val="left" w:pos="3779"/>
        </w:tabs>
        <w:ind w:left="3779" w:hanging="420"/>
      </w:pPr>
      <w:rPr>
        <w:rFonts w:hint="default" w:ascii="Times New Roman" w:hAnsi="Times New Roman" w:cs="Times New Roman"/>
      </w:rPr>
    </w:lvl>
    <w:lvl w:ilvl="8" w:tentative="0">
      <w:start w:val="1"/>
      <w:numFmt w:val="lowerRoman"/>
      <w:lvlText w:val="%9."/>
      <w:lvlJc w:val="right"/>
      <w:pPr>
        <w:tabs>
          <w:tab w:val="left" w:pos="4199"/>
        </w:tabs>
        <w:ind w:left="4199" w:hanging="420"/>
      </w:pPr>
      <w:rPr>
        <w:rFonts w:hint="default" w:ascii="Times New Roman" w:hAnsi="Times New Roman" w:cs="Times New Roman"/>
      </w:rPr>
    </w:lvl>
  </w:abstractNum>
  <w:abstractNum w:abstractNumId="50">
    <w:nsid w:val="4AFD1B89"/>
    <w:multiLevelType w:val="multilevel"/>
    <w:tmpl w:val="4AFD1B89"/>
    <w:lvl w:ilvl="0" w:tentative="0">
      <w:start w:val="1"/>
      <w:numFmt w:val="japaneseCounting"/>
      <w:lvlText w:val="%1、"/>
      <w:lvlJc w:val="left"/>
      <w:pPr>
        <w:tabs>
          <w:tab w:val="left" w:pos="720"/>
        </w:tabs>
        <w:ind w:left="720" w:hanging="720"/>
      </w:pPr>
      <w:rPr>
        <w:rFonts w:hint="default"/>
      </w:rPr>
    </w:lvl>
    <w:lvl w:ilvl="1" w:tentative="0">
      <w:start w:val="1"/>
      <w:numFmt w:val="decimal"/>
      <w:lvlText w:val="%2."/>
      <w:lvlJc w:val="left"/>
      <w:pPr>
        <w:tabs>
          <w:tab w:val="left" w:pos="840"/>
        </w:tabs>
        <w:ind w:left="840" w:hanging="420"/>
      </w:pPr>
      <w:rPr>
        <w:rFonts w:hint="default" w:ascii="Times New Roman" w:hAnsi="Times New Roman" w:cs="Times New Roman"/>
      </w:rPr>
    </w:lvl>
    <w:lvl w:ilvl="2" w:tentative="0">
      <w:start w:val="1"/>
      <w:numFmt w:val="japaneseCounting"/>
      <w:lvlText w:val="（%3）"/>
      <w:lvlJc w:val="left"/>
      <w:pPr>
        <w:tabs>
          <w:tab w:val="left" w:pos="1560"/>
        </w:tabs>
        <w:ind w:left="1560" w:hanging="720"/>
      </w:pPr>
      <w:rPr>
        <w:rFonts w:hint="default"/>
      </w:r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51">
    <w:nsid w:val="4BEF4DF4"/>
    <w:multiLevelType w:val="multilevel"/>
    <w:tmpl w:val="4BEF4DF4"/>
    <w:lvl w:ilvl="0" w:tentative="0">
      <w:start w:val="1"/>
      <w:numFmt w:val="decimal"/>
      <w:lvlText w:val="%1)"/>
      <w:lvlJc w:val="left"/>
      <w:pPr>
        <w:tabs>
          <w:tab w:val="left" w:pos="420"/>
        </w:tabs>
        <w:ind w:left="420" w:hanging="420"/>
      </w:pPr>
      <w:rPr>
        <w:rFonts w:hint="default"/>
      </w:rPr>
    </w:lvl>
    <w:lvl w:ilvl="1" w:tentative="0">
      <w:start w:val="1"/>
      <w:numFmt w:val="decimal"/>
      <w:lvlText w:val="%2."/>
      <w:lvlJc w:val="left"/>
      <w:pPr>
        <w:tabs>
          <w:tab w:val="left" w:pos="840"/>
        </w:tabs>
        <w:ind w:left="840" w:hanging="420"/>
      </w:pPr>
      <w:rPr>
        <w:rFonts w:hint="default"/>
      </w:rPr>
    </w:lvl>
    <w:lvl w:ilvl="2" w:tentative="0">
      <w:start w:val="1"/>
      <w:numFmt w:val="japaneseCounting"/>
      <w:lvlText w:val="(%3)"/>
      <w:lvlJc w:val="left"/>
      <w:pPr>
        <w:tabs>
          <w:tab w:val="left" w:pos="1200"/>
        </w:tabs>
        <w:ind w:left="1200" w:hanging="360"/>
      </w:pPr>
      <w:rPr>
        <w:rFonts w:hint="default" w:ascii="仿宋_GB2312" w:eastAsia="仿宋_GB2312"/>
        <w:sz w:val="30"/>
      </w:rPr>
    </w:lvl>
    <w:lvl w:ilvl="3" w:tentative="0">
      <w:start w:val="6"/>
      <w:numFmt w:val="japaneseCounting"/>
      <w:lvlText w:val="第%4节"/>
      <w:lvlJc w:val="left"/>
      <w:pPr>
        <w:tabs>
          <w:tab w:val="left" w:pos="2710"/>
        </w:tabs>
        <w:ind w:left="2710" w:hanging="1450"/>
      </w:pPr>
      <w:rPr>
        <w:rFonts w:hint="default"/>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abstractNum w:abstractNumId="52">
    <w:nsid w:val="4CBA4D7F"/>
    <w:multiLevelType w:val="multilevel"/>
    <w:tmpl w:val="4CBA4D7F"/>
    <w:lvl w:ilvl="0" w:tentative="0">
      <w:start w:val="1"/>
      <w:numFmt w:val="decimalEnclosedCircle"/>
      <w:lvlText w:val="%1 "/>
      <w:lvlJc w:val="left"/>
      <w:pPr>
        <w:ind w:left="1271" w:hanging="420"/>
      </w:pPr>
      <w:rPr>
        <w:rFonts w:hint="eastAsia"/>
      </w:rPr>
    </w:lvl>
    <w:lvl w:ilvl="1" w:tentative="0">
      <w:start w:val="1"/>
      <w:numFmt w:val="lowerLetter"/>
      <w:lvlText w:val="%2)"/>
      <w:lvlJc w:val="left"/>
      <w:pPr>
        <w:ind w:left="1741" w:hanging="420"/>
      </w:pPr>
    </w:lvl>
    <w:lvl w:ilvl="2" w:tentative="0">
      <w:start w:val="1"/>
      <w:numFmt w:val="lowerRoman"/>
      <w:lvlText w:val="%3."/>
      <w:lvlJc w:val="right"/>
      <w:pPr>
        <w:ind w:left="2161" w:hanging="420"/>
      </w:pPr>
    </w:lvl>
    <w:lvl w:ilvl="3" w:tentative="0">
      <w:start w:val="1"/>
      <w:numFmt w:val="decimal"/>
      <w:lvlText w:val="%4."/>
      <w:lvlJc w:val="left"/>
      <w:pPr>
        <w:ind w:left="2581" w:hanging="420"/>
      </w:pPr>
    </w:lvl>
    <w:lvl w:ilvl="4" w:tentative="0">
      <w:start w:val="1"/>
      <w:numFmt w:val="lowerLetter"/>
      <w:lvlText w:val="%5)"/>
      <w:lvlJc w:val="left"/>
      <w:pPr>
        <w:ind w:left="3001" w:hanging="420"/>
      </w:pPr>
    </w:lvl>
    <w:lvl w:ilvl="5" w:tentative="0">
      <w:start w:val="1"/>
      <w:numFmt w:val="lowerRoman"/>
      <w:lvlText w:val="%6."/>
      <w:lvlJc w:val="right"/>
      <w:pPr>
        <w:ind w:left="3421" w:hanging="420"/>
      </w:pPr>
    </w:lvl>
    <w:lvl w:ilvl="6" w:tentative="0">
      <w:start w:val="1"/>
      <w:numFmt w:val="decimal"/>
      <w:lvlText w:val="%7."/>
      <w:lvlJc w:val="left"/>
      <w:pPr>
        <w:ind w:left="3841" w:hanging="420"/>
      </w:pPr>
    </w:lvl>
    <w:lvl w:ilvl="7" w:tentative="0">
      <w:start w:val="1"/>
      <w:numFmt w:val="lowerLetter"/>
      <w:lvlText w:val="%8)"/>
      <w:lvlJc w:val="left"/>
      <w:pPr>
        <w:ind w:left="4261" w:hanging="420"/>
      </w:pPr>
    </w:lvl>
    <w:lvl w:ilvl="8" w:tentative="0">
      <w:start w:val="1"/>
      <w:numFmt w:val="lowerRoman"/>
      <w:lvlText w:val="%9."/>
      <w:lvlJc w:val="right"/>
      <w:pPr>
        <w:ind w:left="4681" w:hanging="420"/>
      </w:pPr>
    </w:lvl>
  </w:abstractNum>
  <w:abstractNum w:abstractNumId="53">
    <w:nsid w:val="4E014132"/>
    <w:multiLevelType w:val="multilevel"/>
    <w:tmpl w:val="4E014132"/>
    <w:lvl w:ilvl="0" w:tentative="0">
      <w:start w:val="1"/>
      <w:numFmt w:val="decimalEnclosedCircle"/>
      <w:lvlText w:val="%1 "/>
      <w:lvlJc w:val="left"/>
      <w:pPr>
        <w:ind w:left="1271" w:hanging="420"/>
      </w:pPr>
      <w:rPr>
        <w:rFonts w:hint="eastAsia"/>
      </w:rPr>
    </w:lvl>
    <w:lvl w:ilvl="1" w:tentative="0">
      <w:start w:val="1"/>
      <w:numFmt w:val="lowerLetter"/>
      <w:lvlText w:val="%2)"/>
      <w:lvlJc w:val="left"/>
      <w:pPr>
        <w:ind w:left="1741" w:hanging="420"/>
      </w:pPr>
    </w:lvl>
    <w:lvl w:ilvl="2" w:tentative="0">
      <w:start w:val="1"/>
      <w:numFmt w:val="lowerRoman"/>
      <w:lvlText w:val="%3."/>
      <w:lvlJc w:val="right"/>
      <w:pPr>
        <w:ind w:left="2161" w:hanging="420"/>
      </w:pPr>
    </w:lvl>
    <w:lvl w:ilvl="3" w:tentative="0">
      <w:start w:val="1"/>
      <w:numFmt w:val="decimal"/>
      <w:lvlText w:val="%4."/>
      <w:lvlJc w:val="left"/>
      <w:pPr>
        <w:ind w:left="2581" w:hanging="420"/>
      </w:pPr>
    </w:lvl>
    <w:lvl w:ilvl="4" w:tentative="0">
      <w:start w:val="1"/>
      <w:numFmt w:val="lowerLetter"/>
      <w:lvlText w:val="%5)"/>
      <w:lvlJc w:val="left"/>
      <w:pPr>
        <w:ind w:left="3001" w:hanging="420"/>
      </w:pPr>
    </w:lvl>
    <w:lvl w:ilvl="5" w:tentative="0">
      <w:start w:val="1"/>
      <w:numFmt w:val="lowerRoman"/>
      <w:lvlText w:val="%6."/>
      <w:lvlJc w:val="right"/>
      <w:pPr>
        <w:ind w:left="3421" w:hanging="420"/>
      </w:pPr>
    </w:lvl>
    <w:lvl w:ilvl="6" w:tentative="0">
      <w:start w:val="1"/>
      <w:numFmt w:val="decimal"/>
      <w:lvlText w:val="%7."/>
      <w:lvlJc w:val="left"/>
      <w:pPr>
        <w:ind w:left="3841" w:hanging="420"/>
      </w:pPr>
    </w:lvl>
    <w:lvl w:ilvl="7" w:tentative="0">
      <w:start w:val="1"/>
      <w:numFmt w:val="lowerLetter"/>
      <w:lvlText w:val="%8)"/>
      <w:lvlJc w:val="left"/>
      <w:pPr>
        <w:ind w:left="4261" w:hanging="420"/>
      </w:pPr>
    </w:lvl>
    <w:lvl w:ilvl="8" w:tentative="0">
      <w:start w:val="1"/>
      <w:numFmt w:val="lowerRoman"/>
      <w:lvlText w:val="%9."/>
      <w:lvlJc w:val="right"/>
      <w:pPr>
        <w:ind w:left="4681" w:hanging="420"/>
      </w:pPr>
    </w:lvl>
  </w:abstractNum>
  <w:abstractNum w:abstractNumId="54">
    <w:nsid w:val="53C27F0D"/>
    <w:multiLevelType w:val="multilevel"/>
    <w:tmpl w:val="53C27F0D"/>
    <w:lvl w:ilvl="0" w:tentative="0">
      <w:start w:val="1"/>
      <w:numFmt w:val="decimalEnclosedCircle"/>
      <w:lvlText w:val="%1 "/>
      <w:lvlJc w:val="left"/>
      <w:pPr>
        <w:tabs>
          <w:tab w:val="left" w:pos="1440"/>
        </w:tabs>
        <w:ind w:left="1440" w:hanging="420"/>
      </w:pPr>
      <w:rPr>
        <w:rFonts w:hint="eastAsia" w:ascii="Times New Roman" w:hAnsi="Times New Roman" w:eastAsia="宋体" w:cs="Times New Roman"/>
      </w:rPr>
    </w:lvl>
    <w:lvl w:ilvl="1" w:tentative="0">
      <w:start w:val="1"/>
      <w:numFmt w:val="bullet"/>
      <w:lvlText w:val=""/>
      <w:lvlJc w:val="left"/>
      <w:pPr>
        <w:tabs>
          <w:tab w:val="left" w:pos="1860"/>
        </w:tabs>
        <w:ind w:left="1860" w:hanging="420"/>
      </w:pPr>
      <w:rPr>
        <w:rFonts w:hint="default" w:ascii="Wingdings" w:hAnsi="Wingdings"/>
      </w:rPr>
    </w:lvl>
    <w:lvl w:ilvl="2" w:tentative="0">
      <w:start w:val="1"/>
      <w:numFmt w:val="lowerRoman"/>
      <w:lvlText w:val="%3."/>
      <w:lvlJc w:val="right"/>
      <w:pPr>
        <w:tabs>
          <w:tab w:val="left" w:pos="2280"/>
        </w:tabs>
        <w:ind w:left="2280" w:hanging="420"/>
      </w:pPr>
      <w:rPr>
        <w:rFonts w:hint="default" w:ascii="Times New Roman" w:hAnsi="Times New Roman" w:cs="Times New Roman"/>
      </w:rPr>
    </w:lvl>
    <w:lvl w:ilvl="3" w:tentative="0">
      <w:start w:val="1"/>
      <w:numFmt w:val="decimal"/>
      <w:lvlText w:val="%4."/>
      <w:lvlJc w:val="left"/>
      <w:pPr>
        <w:tabs>
          <w:tab w:val="left" w:pos="2700"/>
        </w:tabs>
        <w:ind w:left="2700" w:hanging="420"/>
      </w:pPr>
      <w:rPr>
        <w:rFonts w:hint="default" w:ascii="Times New Roman" w:hAnsi="Times New Roman" w:cs="Times New Roman"/>
      </w:rPr>
    </w:lvl>
    <w:lvl w:ilvl="4" w:tentative="0">
      <w:start w:val="1"/>
      <w:numFmt w:val="lowerLetter"/>
      <w:lvlText w:val="%5)"/>
      <w:lvlJc w:val="left"/>
      <w:pPr>
        <w:tabs>
          <w:tab w:val="left" w:pos="3120"/>
        </w:tabs>
        <w:ind w:left="3120" w:hanging="420"/>
      </w:pPr>
      <w:rPr>
        <w:rFonts w:hint="default" w:ascii="Times New Roman" w:hAnsi="Times New Roman" w:cs="Times New Roman"/>
      </w:rPr>
    </w:lvl>
    <w:lvl w:ilvl="5" w:tentative="0">
      <w:start w:val="1"/>
      <w:numFmt w:val="lowerRoman"/>
      <w:lvlText w:val="%6."/>
      <w:lvlJc w:val="right"/>
      <w:pPr>
        <w:tabs>
          <w:tab w:val="left" w:pos="3540"/>
        </w:tabs>
        <w:ind w:left="3540" w:hanging="420"/>
      </w:pPr>
      <w:rPr>
        <w:rFonts w:hint="default" w:ascii="Times New Roman" w:hAnsi="Times New Roman" w:cs="Times New Roman"/>
      </w:rPr>
    </w:lvl>
    <w:lvl w:ilvl="6" w:tentative="0">
      <w:start w:val="1"/>
      <w:numFmt w:val="decimal"/>
      <w:lvlText w:val="%7."/>
      <w:lvlJc w:val="left"/>
      <w:pPr>
        <w:tabs>
          <w:tab w:val="left" w:pos="3960"/>
        </w:tabs>
        <w:ind w:left="3960" w:hanging="420"/>
      </w:pPr>
      <w:rPr>
        <w:rFonts w:hint="default" w:ascii="Times New Roman" w:hAnsi="Times New Roman" w:cs="Times New Roman"/>
      </w:rPr>
    </w:lvl>
    <w:lvl w:ilvl="7" w:tentative="0">
      <w:start w:val="1"/>
      <w:numFmt w:val="lowerLetter"/>
      <w:lvlText w:val="%8)"/>
      <w:lvlJc w:val="left"/>
      <w:pPr>
        <w:tabs>
          <w:tab w:val="left" w:pos="4380"/>
        </w:tabs>
        <w:ind w:left="4380" w:hanging="420"/>
      </w:pPr>
      <w:rPr>
        <w:rFonts w:hint="default" w:ascii="Times New Roman" w:hAnsi="Times New Roman" w:cs="Times New Roman"/>
      </w:rPr>
    </w:lvl>
    <w:lvl w:ilvl="8" w:tentative="0">
      <w:start w:val="1"/>
      <w:numFmt w:val="lowerRoman"/>
      <w:lvlText w:val="%9."/>
      <w:lvlJc w:val="right"/>
      <w:pPr>
        <w:tabs>
          <w:tab w:val="left" w:pos="4800"/>
        </w:tabs>
        <w:ind w:left="4800" w:hanging="420"/>
      </w:pPr>
      <w:rPr>
        <w:rFonts w:hint="default" w:ascii="Times New Roman" w:hAnsi="Times New Roman" w:cs="Times New Roman"/>
      </w:rPr>
    </w:lvl>
  </w:abstractNum>
  <w:abstractNum w:abstractNumId="55">
    <w:nsid w:val="56D6263A"/>
    <w:multiLevelType w:val="multilevel"/>
    <w:tmpl w:val="56D6263A"/>
    <w:lvl w:ilvl="0" w:tentative="0">
      <w:start w:val="1"/>
      <w:numFmt w:val="japaneseCounting"/>
      <w:lvlText w:val="%1、"/>
      <w:lvlJc w:val="left"/>
      <w:pPr>
        <w:ind w:left="420" w:hanging="420"/>
      </w:pPr>
      <w:rPr>
        <w:rFonts w:hint="eastAsia"/>
        <w:sz w:val="32"/>
        <w:szCs w:val="32"/>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56">
    <w:nsid w:val="5AD907C4"/>
    <w:multiLevelType w:val="multilevel"/>
    <w:tmpl w:val="5AD907C4"/>
    <w:lvl w:ilvl="0" w:tentative="0">
      <w:start w:val="1"/>
      <w:numFmt w:val="decimalEnclosedCircle"/>
      <w:lvlText w:val="%1 "/>
      <w:lvlJc w:val="left"/>
      <w:pPr>
        <w:ind w:left="1271" w:hanging="420"/>
      </w:pPr>
      <w:rPr>
        <w:rFonts w:hint="eastAsia"/>
      </w:rPr>
    </w:lvl>
    <w:lvl w:ilvl="1" w:tentative="0">
      <w:start w:val="1"/>
      <w:numFmt w:val="lowerLetter"/>
      <w:lvlText w:val="%2)"/>
      <w:lvlJc w:val="left"/>
      <w:pPr>
        <w:ind w:left="1741" w:hanging="420"/>
      </w:pPr>
    </w:lvl>
    <w:lvl w:ilvl="2" w:tentative="0">
      <w:start w:val="1"/>
      <w:numFmt w:val="lowerRoman"/>
      <w:lvlText w:val="%3."/>
      <w:lvlJc w:val="right"/>
      <w:pPr>
        <w:ind w:left="2161" w:hanging="420"/>
      </w:pPr>
    </w:lvl>
    <w:lvl w:ilvl="3" w:tentative="0">
      <w:start w:val="1"/>
      <w:numFmt w:val="decimal"/>
      <w:lvlText w:val="%4."/>
      <w:lvlJc w:val="left"/>
      <w:pPr>
        <w:ind w:left="2581" w:hanging="420"/>
      </w:pPr>
    </w:lvl>
    <w:lvl w:ilvl="4" w:tentative="0">
      <w:start w:val="1"/>
      <w:numFmt w:val="lowerLetter"/>
      <w:lvlText w:val="%5)"/>
      <w:lvlJc w:val="left"/>
      <w:pPr>
        <w:ind w:left="3001" w:hanging="420"/>
      </w:pPr>
    </w:lvl>
    <w:lvl w:ilvl="5" w:tentative="0">
      <w:start w:val="1"/>
      <w:numFmt w:val="lowerRoman"/>
      <w:lvlText w:val="%6."/>
      <w:lvlJc w:val="right"/>
      <w:pPr>
        <w:ind w:left="3421" w:hanging="420"/>
      </w:pPr>
    </w:lvl>
    <w:lvl w:ilvl="6" w:tentative="0">
      <w:start w:val="1"/>
      <w:numFmt w:val="decimal"/>
      <w:lvlText w:val="%7."/>
      <w:lvlJc w:val="left"/>
      <w:pPr>
        <w:ind w:left="3841" w:hanging="420"/>
      </w:pPr>
    </w:lvl>
    <w:lvl w:ilvl="7" w:tentative="0">
      <w:start w:val="1"/>
      <w:numFmt w:val="lowerLetter"/>
      <w:lvlText w:val="%8)"/>
      <w:lvlJc w:val="left"/>
      <w:pPr>
        <w:ind w:left="4261" w:hanging="420"/>
      </w:pPr>
    </w:lvl>
    <w:lvl w:ilvl="8" w:tentative="0">
      <w:start w:val="1"/>
      <w:numFmt w:val="lowerRoman"/>
      <w:lvlText w:val="%9."/>
      <w:lvlJc w:val="right"/>
      <w:pPr>
        <w:ind w:left="4681" w:hanging="420"/>
      </w:pPr>
    </w:lvl>
  </w:abstractNum>
  <w:abstractNum w:abstractNumId="57">
    <w:nsid w:val="5DBB1892"/>
    <w:multiLevelType w:val="multilevel"/>
    <w:tmpl w:val="5DBB1892"/>
    <w:lvl w:ilvl="0" w:tentative="0">
      <w:start w:val="1"/>
      <w:numFmt w:val="japaneseCounting"/>
      <w:lvlText w:val="%1、"/>
      <w:lvlJc w:val="left"/>
      <w:pPr>
        <w:tabs>
          <w:tab w:val="left" w:pos="720"/>
        </w:tabs>
        <w:ind w:left="720" w:hanging="720"/>
      </w:pPr>
      <w:rPr>
        <w:rFonts w:hint="default"/>
      </w:rPr>
    </w:lvl>
    <w:lvl w:ilvl="1" w:tentative="0">
      <w:start w:val="1"/>
      <w:numFmt w:val="decimal"/>
      <w:lvlText w:val="%2."/>
      <w:lvlJc w:val="left"/>
      <w:pPr>
        <w:tabs>
          <w:tab w:val="left" w:pos="840"/>
        </w:tabs>
        <w:ind w:left="840" w:hanging="420"/>
      </w:pPr>
      <w:rPr>
        <w:rFonts w:hint="default" w:ascii="Times New Roman" w:hAnsi="Times New Roman" w:cs="Times New Roman"/>
      </w:rPr>
    </w:lvl>
    <w:lvl w:ilvl="2" w:tentative="0">
      <w:start w:val="1"/>
      <w:numFmt w:val="japaneseCounting"/>
      <w:lvlText w:val="（%3）"/>
      <w:lvlJc w:val="left"/>
      <w:pPr>
        <w:tabs>
          <w:tab w:val="left" w:pos="1560"/>
        </w:tabs>
        <w:ind w:left="1560" w:hanging="720"/>
      </w:pPr>
      <w:rPr>
        <w:rFonts w:hint="default"/>
      </w:r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58">
    <w:nsid w:val="6A6F6F9C"/>
    <w:multiLevelType w:val="multilevel"/>
    <w:tmpl w:val="6A6F6F9C"/>
    <w:lvl w:ilvl="0" w:tentative="0">
      <w:start w:val="1"/>
      <w:numFmt w:val="chineseCountingThousand"/>
      <w:lvlText w:val="(%1)"/>
      <w:lvlJc w:val="left"/>
      <w:pPr>
        <w:ind w:left="420" w:hanging="420"/>
      </w:pPr>
      <w:rPr>
        <w:rFonts w:hint="eastAsia"/>
      </w:rPr>
    </w:lvl>
    <w:lvl w:ilvl="1" w:tentative="0">
      <w:start w:val="1"/>
      <w:numFmt w:val="lowerLetter"/>
      <w:lvlText w:val="%2)"/>
      <w:lvlJc w:val="left"/>
      <w:pPr>
        <w:ind w:left="840" w:hanging="420"/>
      </w:pPr>
      <w:rPr>
        <w:rFonts w:hint="eastAsia"/>
      </w:rPr>
    </w:lvl>
    <w:lvl w:ilvl="2" w:tentative="0">
      <w:start w:val="1"/>
      <w:numFmt w:val="lowerRoman"/>
      <w:lvlText w:val="%3."/>
      <w:lvlJc w:val="right"/>
      <w:pPr>
        <w:ind w:left="1260" w:hanging="420"/>
      </w:pPr>
      <w:rPr>
        <w:rFonts w:hint="eastAsia"/>
      </w:rPr>
    </w:lvl>
    <w:lvl w:ilvl="3" w:tentative="0">
      <w:start w:val="1"/>
      <w:numFmt w:val="decimal"/>
      <w:lvlText w:val="%4."/>
      <w:lvlJc w:val="left"/>
      <w:pPr>
        <w:ind w:left="1680" w:hanging="420"/>
      </w:pPr>
      <w:rPr>
        <w:rFonts w:hint="eastAsia"/>
      </w:rPr>
    </w:lvl>
    <w:lvl w:ilvl="4" w:tentative="0">
      <w:start w:val="1"/>
      <w:numFmt w:val="lowerLetter"/>
      <w:lvlText w:val="%5)"/>
      <w:lvlJc w:val="left"/>
      <w:pPr>
        <w:ind w:left="2100" w:hanging="420"/>
      </w:pPr>
      <w:rPr>
        <w:rFonts w:hint="eastAsia"/>
      </w:rPr>
    </w:lvl>
    <w:lvl w:ilvl="5" w:tentative="0">
      <w:start w:val="1"/>
      <w:numFmt w:val="lowerRoman"/>
      <w:lvlText w:val="%6."/>
      <w:lvlJc w:val="right"/>
      <w:pPr>
        <w:ind w:left="2520" w:hanging="420"/>
      </w:pPr>
      <w:rPr>
        <w:rFonts w:hint="eastAsia"/>
      </w:rPr>
    </w:lvl>
    <w:lvl w:ilvl="6" w:tentative="0">
      <w:start w:val="1"/>
      <w:numFmt w:val="decimal"/>
      <w:lvlText w:val="%7."/>
      <w:lvlJc w:val="left"/>
      <w:pPr>
        <w:ind w:left="2940" w:hanging="420"/>
      </w:pPr>
      <w:rPr>
        <w:rFonts w:hint="eastAsia"/>
      </w:rPr>
    </w:lvl>
    <w:lvl w:ilvl="7" w:tentative="0">
      <w:start w:val="1"/>
      <w:numFmt w:val="lowerLetter"/>
      <w:lvlText w:val="%8)"/>
      <w:lvlJc w:val="left"/>
      <w:pPr>
        <w:ind w:left="3360" w:hanging="420"/>
      </w:pPr>
      <w:rPr>
        <w:rFonts w:hint="eastAsia"/>
      </w:rPr>
    </w:lvl>
    <w:lvl w:ilvl="8" w:tentative="0">
      <w:start w:val="1"/>
      <w:numFmt w:val="lowerRoman"/>
      <w:lvlText w:val="%9."/>
      <w:lvlJc w:val="right"/>
      <w:pPr>
        <w:ind w:left="3780" w:hanging="420"/>
      </w:pPr>
      <w:rPr>
        <w:rFonts w:hint="eastAsia"/>
      </w:rPr>
    </w:lvl>
  </w:abstractNum>
  <w:abstractNum w:abstractNumId="59">
    <w:nsid w:val="6AE363D9"/>
    <w:multiLevelType w:val="multilevel"/>
    <w:tmpl w:val="6AE363D9"/>
    <w:lvl w:ilvl="0" w:tentative="0">
      <w:start w:val="1"/>
      <w:numFmt w:val="decimalEnclosedCircle"/>
      <w:lvlText w:val="%1 "/>
      <w:lvlJc w:val="left"/>
      <w:pPr>
        <w:tabs>
          <w:tab w:val="left" w:pos="1440"/>
        </w:tabs>
        <w:ind w:left="1440" w:hanging="420"/>
      </w:pPr>
      <w:rPr>
        <w:rFonts w:hint="eastAsia"/>
      </w:rPr>
    </w:lvl>
    <w:lvl w:ilvl="1" w:tentative="0">
      <w:start w:val="1"/>
      <w:numFmt w:val="bullet"/>
      <w:lvlText w:val=""/>
      <w:lvlJc w:val="left"/>
      <w:pPr>
        <w:tabs>
          <w:tab w:val="left" w:pos="1860"/>
        </w:tabs>
        <w:ind w:left="1860" w:hanging="420"/>
      </w:pPr>
      <w:rPr>
        <w:rFonts w:hint="default" w:ascii="Wingdings" w:hAnsi="Wingdings"/>
      </w:rPr>
    </w:lvl>
    <w:lvl w:ilvl="2" w:tentative="0">
      <w:start w:val="1"/>
      <w:numFmt w:val="lowerRoman"/>
      <w:lvlText w:val="%3."/>
      <w:lvlJc w:val="right"/>
      <w:pPr>
        <w:tabs>
          <w:tab w:val="left" w:pos="2280"/>
        </w:tabs>
        <w:ind w:left="2280" w:hanging="420"/>
      </w:pPr>
    </w:lvl>
    <w:lvl w:ilvl="3" w:tentative="0">
      <w:start w:val="1"/>
      <w:numFmt w:val="decimal"/>
      <w:lvlText w:val="%4."/>
      <w:lvlJc w:val="left"/>
      <w:pPr>
        <w:tabs>
          <w:tab w:val="left" w:pos="2700"/>
        </w:tabs>
        <w:ind w:left="2700" w:hanging="420"/>
      </w:pPr>
    </w:lvl>
    <w:lvl w:ilvl="4" w:tentative="0">
      <w:start w:val="1"/>
      <w:numFmt w:val="lowerLetter"/>
      <w:lvlText w:val="%5)"/>
      <w:lvlJc w:val="left"/>
      <w:pPr>
        <w:tabs>
          <w:tab w:val="left" w:pos="3120"/>
        </w:tabs>
        <w:ind w:left="3120" w:hanging="420"/>
      </w:pPr>
    </w:lvl>
    <w:lvl w:ilvl="5" w:tentative="0">
      <w:start w:val="1"/>
      <w:numFmt w:val="lowerRoman"/>
      <w:lvlText w:val="%6."/>
      <w:lvlJc w:val="right"/>
      <w:pPr>
        <w:tabs>
          <w:tab w:val="left" w:pos="3540"/>
        </w:tabs>
        <w:ind w:left="3540" w:hanging="420"/>
      </w:pPr>
    </w:lvl>
    <w:lvl w:ilvl="6" w:tentative="0">
      <w:start w:val="1"/>
      <w:numFmt w:val="decimal"/>
      <w:lvlText w:val="%7."/>
      <w:lvlJc w:val="left"/>
      <w:pPr>
        <w:tabs>
          <w:tab w:val="left" w:pos="3960"/>
        </w:tabs>
        <w:ind w:left="3960" w:hanging="420"/>
      </w:pPr>
    </w:lvl>
    <w:lvl w:ilvl="7" w:tentative="0">
      <w:start w:val="1"/>
      <w:numFmt w:val="lowerLetter"/>
      <w:lvlText w:val="%8)"/>
      <w:lvlJc w:val="left"/>
      <w:pPr>
        <w:tabs>
          <w:tab w:val="left" w:pos="4380"/>
        </w:tabs>
        <w:ind w:left="4380" w:hanging="420"/>
      </w:pPr>
    </w:lvl>
    <w:lvl w:ilvl="8" w:tentative="0">
      <w:start w:val="1"/>
      <w:numFmt w:val="lowerRoman"/>
      <w:lvlText w:val="%9."/>
      <w:lvlJc w:val="right"/>
      <w:pPr>
        <w:tabs>
          <w:tab w:val="left" w:pos="4800"/>
        </w:tabs>
        <w:ind w:left="4800" w:hanging="420"/>
      </w:pPr>
    </w:lvl>
  </w:abstractNum>
  <w:abstractNum w:abstractNumId="60">
    <w:nsid w:val="6C622DA7"/>
    <w:multiLevelType w:val="multilevel"/>
    <w:tmpl w:val="6C622DA7"/>
    <w:lvl w:ilvl="0" w:tentative="0">
      <w:start w:val="1"/>
      <w:numFmt w:val="bullet"/>
      <w:lvlText w:val=""/>
      <w:lvlJc w:val="left"/>
      <w:pPr>
        <w:tabs>
          <w:tab w:val="left" w:pos="420"/>
        </w:tabs>
        <w:ind w:left="420" w:hanging="420"/>
      </w:pPr>
      <w:rPr>
        <w:rFonts w:hint="default" w:ascii="Wingdings" w:hAnsi="Wingdings"/>
      </w:rPr>
    </w:lvl>
    <w:lvl w:ilvl="1" w:tentative="0">
      <w:start w:val="1"/>
      <w:numFmt w:val="decimal"/>
      <w:lvlText w:val="%2."/>
      <w:lvlJc w:val="left"/>
      <w:pPr>
        <w:tabs>
          <w:tab w:val="left" w:pos="840"/>
        </w:tabs>
        <w:ind w:left="840" w:hanging="420"/>
      </w:pPr>
      <w:rPr>
        <w:rFonts w:hint="default"/>
      </w:rPr>
    </w:lvl>
    <w:lvl w:ilvl="2" w:tentative="0">
      <w:start w:val="1"/>
      <w:numFmt w:val="japaneseCounting"/>
      <w:lvlText w:val="(%3)"/>
      <w:lvlJc w:val="left"/>
      <w:pPr>
        <w:tabs>
          <w:tab w:val="left" w:pos="1200"/>
        </w:tabs>
        <w:ind w:left="1200" w:hanging="360"/>
      </w:pPr>
      <w:rPr>
        <w:rFonts w:hint="default" w:ascii="仿宋_GB2312" w:eastAsia="仿宋_GB2312"/>
        <w:sz w:val="30"/>
      </w:rPr>
    </w:lvl>
    <w:lvl w:ilvl="3" w:tentative="0">
      <w:start w:val="6"/>
      <w:numFmt w:val="japaneseCounting"/>
      <w:lvlText w:val="第%4节"/>
      <w:lvlJc w:val="left"/>
      <w:pPr>
        <w:tabs>
          <w:tab w:val="left" w:pos="2710"/>
        </w:tabs>
        <w:ind w:left="2710" w:hanging="1450"/>
      </w:pPr>
      <w:rPr>
        <w:rFonts w:hint="default"/>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abstractNum w:abstractNumId="61">
    <w:nsid w:val="6D6C05AB"/>
    <w:multiLevelType w:val="multilevel"/>
    <w:tmpl w:val="6D6C05AB"/>
    <w:lvl w:ilvl="0" w:tentative="0">
      <w:start w:val="1"/>
      <w:numFmt w:val="decimal"/>
      <w:lvlText w:val="%1、"/>
      <w:lvlJc w:val="left"/>
      <w:pPr>
        <w:tabs>
          <w:tab w:val="left" w:pos="420"/>
        </w:tabs>
        <w:ind w:left="420" w:hanging="420"/>
      </w:pPr>
      <w:rPr>
        <w:rFonts w:hint="default" w:ascii="Times New Roman" w:hAnsi="Times New Roman" w:cs="Times New Roman"/>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62">
    <w:nsid w:val="706C2DB6"/>
    <w:multiLevelType w:val="multilevel"/>
    <w:tmpl w:val="706C2DB6"/>
    <w:lvl w:ilvl="0" w:tentative="0">
      <w:start w:val="1"/>
      <w:numFmt w:val="decimalEnclosedCircle"/>
      <w:lvlText w:val="%1 "/>
      <w:lvlJc w:val="left"/>
      <w:pPr>
        <w:ind w:left="1271" w:hanging="420"/>
      </w:pPr>
      <w:rPr>
        <w:rFonts w:hint="eastAsia"/>
      </w:rPr>
    </w:lvl>
    <w:lvl w:ilvl="1" w:tentative="0">
      <w:start w:val="1"/>
      <w:numFmt w:val="lowerLetter"/>
      <w:lvlText w:val="%2)"/>
      <w:lvlJc w:val="left"/>
      <w:pPr>
        <w:ind w:left="1691" w:hanging="420"/>
      </w:pPr>
    </w:lvl>
    <w:lvl w:ilvl="2" w:tentative="0">
      <w:start w:val="1"/>
      <w:numFmt w:val="lowerRoman"/>
      <w:lvlText w:val="%3."/>
      <w:lvlJc w:val="right"/>
      <w:pPr>
        <w:ind w:left="2111" w:hanging="420"/>
      </w:pPr>
    </w:lvl>
    <w:lvl w:ilvl="3" w:tentative="0">
      <w:start w:val="1"/>
      <w:numFmt w:val="decimal"/>
      <w:lvlText w:val="%4."/>
      <w:lvlJc w:val="left"/>
      <w:pPr>
        <w:ind w:left="2531" w:hanging="420"/>
      </w:pPr>
    </w:lvl>
    <w:lvl w:ilvl="4" w:tentative="0">
      <w:start w:val="1"/>
      <w:numFmt w:val="lowerLetter"/>
      <w:lvlText w:val="%5)"/>
      <w:lvlJc w:val="left"/>
      <w:pPr>
        <w:ind w:left="2951" w:hanging="420"/>
      </w:pPr>
    </w:lvl>
    <w:lvl w:ilvl="5" w:tentative="0">
      <w:start w:val="1"/>
      <w:numFmt w:val="lowerRoman"/>
      <w:lvlText w:val="%6."/>
      <w:lvlJc w:val="right"/>
      <w:pPr>
        <w:ind w:left="3371" w:hanging="420"/>
      </w:pPr>
    </w:lvl>
    <w:lvl w:ilvl="6" w:tentative="0">
      <w:start w:val="1"/>
      <w:numFmt w:val="decimal"/>
      <w:lvlText w:val="%7."/>
      <w:lvlJc w:val="left"/>
      <w:pPr>
        <w:ind w:left="3791" w:hanging="420"/>
      </w:pPr>
    </w:lvl>
    <w:lvl w:ilvl="7" w:tentative="0">
      <w:start w:val="1"/>
      <w:numFmt w:val="lowerLetter"/>
      <w:lvlText w:val="%8)"/>
      <w:lvlJc w:val="left"/>
      <w:pPr>
        <w:ind w:left="4211" w:hanging="420"/>
      </w:pPr>
    </w:lvl>
    <w:lvl w:ilvl="8" w:tentative="0">
      <w:start w:val="1"/>
      <w:numFmt w:val="lowerRoman"/>
      <w:lvlText w:val="%9."/>
      <w:lvlJc w:val="right"/>
      <w:pPr>
        <w:ind w:left="4631" w:hanging="420"/>
      </w:pPr>
    </w:lvl>
  </w:abstractNum>
  <w:abstractNum w:abstractNumId="63">
    <w:nsid w:val="70B2217C"/>
    <w:multiLevelType w:val="multilevel"/>
    <w:tmpl w:val="70B2217C"/>
    <w:lvl w:ilvl="0" w:tentative="0">
      <w:start w:val="1"/>
      <w:numFmt w:val="bullet"/>
      <w:lvlText w:val=""/>
      <w:lvlJc w:val="left"/>
      <w:pPr>
        <w:tabs>
          <w:tab w:val="left" w:pos="420"/>
        </w:tabs>
        <w:ind w:left="420" w:hanging="420"/>
      </w:pPr>
      <w:rPr>
        <w:rFonts w:hint="default" w:ascii="Wingdings" w:hAnsi="Wingdings"/>
      </w:rPr>
    </w:lvl>
    <w:lvl w:ilvl="1" w:tentative="0">
      <w:start w:val="1"/>
      <w:numFmt w:val="decimal"/>
      <w:lvlText w:val="%2."/>
      <w:lvlJc w:val="left"/>
      <w:pPr>
        <w:tabs>
          <w:tab w:val="left" w:pos="840"/>
        </w:tabs>
        <w:ind w:left="840" w:hanging="420"/>
      </w:pPr>
      <w:rPr>
        <w:rFonts w:hint="default" w:ascii="Times New Roman" w:hAnsi="Times New Roman" w:cs="Times New Roman"/>
      </w:rPr>
    </w:lvl>
    <w:lvl w:ilvl="2" w:tentative="0">
      <w:start w:val="1"/>
      <w:numFmt w:val="japaneseCounting"/>
      <w:lvlText w:val="(%3)"/>
      <w:lvlJc w:val="left"/>
      <w:pPr>
        <w:tabs>
          <w:tab w:val="left" w:pos="1200"/>
        </w:tabs>
        <w:ind w:left="1200" w:hanging="360"/>
      </w:pPr>
      <w:rPr>
        <w:rFonts w:hint="default" w:ascii="仿宋_GB2312" w:eastAsia="仿宋_GB2312"/>
        <w:sz w:val="30"/>
      </w:rPr>
    </w:lvl>
    <w:lvl w:ilvl="3" w:tentative="0">
      <w:start w:val="6"/>
      <w:numFmt w:val="japaneseCounting"/>
      <w:lvlText w:val="第%4节"/>
      <w:lvlJc w:val="left"/>
      <w:pPr>
        <w:tabs>
          <w:tab w:val="left" w:pos="2710"/>
        </w:tabs>
        <w:ind w:left="2710" w:hanging="1450"/>
      </w:pPr>
      <w:rPr>
        <w:rFonts w:hint="default"/>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abstractNum w:abstractNumId="64">
    <w:nsid w:val="71B50BE8"/>
    <w:multiLevelType w:val="multilevel"/>
    <w:tmpl w:val="71B50BE8"/>
    <w:lvl w:ilvl="0" w:tentative="0">
      <w:start w:val="1"/>
      <w:numFmt w:val="chineseCountingThousand"/>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65">
    <w:nsid w:val="750B6D37"/>
    <w:multiLevelType w:val="multilevel"/>
    <w:tmpl w:val="750B6D37"/>
    <w:lvl w:ilvl="0" w:tentative="0">
      <w:start w:val="1"/>
      <w:numFmt w:val="bullet"/>
      <w:lvlText w:val=""/>
      <w:lvlJc w:val="left"/>
      <w:pPr>
        <w:ind w:left="1260" w:hanging="420"/>
      </w:pPr>
      <w:rPr>
        <w:rFonts w:hint="default" w:ascii="Wingdings" w:hAnsi="Wingdings"/>
      </w:rPr>
    </w:lvl>
    <w:lvl w:ilvl="1" w:tentative="0">
      <w:start w:val="1"/>
      <w:numFmt w:val="bullet"/>
      <w:lvlText w:val=""/>
      <w:lvlJc w:val="left"/>
      <w:pPr>
        <w:ind w:left="1680" w:hanging="420"/>
      </w:pPr>
      <w:rPr>
        <w:rFonts w:hint="default" w:ascii="Wingdings" w:hAnsi="Wingdings"/>
      </w:rPr>
    </w:lvl>
    <w:lvl w:ilvl="2" w:tentative="0">
      <w:start w:val="1"/>
      <w:numFmt w:val="bullet"/>
      <w:lvlText w:val=""/>
      <w:lvlJc w:val="left"/>
      <w:pPr>
        <w:ind w:left="2100" w:hanging="420"/>
      </w:pPr>
      <w:rPr>
        <w:rFonts w:hint="default" w:ascii="Wingdings" w:hAnsi="Wingdings"/>
      </w:rPr>
    </w:lvl>
    <w:lvl w:ilvl="3" w:tentative="0">
      <w:start w:val="1"/>
      <w:numFmt w:val="bullet"/>
      <w:lvlText w:val=""/>
      <w:lvlJc w:val="left"/>
      <w:pPr>
        <w:ind w:left="2520" w:hanging="420"/>
      </w:pPr>
      <w:rPr>
        <w:rFonts w:hint="default" w:ascii="Wingdings" w:hAnsi="Wingdings"/>
      </w:rPr>
    </w:lvl>
    <w:lvl w:ilvl="4" w:tentative="0">
      <w:start w:val="1"/>
      <w:numFmt w:val="bullet"/>
      <w:lvlText w:val=""/>
      <w:lvlJc w:val="left"/>
      <w:pPr>
        <w:ind w:left="2940" w:hanging="420"/>
      </w:pPr>
      <w:rPr>
        <w:rFonts w:hint="default" w:ascii="Wingdings" w:hAnsi="Wingdings"/>
      </w:rPr>
    </w:lvl>
    <w:lvl w:ilvl="5" w:tentative="0">
      <w:start w:val="1"/>
      <w:numFmt w:val="bullet"/>
      <w:lvlText w:val=""/>
      <w:lvlJc w:val="left"/>
      <w:pPr>
        <w:ind w:left="3360" w:hanging="420"/>
      </w:pPr>
      <w:rPr>
        <w:rFonts w:hint="default" w:ascii="Wingdings" w:hAnsi="Wingdings"/>
      </w:rPr>
    </w:lvl>
    <w:lvl w:ilvl="6" w:tentative="0">
      <w:start w:val="1"/>
      <w:numFmt w:val="bullet"/>
      <w:lvlText w:val=""/>
      <w:lvlJc w:val="left"/>
      <w:pPr>
        <w:ind w:left="3780" w:hanging="420"/>
      </w:pPr>
      <w:rPr>
        <w:rFonts w:hint="default" w:ascii="Wingdings" w:hAnsi="Wingdings"/>
      </w:rPr>
    </w:lvl>
    <w:lvl w:ilvl="7" w:tentative="0">
      <w:start w:val="1"/>
      <w:numFmt w:val="bullet"/>
      <w:lvlText w:val=""/>
      <w:lvlJc w:val="left"/>
      <w:pPr>
        <w:ind w:left="4200" w:hanging="420"/>
      </w:pPr>
      <w:rPr>
        <w:rFonts w:hint="default" w:ascii="Wingdings" w:hAnsi="Wingdings"/>
      </w:rPr>
    </w:lvl>
    <w:lvl w:ilvl="8" w:tentative="0">
      <w:start w:val="1"/>
      <w:numFmt w:val="bullet"/>
      <w:lvlText w:val=""/>
      <w:lvlJc w:val="left"/>
      <w:pPr>
        <w:ind w:left="4620" w:hanging="420"/>
      </w:pPr>
      <w:rPr>
        <w:rFonts w:hint="default" w:ascii="Wingdings" w:hAnsi="Wingdings"/>
      </w:rPr>
    </w:lvl>
  </w:abstractNum>
  <w:abstractNum w:abstractNumId="66">
    <w:nsid w:val="790E658D"/>
    <w:multiLevelType w:val="multilevel"/>
    <w:tmpl w:val="790E658D"/>
    <w:lvl w:ilvl="0" w:tentative="0">
      <w:start w:val="1"/>
      <w:numFmt w:val="chineseCountingThousand"/>
      <w:lvlText w:val="(%1)"/>
      <w:lvlJc w:val="left"/>
      <w:pPr>
        <w:ind w:left="420" w:hanging="420"/>
      </w:pPr>
      <w:rPr>
        <w:rFonts w:hint="default" w:ascii="Times New Roman" w:hAnsi="Times New Roman" w:cs="Times New Roman"/>
      </w:rPr>
    </w:lvl>
    <w:lvl w:ilvl="1" w:tentative="0">
      <w:start w:val="1"/>
      <w:numFmt w:val="lowerLetter"/>
      <w:lvlText w:val="%2)"/>
      <w:lvlJc w:val="left"/>
      <w:pPr>
        <w:ind w:left="840" w:hanging="420"/>
      </w:pPr>
      <w:rPr>
        <w:rFonts w:hint="default" w:ascii="Times New Roman" w:hAnsi="Times New Roman" w:cs="Times New Roman"/>
      </w:rPr>
    </w:lvl>
    <w:lvl w:ilvl="2" w:tentative="0">
      <w:start w:val="1"/>
      <w:numFmt w:val="lowerRoman"/>
      <w:lvlText w:val="%3."/>
      <w:lvlJc w:val="right"/>
      <w:pPr>
        <w:ind w:left="1260" w:hanging="420"/>
      </w:pPr>
      <w:rPr>
        <w:rFonts w:hint="default" w:ascii="Times New Roman" w:hAnsi="Times New Roman" w:cs="Times New Roman"/>
      </w:rPr>
    </w:lvl>
    <w:lvl w:ilvl="3" w:tentative="0">
      <w:start w:val="1"/>
      <w:numFmt w:val="decimal"/>
      <w:lvlText w:val="%4."/>
      <w:lvlJc w:val="left"/>
      <w:pPr>
        <w:ind w:left="1680" w:hanging="420"/>
      </w:pPr>
      <w:rPr>
        <w:rFonts w:hint="default" w:ascii="Times New Roman" w:hAnsi="Times New Roman" w:cs="Times New Roman"/>
      </w:rPr>
    </w:lvl>
    <w:lvl w:ilvl="4" w:tentative="0">
      <w:start w:val="1"/>
      <w:numFmt w:val="lowerLetter"/>
      <w:lvlText w:val="%5)"/>
      <w:lvlJc w:val="left"/>
      <w:pPr>
        <w:ind w:left="2100" w:hanging="420"/>
      </w:pPr>
      <w:rPr>
        <w:rFonts w:hint="default" w:ascii="Times New Roman" w:hAnsi="Times New Roman" w:cs="Times New Roman"/>
      </w:rPr>
    </w:lvl>
    <w:lvl w:ilvl="5" w:tentative="0">
      <w:start w:val="1"/>
      <w:numFmt w:val="lowerRoman"/>
      <w:lvlText w:val="%6."/>
      <w:lvlJc w:val="right"/>
      <w:pPr>
        <w:ind w:left="2520" w:hanging="420"/>
      </w:pPr>
      <w:rPr>
        <w:rFonts w:hint="default" w:ascii="Times New Roman" w:hAnsi="Times New Roman" w:cs="Times New Roman"/>
      </w:rPr>
    </w:lvl>
    <w:lvl w:ilvl="6" w:tentative="0">
      <w:start w:val="1"/>
      <w:numFmt w:val="decimal"/>
      <w:lvlText w:val="%7."/>
      <w:lvlJc w:val="left"/>
      <w:pPr>
        <w:ind w:left="2940" w:hanging="420"/>
      </w:pPr>
      <w:rPr>
        <w:rFonts w:hint="default" w:ascii="Times New Roman" w:hAnsi="Times New Roman" w:cs="Times New Roman"/>
      </w:rPr>
    </w:lvl>
    <w:lvl w:ilvl="7" w:tentative="0">
      <w:start w:val="1"/>
      <w:numFmt w:val="lowerLetter"/>
      <w:lvlText w:val="%8)"/>
      <w:lvlJc w:val="left"/>
      <w:pPr>
        <w:ind w:left="3360" w:hanging="420"/>
      </w:pPr>
      <w:rPr>
        <w:rFonts w:hint="default" w:ascii="Times New Roman" w:hAnsi="Times New Roman" w:cs="Times New Roman"/>
      </w:rPr>
    </w:lvl>
    <w:lvl w:ilvl="8" w:tentative="0">
      <w:start w:val="1"/>
      <w:numFmt w:val="lowerRoman"/>
      <w:lvlText w:val="%9."/>
      <w:lvlJc w:val="right"/>
      <w:pPr>
        <w:ind w:left="3780" w:hanging="420"/>
      </w:pPr>
      <w:rPr>
        <w:rFonts w:hint="default" w:ascii="Times New Roman" w:hAnsi="Times New Roman" w:cs="Times New Roman"/>
      </w:rPr>
    </w:lvl>
  </w:abstractNum>
  <w:abstractNum w:abstractNumId="67">
    <w:nsid w:val="79EF15CC"/>
    <w:multiLevelType w:val="multilevel"/>
    <w:tmpl w:val="79EF15CC"/>
    <w:lvl w:ilvl="0" w:tentative="0">
      <w:start w:val="1"/>
      <w:numFmt w:val="decimal"/>
      <w:lvlText w:val="%1)"/>
      <w:lvlJc w:val="left"/>
      <w:pPr>
        <w:tabs>
          <w:tab w:val="left" w:pos="420"/>
        </w:tabs>
        <w:ind w:left="420" w:hanging="420"/>
      </w:pPr>
      <w:rPr>
        <w:rFonts w:hint="default" w:ascii="Times New Roman" w:hAnsi="Times New Roman" w:cs="Times New Roman"/>
      </w:rPr>
    </w:lvl>
    <w:lvl w:ilvl="1" w:tentative="0">
      <w:start w:val="1"/>
      <w:numFmt w:val="decimal"/>
      <w:lvlText w:val="%2."/>
      <w:lvlJc w:val="left"/>
      <w:pPr>
        <w:tabs>
          <w:tab w:val="left" w:pos="840"/>
        </w:tabs>
        <w:ind w:left="840" w:hanging="420"/>
      </w:pPr>
      <w:rPr>
        <w:rFonts w:hint="default"/>
      </w:rPr>
    </w:lvl>
    <w:lvl w:ilvl="2" w:tentative="0">
      <w:start w:val="1"/>
      <w:numFmt w:val="japaneseCounting"/>
      <w:lvlText w:val="(%3)"/>
      <w:lvlJc w:val="left"/>
      <w:pPr>
        <w:tabs>
          <w:tab w:val="left" w:pos="1200"/>
        </w:tabs>
        <w:ind w:left="1200" w:hanging="360"/>
      </w:pPr>
      <w:rPr>
        <w:rFonts w:hint="default" w:ascii="仿宋_GB2312" w:eastAsia="仿宋_GB2312"/>
        <w:sz w:val="30"/>
      </w:rPr>
    </w:lvl>
    <w:lvl w:ilvl="3" w:tentative="0">
      <w:start w:val="6"/>
      <w:numFmt w:val="japaneseCounting"/>
      <w:lvlText w:val="第%4节"/>
      <w:lvlJc w:val="left"/>
      <w:pPr>
        <w:tabs>
          <w:tab w:val="left" w:pos="2710"/>
        </w:tabs>
        <w:ind w:left="2710" w:hanging="1450"/>
      </w:pPr>
      <w:rPr>
        <w:rFonts w:hint="default"/>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abstractNum w:abstractNumId="68">
    <w:nsid w:val="7BD14A60"/>
    <w:multiLevelType w:val="multilevel"/>
    <w:tmpl w:val="7BD14A60"/>
    <w:lvl w:ilvl="0" w:tentative="0">
      <w:start w:val="1"/>
      <w:numFmt w:val="chineseCountingThousand"/>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69">
    <w:nsid w:val="7F095B95"/>
    <w:multiLevelType w:val="multilevel"/>
    <w:tmpl w:val="7F095B95"/>
    <w:lvl w:ilvl="0" w:tentative="0">
      <w:start w:val="1"/>
      <w:numFmt w:val="decimalEnclosedCircle"/>
      <w:lvlText w:val="%1"/>
      <w:lvlJc w:val="left"/>
      <w:pPr>
        <w:ind w:left="465" w:hanging="360"/>
      </w:pPr>
    </w:lvl>
    <w:lvl w:ilvl="1" w:tentative="0">
      <w:start w:val="1"/>
      <w:numFmt w:val="lowerLetter"/>
      <w:lvlText w:val="%2)"/>
      <w:lvlJc w:val="left"/>
      <w:pPr>
        <w:ind w:left="945" w:hanging="420"/>
      </w:pPr>
    </w:lvl>
    <w:lvl w:ilvl="2" w:tentative="0">
      <w:start w:val="1"/>
      <w:numFmt w:val="lowerRoman"/>
      <w:lvlText w:val="%3."/>
      <w:lvlJc w:val="right"/>
      <w:pPr>
        <w:ind w:left="1365" w:hanging="420"/>
      </w:pPr>
    </w:lvl>
    <w:lvl w:ilvl="3" w:tentative="0">
      <w:start w:val="1"/>
      <w:numFmt w:val="decimal"/>
      <w:lvlText w:val="%4."/>
      <w:lvlJc w:val="left"/>
      <w:pPr>
        <w:ind w:left="1785" w:hanging="420"/>
      </w:pPr>
    </w:lvl>
    <w:lvl w:ilvl="4" w:tentative="0">
      <w:start w:val="1"/>
      <w:numFmt w:val="lowerLetter"/>
      <w:lvlText w:val="%5)"/>
      <w:lvlJc w:val="left"/>
      <w:pPr>
        <w:ind w:left="2205" w:hanging="420"/>
      </w:pPr>
    </w:lvl>
    <w:lvl w:ilvl="5" w:tentative="0">
      <w:start w:val="1"/>
      <w:numFmt w:val="lowerRoman"/>
      <w:lvlText w:val="%6."/>
      <w:lvlJc w:val="right"/>
      <w:pPr>
        <w:ind w:left="2625" w:hanging="420"/>
      </w:pPr>
    </w:lvl>
    <w:lvl w:ilvl="6" w:tentative="0">
      <w:start w:val="1"/>
      <w:numFmt w:val="decimal"/>
      <w:lvlText w:val="%7."/>
      <w:lvlJc w:val="left"/>
      <w:pPr>
        <w:ind w:left="3045" w:hanging="420"/>
      </w:pPr>
    </w:lvl>
    <w:lvl w:ilvl="7" w:tentative="0">
      <w:start w:val="1"/>
      <w:numFmt w:val="lowerLetter"/>
      <w:lvlText w:val="%8)"/>
      <w:lvlJc w:val="left"/>
      <w:pPr>
        <w:ind w:left="3465" w:hanging="420"/>
      </w:pPr>
    </w:lvl>
    <w:lvl w:ilvl="8" w:tentative="0">
      <w:start w:val="1"/>
      <w:numFmt w:val="lowerRoman"/>
      <w:lvlText w:val="%9."/>
      <w:lvlJc w:val="right"/>
      <w:pPr>
        <w:ind w:left="3885" w:hanging="420"/>
      </w:pPr>
    </w:lvl>
  </w:abstractNum>
  <w:num w:numId="1">
    <w:abstractNumId w:val="20"/>
  </w:num>
  <w:num w:numId="2">
    <w:abstractNumId w:val="6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2"/>
  </w:num>
  <w:num w:numId="6">
    <w:abstractNumId w:val="23"/>
    <w:lvlOverride w:ilvl="1">
      <w:startOverride w:val="1"/>
    </w:lvlOverride>
    <w:lvlOverride w:ilvl="2">
      <w:startOverride w:val="1"/>
    </w:lvlOverride>
    <w:lvlOverride w:ilvl="3">
      <w:startOverride w:val="6"/>
    </w:lvlOverride>
  </w:num>
  <w:num w:numId="7">
    <w:abstractNumId w:val="54"/>
    <w:lvlOverride w:ilvl="0">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3"/>
  </w:num>
  <w:num w:numId="9">
    <w:abstractNumId w:val="29"/>
  </w:num>
  <w:num w:numId="10">
    <w:abstractNumId w:val="40"/>
  </w:num>
  <w:num w:numId="11">
    <w:abstractNumId w:val="39"/>
  </w:num>
  <w:num w:numId="12">
    <w:abstractNumId w:val="12"/>
  </w:num>
  <w:num w:numId="13">
    <w:abstractNumId w:val="59"/>
  </w:num>
  <w:num w:numId="14">
    <w:abstractNumId w:val="27"/>
  </w:num>
  <w:num w:numId="15">
    <w:abstractNumId w:val="2"/>
  </w:num>
  <w:num w:numId="16">
    <w:abstractNumId w:val="3"/>
  </w:num>
  <w:num w:numId="17">
    <w:abstractNumId w:val="4"/>
  </w:num>
  <w:num w:numId="18">
    <w:abstractNumId w:val="36"/>
  </w:num>
  <w:num w:numId="19">
    <w:abstractNumId w:val="62"/>
  </w:num>
  <w:num w:numId="20">
    <w:abstractNumId w:val="22"/>
  </w:num>
  <w:num w:numId="21">
    <w:abstractNumId w:val="35"/>
  </w:num>
  <w:num w:numId="22">
    <w:abstractNumId w:val="63"/>
  </w:num>
  <w:num w:numId="23">
    <w:abstractNumId w:val="14"/>
  </w:num>
  <w:num w:numId="24">
    <w:abstractNumId w:val="6"/>
  </w:num>
  <w:num w:numId="25">
    <w:abstractNumId w:val="48"/>
  </w:num>
  <w:num w:numId="26">
    <w:abstractNumId w:val="30"/>
  </w:num>
  <w:num w:numId="27">
    <w:abstractNumId w:val="56"/>
  </w:num>
  <w:num w:numId="28">
    <w:abstractNumId w:val="60"/>
  </w:num>
  <w:num w:numId="29">
    <w:abstractNumId w:val="57"/>
  </w:num>
  <w:num w:numId="30">
    <w:abstractNumId w:val="7"/>
  </w:num>
  <w:num w:numId="31">
    <w:abstractNumId w:val="65"/>
  </w:num>
  <w:num w:numId="32">
    <w:abstractNumId w:val="44"/>
  </w:num>
  <w:num w:numId="33">
    <w:abstractNumId w:val="1"/>
  </w:num>
  <w:num w:numId="34">
    <w:abstractNumId w:val="31"/>
  </w:num>
  <w:num w:numId="35">
    <w:abstractNumId w:val="0"/>
  </w:num>
  <w:num w:numId="36">
    <w:abstractNumId w:val="5"/>
  </w:num>
  <w:num w:numId="37">
    <w:abstractNumId w:val="15"/>
  </w:num>
  <w:num w:numId="38">
    <w:abstractNumId w:val="13"/>
  </w:num>
  <w:num w:numId="39">
    <w:abstractNumId w:val="50"/>
  </w:num>
  <w:num w:numId="40">
    <w:abstractNumId w:val="42"/>
  </w:num>
  <w:num w:numId="41">
    <w:abstractNumId w:val="8"/>
  </w:num>
  <w:num w:numId="42">
    <w:abstractNumId w:val="37"/>
  </w:num>
  <w:num w:numId="43">
    <w:abstractNumId w:val="67"/>
  </w:num>
  <w:num w:numId="44">
    <w:abstractNumId w:val="51"/>
  </w:num>
  <w:num w:numId="45">
    <w:abstractNumId w:val="64"/>
  </w:num>
  <w:num w:numId="46">
    <w:abstractNumId w:val="45"/>
  </w:num>
  <w:num w:numId="47">
    <w:abstractNumId w:val="24"/>
  </w:num>
  <w:num w:numId="48">
    <w:abstractNumId w:val="9"/>
  </w:num>
  <w:num w:numId="49">
    <w:abstractNumId w:val="58"/>
  </w:num>
  <w:num w:numId="50">
    <w:abstractNumId w:val="18"/>
  </w:num>
  <w:num w:numId="51">
    <w:abstractNumId w:val="11"/>
  </w:num>
  <w:num w:numId="52">
    <w:abstractNumId w:val="17"/>
  </w:num>
  <w:num w:numId="53">
    <w:abstractNumId w:val="10"/>
  </w:num>
  <w:num w:numId="54">
    <w:abstractNumId w:val="38"/>
  </w:num>
  <w:num w:numId="55">
    <w:abstractNumId w:val="52"/>
  </w:num>
  <w:num w:numId="56">
    <w:abstractNumId w:val="53"/>
  </w:num>
  <w:num w:numId="57">
    <w:abstractNumId w:val="16"/>
  </w:num>
  <w:num w:numId="58">
    <w:abstractNumId w:val="41"/>
  </w:num>
  <w:num w:numId="59">
    <w:abstractNumId w:val="25"/>
  </w:num>
  <w:num w:numId="60">
    <w:abstractNumId w:val="19"/>
  </w:num>
  <w:num w:numId="61">
    <w:abstractNumId w:val="34"/>
  </w:num>
  <w:num w:numId="62">
    <w:abstractNumId w:val="43"/>
  </w:num>
  <w:num w:numId="63">
    <w:abstractNumId w:val="28"/>
  </w:num>
  <w:num w:numId="64">
    <w:abstractNumId w:val="26"/>
  </w:num>
  <w:num w:numId="65">
    <w:abstractNumId w:val="68"/>
  </w:num>
  <w:num w:numId="66">
    <w:abstractNumId w:val="55"/>
  </w:num>
  <w:num w:numId="67">
    <w:abstractNumId w:val="21"/>
  </w:num>
  <w:num w:numId="68">
    <w:abstractNumId w:val="46"/>
  </w:num>
  <w:num w:numId="69">
    <w:abstractNumId w:val="6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0">
    <w:abstractNumId w:val="6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B5444"/>
    <w:rsid w:val="0004417C"/>
    <w:rsid w:val="00066FDD"/>
    <w:rsid w:val="0009303E"/>
    <w:rsid w:val="0011428D"/>
    <w:rsid w:val="00115232"/>
    <w:rsid w:val="001A3588"/>
    <w:rsid w:val="0020744B"/>
    <w:rsid w:val="002649FF"/>
    <w:rsid w:val="00297A68"/>
    <w:rsid w:val="00325C64"/>
    <w:rsid w:val="003935E4"/>
    <w:rsid w:val="003A4718"/>
    <w:rsid w:val="003B60E3"/>
    <w:rsid w:val="0044025D"/>
    <w:rsid w:val="004A48F2"/>
    <w:rsid w:val="004B3A05"/>
    <w:rsid w:val="004B7CA7"/>
    <w:rsid w:val="004C0045"/>
    <w:rsid w:val="0061365A"/>
    <w:rsid w:val="006457C6"/>
    <w:rsid w:val="0067771D"/>
    <w:rsid w:val="006B58E2"/>
    <w:rsid w:val="00750007"/>
    <w:rsid w:val="007A388E"/>
    <w:rsid w:val="007A67AD"/>
    <w:rsid w:val="007E2A5D"/>
    <w:rsid w:val="008103AD"/>
    <w:rsid w:val="00832D17"/>
    <w:rsid w:val="00876AED"/>
    <w:rsid w:val="00877AB2"/>
    <w:rsid w:val="008A2120"/>
    <w:rsid w:val="008B5444"/>
    <w:rsid w:val="008F4FCB"/>
    <w:rsid w:val="0094150C"/>
    <w:rsid w:val="00941A5B"/>
    <w:rsid w:val="009672DA"/>
    <w:rsid w:val="009A3AFB"/>
    <w:rsid w:val="009A4F5C"/>
    <w:rsid w:val="009D5992"/>
    <w:rsid w:val="009F711B"/>
    <w:rsid w:val="00A220C1"/>
    <w:rsid w:val="00A411A4"/>
    <w:rsid w:val="00A63B7B"/>
    <w:rsid w:val="00AB0455"/>
    <w:rsid w:val="00B30AF0"/>
    <w:rsid w:val="00B73B92"/>
    <w:rsid w:val="00BB3944"/>
    <w:rsid w:val="00C07264"/>
    <w:rsid w:val="00C369A0"/>
    <w:rsid w:val="00CD2462"/>
    <w:rsid w:val="00CD4A0B"/>
    <w:rsid w:val="00D27A8C"/>
    <w:rsid w:val="00D97EE1"/>
    <w:rsid w:val="00DA24A5"/>
    <w:rsid w:val="00DF6093"/>
    <w:rsid w:val="00E37F36"/>
    <w:rsid w:val="00F447BE"/>
    <w:rsid w:val="00FC5FBA"/>
    <w:rsid w:val="00FF7DBC"/>
    <w:rsid w:val="03220DDB"/>
    <w:rsid w:val="076744B5"/>
    <w:rsid w:val="0FFF41CB"/>
    <w:rsid w:val="16FD1EC9"/>
    <w:rsid w:val="17BFCA4F"/>
    <w:rsid w:val="19FFCEDC"/>
    <w:rsid w:val="1EEF7857"/>
    <w:rsid w:val="1FBBED5A"/>
    <w:rsid w:val="1FCFBB2E"/>
    <w:rsid w:val="2D5DC7FB"/>
    <w:rsid w:val="2D5EA94C"/>
    <w:rsid w:val="2E4FB8D8"/>
    <w:rsid w:val="30AA24B5"/>
    <w:rsid w:val="32D54F92"/>
    <w:rsid w:val="381518C2"/>
    <w:rsid w:val="3CCBEFEA"/>
    <w:rsid w:val="3DD3AE1A"/>
    <w:rsid w:val="3FAF17B8"/>
    <w:rsid w:val="3FBE82B9"/>
    <w:rsid w:val="3FE5EED0"/>
    <w:rsid w:val="3FFE0183"/>
    <w:rsid w:val="42EF6ADE"/>
    <w:rsid w:val="45E15A83"/>
    <w:rsid w:val="4CFF7EC4"/>
    <w:rsid w:val="4EFBCF0D"/>
    <w:rsid w:val="4F897D0A"/>
    <w:rsid w:val="556C30EE"/>
    <w:rsid w:val="5769D4D4"/>
    <w:rsid w:val="577F9A6D"/>
    <w:rsid w:val="57B562B3"/>
    <w:rsid w:val="594C4307"/>
    <w:rsid w:val="59CB92F8"/>
    <w:rsid w:val="5A9F2D7C"/>
    <w:rsid w:val="5BFB503B"/>
    <w:rsid w:val="5CFE22FE"/>
    <w:rsid w:val="5CFFF660"/>
    <w:rsid w:val="5DBF01B2"/>
    <w:rsid w:val="5DD6471E"/>
    <w:rsid w:val="5DDF93D3"/>
    <w:rsid w:val="5F6DBEEF"/>
    <w:rsid w:val="5F7598F9"/>
    <w:rsid w:val="5FFD2917"/>
    <w:rsid w:val="65E3AA67"/>
    <w:rsid w:val="67CCE52C"/>
    <w:rsid w:val="67F60795"/>
    <w:rsid w:val="6BFF45A4"/>
    <w:rsid w:val="6D3F855B"/>
    <w:rsid w:val="6E5ABE6D"/>
    <w:rsid w:val="6EFF22E8"/>
    <w:rsid w:val="6FB6F90E"/>
    <w:rsid w:val="6FC4EB6A"/>
    <w:rsid w:val="6FEB1E84"/>
    <w:rsid w:val="6FEDB5B5"/>
    <w:rsid w:val="6FF6710A"/>
    <w:rsid w:val="6FF7C446"/>
    <w:rsid w:val="6FFD5A75"/>
    <w:rsid w:val="6FFF5DD5"/>
    <w:rsid w:val="6FFF88E1"/>
    <w:rsid w:val="727DAA7E"/>
    <w:rsid w:val="72DB0E34"/>
    <w:rsid w:val="73AE26CA"/>
    <w:rsid w:val="73BED27F"/>
    <w:rsid w:val="73FDAB3A"/>
    <w:rsid w:val="76EF9A53"/>
    <w:rsid w:val="773D7C4D"/>
    <w:rsid w:val="778F77D1"/>
    <w:rsid w:val="77DB1EF9"/>
    <w:rsid w:val="77DF53D0"/>
    <w:rsid w:val="77F72A7E"/>
    <w:rsid w:val="77F74443"/>
    <w:rsid w:val="77FB037F"/>
    <w:rsid w:val="7AED8A35"/>
    <w:rsid w:val="7B72CC28"/>
    <w:rsid w:val="7C7D441F"/>
    <w:rsid w:val="7CF7AFC6"/>
    <w:rsid w:val="7DBD73AB"/>
    <w:rsid w:val="7DFB3EF9"/>
    <w:rsid w:val="7DFBEEBD"/>
    <w:rsid w:val="7DFD31CD"/>
    <w:rsid w:val="7DFFB879"/>
    <w:rsid w:val="7E3B6B9E"/>
    <w:rsid w:val="7E9B5D4C"/>
    <w:rsid w:val="7F3B2EB0"/>
    <w:rsid w:val="7FBA75E6"/>
    <w:rsid w:val="7FCBFA9A"/>
    <w:rsid w:val="7FCFA969"/>
    <w:rsid w:val="7FD18E34"/>
    <w:rsid w:val="7FDDC10E"/>
    <w:rsid w:val="7FE727B0"/>
    <w:rsid w:val="7FEE9C6D"/>
    <w:rsid w:val="7FEEA065"/>
    <w:rsid w:val="7FEF4BF0"/>
    <w:rsid w:val="7FF78893"/>
    <w:rsid w:val="7FF7BCE0"/>
    <w:rsid w:val="7FFA3A39"/>
    <w:rsid w:val="7FFD40B9"/>
    <w:rsid w:val="7FFE6297"/>
    <w:rsid w:val="7FFE69A7"/>
    <w:rsid w:val="8FDAE134"/>
    <w:rsid w:val="98FB3ADC"/>
    <w:rsid w:val="9BD7B098"/>
    <w:rsid w:val="9DEFB4E1"/>
    <w:rsid w:val="A57D6725"/>
    <w:rsid w:val="A7FE47E5"/>
    <w:rsid w:val="AE8994DA"/>
    <w:rsid w:val="AF6F1948"/>
    <w:rsid w:val="B0EE073F"/>
    <w:rsid w:val="B76670A5"/>
    <w:rsid w:val="B7F43195"/>
    <w:rsid w:val="BADE7026"/>
    <w:rsid w:val="BB7F57FE"/>
    <w:rsid w:val="BBCE9ABC"/>
    <w:rsid w:val="BBFF00F7"/>
    <w:rsid w:val="BDB4FE84"/>
    <w:rsid w:val="BDD7813A"/>
    <w:rsid w:val="BE7F5A60"/>
    <w:rsid w:val="BEEFE77E"/>
    <w:rsid w:val="BF5F7877"/>
    <w:rsid w:val="BFD671DD"/>
    <w:rsid w:val="BFEE0F33"/>
    <w:rsid w:val="BFF712BC"/>
    <w:rsid w:val="BFFB5151"/>
    <w:rsid w:val="BFFF3FCD"/>
    <w:rsid w:val="C79FEDFE"/>
    <w:rsid w:val="C7FD8631"/>
    <w:rsid w:val="CFAFC989"/>
    <w:rsid w:val="D2AC7AAA"/>
    <w:rsid w:val="D373F34B"/>
    <w:rsid w:val="D3CF63EC"/>
    <w:rsid w:val="D77F452D"/>
    <w:rsid w:val="D7B3BFFD"/>
    <w:rsid w:val="D7F75932"/>
    <w:rsid w:val="D8DB736C"/>
    <w:rsid w:val="D9D55A1E"/>
    <w:rsid w:val="DDC9C97A"/>
    <w:rsid w:val="DDCBAA1E"/>
    <w:rsid w:val="DEDF7E19"/>
    <w:rsid w:val="DFBFBFD3"/>
    <w:rsid w:val="DFBFC729"/>
    <w:rsid w:val="DFFFA7A2"/>
    <w:rsid w:val="E3FF319F"/>
    <w:rsid w:val="E55661C1"/>
    <w:rsid w:val="E7F5B71C"/>
    <w:rsid w:val="E7FD3537"/>
    <w:rsid w:val="E9AFD7CA"/>
    <w:rsid w:val="EBBED387"/>
    <w:rsid w:val="EBED1AB4"/>
    <w:rsid w:val="EBFFA705"/>
    <w:rsid w:val="EEB6F25F"/>
    <w:rsid w:val="EED7B076"/>
    <w:rsid w:val="EEFF717E"/>
    <w:rsid w:val="EF3DDA24"/>
    <w:rsid w:val="EF52A0D4"/>
    <w:rsid w:val="EF778980"/>
    <w:rsid w:val="EFBDEB3D"/>
    <w:rsid w:val="EFFF994D"/>
    <w:rsid w:val="F4FF1889"/>
    <w:rsid w:val="F4FFC240"/>
    <w:rsid w:val="F574E7EF"/>
    <w:rsid w:val="F57E2A1D"/>
    <w:rsid w:val="F5FE980A"/>
    <w:rsid w:val="F6EAB7DF"/>
    <w:rsid w:val="F6FB822B"/>
    <w:rsid w:val="F776B477"/>
    <w:rsid w:val="F797973F"/>
    <w:rsid w:val="F7F73156"/>
    <w:rsid w:val="F8F6BE24"/>
    <w:rsid w:val="F93F528C"/>
    <w:rsid w:val="F95F8FB0"/>
    <w:rsid w:val="F9BD5277"/>
    <w:rsid w:val="F9BF16B1"/>
    <w:rsid w:val="F9FDF603"/>
    <w:rsid w:val="F9FF0AAB"/>
    <w:rsid w:val="FA7981D6"/>
    <w:rsid w:val="FA7B4482"/>
    <w:rsid w:val="FB3BE42A"/>
    <w:rsid w:val="FB7A966A"/>
    <w:rsid w:val="FBB7EE39"/>
    <w:rsid w:val="FCAAA4BA"/>
    <w:rsid w:val="FCD6365C"/>
    <w:rsid w:val="FCFB5571"/>
    <w:rsid w:val="FDB7ECF1"/>
    <w:rsid w:val="FDE21319"/>
    <w:rsid w:val="FDFFF7A0"/>
    <w:rsid w:val="FE6ECF26"/>
    <w:rsid w:val="FE7F4997"/>
    <w:rsid w:val="FE9FDFD8"/>
    <w:rsid w:val="FEBF4812"/>
    <w:rsid w:val="FEDE2545"/>
    <w:rsid w:val="FEFF2C69"/>
    <w:rsid w:val="FF7BC5C3"/>
    <w:rsid w:val="FF7F1B0D"/>
    <w:rsid w:val="FFA13F24"/>
    <w:rsid w:val="FFABBB63"/>
    <w:rsid w:val="FFAF65C3"/>
    <w:rsid w:val="FFB70DEF"/>
    <w:rsid w:val="FFD7DE8F"/>
    <w:rsid w:val="FFDF8845"/>
    <w:rsid w:val="FFFF0C0D"/>
    <w:rsid w:val="FFFF320D"/>
    <w:rsid w:val="FFFFDC6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nhideWhenUsed="0" w:uiPriority="99" w:semiHidden="0" w:name="annotation text"/>
    <w:lsdException w:qFormat="1" w:unhideWhenUsed="0" w:uiPriority="0" w:semiHidden="0"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nhideWhenUsed="0" w:uiPriority="99"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1"/>
    <w:basedOn w:val="1"/>
    <w:next w:val="1"/>
    <w:link w:val="20"/>
    <w:qFormat/>
    <w:uiPriority w:val="0"/>
    <w:pPr>
      <w:keepNext/>
      <w:keepLines/>
      <w:spacing w:before="340" w:after="330" w:line="578" w:lineRule="auto"/>
      <w:outlineLvl w:val="0"/>
    </w:pPr>
    <w:rPr>
      <w:b/>
      <w:bCs/>
      <w:kern w:val="44"/>
      <w:sz w:val="44"/>
      <w:szCs w:val="44"/>
    </w:rPr>
  </w:style>
  <w:style w:type="paragraph" w:styleId="3">
    <w:name w:val="heading 2"/>
    <w:basedOn w:val="1"/>
    <w:next w:val="1"/>
    <w:link w:val="21"/>
    <w:qFormat/>
    <w:uiPriority w:val="0"/>
    <w:pPr>
      <w:keepNext/>
      <w:keepLines/>
      <w:spacing w:before="260" w:after="260" w:line="416" w:lineRule="auto"/>
      <w:outlineLvl w:val="1"/>
    </w:pPr>
    <w:rPr>
      <w:rFonts w:ascii="Calibri Light" w:hAnsi="Calibri Light"/>
      <w:b/>
      <w:bCs/>
      <w:sz w:val="32"/>
      <w:szCs w:val="32"/>
    </w:rPr>
  </w:style>
  <w:style w:type="paragraph" w:styleId="4">
    <w:name w:val="heading 3"/>
    <w:basedOn w:val="1"/>
    <w:next w:val="1"/>
    <w:link w:val="22"/>
    <w:qFormat/>
    <w:uiPriority w:val="0"/>
    <w:pPr>
      <w:keepNext/>
      <w:keepLines/>
      <w:spacing w:before="260" w:after="260" w:line="416" w:lineRule="auto"/>
      <w:outlineLvl w:val="2"/>
    </w:pPr>
    <w:rPr>
      <w:b/>
      <w:bCs/>
      <w:sz w:val="32"/>
      <w:szCs w:val="32"/>
    </w:rPr>
  </w:style>
  <w:style w:type="paragraph" w:styleId="5">
    <w:name w:val="heading 4"/>
    <w:basedOn w:val="1"/>
    <w:next w:val="1"/>
    <w:link w:val="23"/>
    <w:qFormat/>
    <w:uiPriority w:val="0"/>
    <w:pPr>
      <w:keepNext/>
      <w:keepLines/>
      <w:spacing w:before="280" w:after="290" w:line="376" w:lineRule="auto"/>
      <w:outlineLvl w:val="3"/>
    </w:pPr>
    <w:rPr>
      <w:rFonts w:ascii="Cambria" w:hAnsi="Cambria"/>
      <w:b/>
      <w:bCs/>
      <w:sz w:val="28"/>
      <w:szCs w:val="28"/>
    </w:rPr>
  </w:style>
  <w:style w:type="character" w:default="1" w:styleId="17">
    <w:name w:val="Default Paragraph Font"/>
    <w:semiHidden/>
    <w:unhideWhenUsed/>
    <w:qFormat/>
    <w:uiPriority w:val="1"/>
  </w:style>
  <w:style w:type="table" w:default="1" w:styleId="15">
    <w:name w:val="Normal Table"/>
    <w:semiHidden/>
    <w:unhideWhenUsed/>
    <w:qFormat/>
    <w:uiPriority w:val="99"/>
    <w:tblPr>
      <w:tblCellMar>
        <w:top w:w="0" w:type="dxa"/>
        <w:left w:w="108" w:type="dxa"/>
        <w:bottom w:w="0" w:type="dxa"/>
        <w:right w:w="108" w:type="dxa"/>
      </w:tblCellMar>
    </w:tblPr>
  </w:style>
  <w:style w:type="paragraph" w:styleId="6">
    <w:name w:val="annotation text"/>
    <w:basedOn w:val="1"/>
    <w:link w:val="24"/>
    <w:qFormat/>
    <w:uiPriority w:val="99"/>
    <w:pPr>
      <w:jc w:val="left"/>
    </w:pPr>
  </w:style>
  <w:style w:type="paragraph" w:styleId="7">
    <w:name w:val="toc 3"/>
    <w:basedOn w:val="1"/>
    <w:next w:val="1"/>
    <w:unhideWhenUsed/>
    <w:qFormat/>
    <w:uiPriority w:val="39"/>
    <w:pPr>
      <w:ind w:left="840" w:leftChars="400"/>
    </w:pPr>
  </w:style>
  <w:style w:type="paragraph" w:styleId="8">
    <w:name w:val="Balloon Text"/>
    <w:basedOn w:val="1"/>
    <w:link w:val="25"/>
    <w:qFormat/>
    <w:uiPriority w:val="0"/>
    <w:rPr>
      <w:sz w:val="18"/>
      <w:szCs w:val="18"/>
    </w:rPr>
  </w:style>
  <w:style w:type="paragraph" w:styleId="9">
    <w:name w:val="footer"/>
    <w:basedOn w:val="1"/>
    <w:link w:val="26"/>
    <w:qFormat/>
    <w:uiPriority w:val="99"/>
    <w:pPr>
      <w:tabs>
        <w:tab w:val="center" w:pos="4153"/>
        <w:tab w:val="right" w:pos="8306"/>
      </w:tabs>
      <w:snapToGrid w:val="0"/>
      <w:jc w:val="left"/>
    </w:pPr>
    <w:rPr>
      <w:sz w:val="18"/>
      <w:szCs w:val="18"/>
    </w:rPr>
  </w:style>
  <w:style w:type="paragraph" w:styleId="10">
    <w:name w:val="header"/>
    <w:basedOn w:val="1"/>
    <w:link w:val="27"/>
    <w:qFormat/>
    <w:uiPriority w:val="0"/>
    <w:pPr>
      <w:pBdr>
        <w:bottom w:val="single" w:color="auto" w:sz="6" w:space="1"/>
      </w:pBdr>
      <w:tabs>
        <w:tab w:val="center" w:pos="4153"/>
        <w:tab w:val="right" w:pos="8306"/>
      </w:tabs>
      <w:snapToGrid w:val="0"/>
      <w:jc w:val="center"/>
    </w:pPr>
    <w:rPr>
      <w:sz w:val="18"/>
      <w:szCs w:val="18"/>
    </w:rPr>
  </w:style>
  <w:style w:type="paragraph" w:styleId="11">
    <w:name w:val="toc 1"/>
    <w:basedOn w:val="1"/>
    <w:next w:val="1"/>
    <w:unhideWhenUsed/>
    <w:qFormat/>
    <w:uiPriority w:val="39"/>
  </w:style>
  <w:style w:type="paragraph" w:styleId="12">
    <w:name w:val="toc 2"/>
    <w:basedOn w:val="1"/>
    <w:next w:val="1"/>
    <w:unhideWhenUsed/>
    <w:qFormat/>
    <w:uiPriority w:val="39"/>
    <w:pPr>
      <w:ind w:left="420" w:leftChars="200"/>
    </w:pPr>
  </w:style>
  <w:style w:type="paragraph" w:styleId="13">
    <w:name w:val="Normal (Web)"/>
    <w:basedOn w:val="1"/>
    <w:qFormat/>
    <w:uiPriority w:val="99"/>
    <w:pPr>
      <w:widowControl/>
      <w:spacing w:before="100" w:beforeAutospacing="1" w:after="100" w:afterAutospacing="1"/>
      <w:jc w:val="left"/>
    </w:pPr>
    <w:rPr>
      <w:rFonts w:ascii="宋体" w:hAnsi="宋体" w:cs="宋体"/>
      <w:color w:val="000000"/>
      <w:kern w:val="0"/>
      <w:sz w:val="24"/>
      <w:szCs w:val="24"/>
    </w:rPr>
  </w:style>
  <w:style w:type="paragraph" w:styleId="14">
    <w:name w:val="annotation subject"/>
    <w:basedOn w:val="6"/>
    <w:next w:val="6"/>
    <w:link w:val="28"/>
    <w:qFormat/>
    <w:uiPriority w:val="0"/>
    <w:rPr>
      <w:b/>
      <w:bCs/>
    </w:rPr>
  </w:style>
  <w:style w:type="table" w:styleId="16">
    <w:name w:val="Table Grid"/>
    <w:basedOn w:val="15"/>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8">
    <w:name w:val="Hyperlink"/>
    <w:basedOn w:val="17"/>
    <w:unhideWhenUsed/>
    <w:qFormat/>
    <w:uiPriority w:val="99"/>
    <w:rPr>
      <w:color w:val="0563C1"/>
      <w:u w:val="single"/>
    </w:rPr>
  </w:style>
  <w:style w:type="character" w:styleId="19">
    <w:name w:val="annotation reference"/>
    <w:basedOn w:val="17"/>
    <w:qFormat/>
    <w:uiPriority w:val="99"/>
    <w:rPr>
      <w:sz w:val="21"/>
      <w:szCs w:val="21"/>
    </w:rPr>
  </w:style>
  <w:style w:type="character" w:customStyle="1" w:styleId="20">
    <w:name w:val="标题 1 字符"/>
    <w:basedOn w:val="17"/>
    <w:link w:val="2"/>
    <w:qFormat/>
    <w:uiPriority w:val="0"/>
    <w:rPr>
      <w:rFonts w:ascii="Calibri" w:hAnsi="Calibri" w:eastAsia="宋体" w:cs="Times New Roman"/>
      <w:b/>
      <w:bCs/>
      <w:kern w:val="44"/>
      <w:sz w:val="44"/>
      <w:szCs w:val="44"/>
    </w:rPr>
  </w:style>
  <w:style w:type="character" w:customStyle="1" w:styleId="21">
    <w:name w:val="标题 2 字符"/>
    <w:basedOn w:val="17"/>
    <w:link w:val="3"/>
    <w:qFormat/>
    <w:uiPriority w:val="0"/>
    <w:rPr>
      <w:rFonts w:ascii="Calibri Light" w:hAnsi="Calibri Light" w:eastAsia="宋体" w:cs="Times New Roman"/>
      <w:b/>
      <w:bCs/>
      <w:sz w:val="32"/>
      <w:szCs w:val="32"/>
    </w:rPr>
  </w:style>
  <w:style w:type="character" w:customStyle="1" w:styleId="22">
    <w:name w:val="标题 3 字符"/>
    <w:basedOn w:val="17"/>
    <w:link w:val="4"/>
    <w:qFormat/>
    <w:uiPriority w:val="0"/>
    <w:rPr>
      <w:rFonts w:ascii="Calibri" w:hAnsi="Calibri" w:eastAsia="宋体" w:cs="Times New Roman"/>
      <w:b/>
      <w:bCs/>
      <w:sz w:val="32"/>
      <w:szCs w:val="32"/>
    </w:rPr>
  </w:style>
  <w:style w:type="character" w:customStyle="1" w:styleId="23">
    <w:name w:val="标题 4 字符"/>
    <w:basedOn w:val="17"/>
    <w:link w:val="5"/>
    <w:qFormat/>
    <w:uiPriority w:val="0"/>
    <w:rPr>
      <w:rFonts w:ascii="Cambria" w:hAnsi="Cambria" w:eastAsia="宋体" w:cs="Times New Roman"/>
      <w:b/>
      <w:bCs/>
      <w:sz w:val="28"/>
      <w:szCs w:val="28"/>
    </w:rPr>
  </w:style>
  <w:style w:type="character" w:customStyle="1" w:styleId="24">
    <w:name w:val="批注文字 字符"/>
    <w:basedOn w:val="17"/>
    <w:link w:val="6"/>
    <w:qFormat/>
    <w:uiPriority w:val="99"/>
    <w:rPr>
      <w:rFonts w:ascii="Calibri" w:hAnsi="Calibri" w:eastAsia="宋体" w:cs="Times New Roman"/>
    </w:rPr>
  </w:style>
  <w:style w:type="character" w:customStyle="1" w:styleId="25">
    <w:name w:val="批注框文本 字符"/>
    <w:basedOn w:val="17"/>
    <w:link w:val="8"/>
    <w:qFormat/>
    <w:uiPriority w:val="0"/>
    <w:rPr>
      <w:rFonts w:ascii="Calibri" w:hAnsi="Calibri" w:eastAsia="宋体" w:cs="Times New Roman"/>
      <w:sz w:val="18"/>
      <w:szCs w:val="18"/>
    </w:rPr>
  </w:style>
  <w:style w:type="character" w:customStyle="1" w:styleId="26">
    <w:name w:val="页脚 字符"/>
    <w:basedOn w:val="17"/>
    <w:link w:val="9"/>
    <w:qFormat/>
    <w:uiPriority w:val="99"/>
    <w:rPr>
      <w:rFonts w:ascii="Calibri" w:hAnsi="Calibri" w:eastAsia="宋体" w:cs="Times New Roman"/>
      <w:sz w:val="18"/>
      <w:szCs w:val="18"/>
    </w:rPr>
  </w:style>
  <w:style w:type="character" w:customStyle="1" w:styleId="27">
    <w:name w:val="页眉 字符"/>
    <w:basedOn w:val="17"/>
    <w:link w:val="10"/>
    <w:qFormat/>
    <w:uiPriority w:val="0"/>
    <w:rPr>
      <w:rFonts w:ascii="Calibri" w:hAnsi="Calibri" w:eastAsia="宋体" w:cs="Times New Roman"/>
      <w:sz w:val="18"/>
      <w:szCs w:val="18"/>
    </w:rPr>
  </w:style>
  <w:style w:type="character" w:customStyle="1" w:styleId="28">
    <w:name w:val="批注主题 字符"/>
    <w:basedOn w:val="24"/>
    <w:link w:val="14"/>
    <w:qFormat/>
    <w:uiPriority w:val="0"/>
    <w:rPr>
      <w:rFonts w:ascii="Calibri" w:hAnsi="Calibri" w:eastAsia="宋体" w:cs="Times New Roman"/>
      <w:b/>
      <w:bCs/>
    </w:rPr>
  </w:style>
  <w:style w:type="character" w:customStyle="1" w:styleId="29">
    <w:name w:val="列表段落 字符"/>
    <w:link w:val="30"/>
    <w:qFormat/>
    <w:uiPriority w:val="34"/>
  </w:style>
  <w:style w:type="paragraph" w:styleId="30">
    <w:name w:val="List Paragraph"/>
    <w:basedOn w:val="1"/>
    <w:link w:val="29"/>
    <w:qFormat/>
    <w:uiPriority w:val="34"/>
    <w:pPr>
      <w:ind w:firstLine="420" w:firstLineChars="200"/>
    </w:pPr>
    <w:rPr>
      <w:rFonts w:asciiTheme="minorHAnsi" w:hAnsiTheme="minorHAnsi" w:eastAsiaTheme="minorEastAsia" w:cstheme="minorBidi"/>
    </w:rPr>
  </w:style>
  <w:style w:type="paragraph" w:customStyle="1" w:styleId="31">
    <w:name w:val="Normal0"/>
    <w:qFormat/>
    <w:uiPriority w:val="0"/>
    <w:rPr>
      <w:rFonts w:ascii="Times New Roman" w:hAnsi="Times New Roman" w:eastAsia="宋体" w:cs="Times New Roman"/>
      <w:lang w:val="en-US" w:eastAsia="en-US" w:bidi="ar-SA"/>
    </w:rPr>
  </w:style>
  <w:style w:type="paragraph" w:customStyle="1" w:styleId="32">
    <w:name w:val="TOC 标题1"/>
    <w:basedOn w:val="2"/>
    <w:next w:val="1"/>
    <w:qFormat/>
    <w:uiPriority w:val="39"/>
    <w:pPr>
      <w:widowControl/>
      <w:spacing w:before="480" w:after="0" w:line="276" w:lineRule="auto"/>
      <w:jc w:val="left"/>
      <w:outlineLvl w:val="9"/>
    </w:pPr>
    <w:rPr>
      <w:rFonts w:ascii="Calibri Light" w:hAnsi="Calibri Light"/>
      <w:color w:val="2E74B5"/>
      <w:kern w:val="0"/>
      <w:sz w:val="28"/>
      <w:szCs w:val="28"/>
    </w:rPr>
  </w:style>
  <w:style w:type="paragraph" w:customStyle="1" w:styleId="33">
    <w:name w:val="列出段落1"/>
    <w:basedOn w:val="1"/>
    <w:semiHidden/>
    <w:qFormat/>
    <w:uiPriority w:val="0"/>
    <w:pPr>
      <w:ind w:firstLine="420" w:firstLineChars="200"/>
    </w:pPr>
    <w:rPr>
      <w:szCs w:val="21"/>
    </w:rPr>
  </w:style>
  <w:style w:type="paragraph" w:customStyle="1" w:styleId="34">
    <w:name w:val="Default"/>
    <w:qFormat/>
    <w:uiPriority w:val="0"/>
    <w:pPr>
      <w:widowControl w:val="0"/>
      <w:autoSpaceDE w:val="0"/>
      <w:autoSpaceDN w:val="0"/>
      <w:adjustRightInd w:val="0"/>
    </w:pPr>
    <w:rPr>
      <w:rFonts w:ascii="Arial" w:hAnsi="Arial" w:eastAsia="宋体" w:cs="Arial"/>
      <w:color w:val="000000"/>
      <w:sz w:val="24"/>
      <w:szCs w:val="24"/>
      <w:lang w:val="en-US" w:eastAsia="zh-CN" w:bidi="ar-SA"/>
    </w:rPr>
  </w:style>
  <w:style w:type="paragraph" w:customStyle="1" w:styleId="35">
    <w:name w:val="p0"/>
    <w:basedOn w:val="1"/>
    <w:qFormat/>
    <w:uiPriority w:val="0"/>
    <w:pPr>
      <w:widowControl/>
      <w:spacing w:before="100" w:beforeAutospacing="1" w:after="100" w:afterAutospacing="1"/>
      <w:jc w:val="left"/>
    </w:pPr>
    <w:rPr>
      <w:rFonts w:ascii="宋体" w:hAnsi="宋体" w:cs="宋体"/>
      <w:kern w:val="0"/>
      <w:sz w:val="24"/>
      <w:szCs w:val="24"/>
    </w:rPr>
  </w:style>
  <w:style w:type="paragraph" w:customStyle="1" w:styleId="36">
    <w:name w:val="修订1"/>
    <w:semiHidden/>
    <w:qFormat/>
    <w:uiPriority w:val="99"/>
    <w:rPr>
      <w:rFonts w:ascii="Calibri" w:hAnsi="Calibri" w:eastAsia="宋体" w:cs="Times New Roman"/>
      <w:kern w:val="2"/>
      <w:sz w:val="21"/>
      <w:szCs w:val="22"/>
      <w:lang w:val="en-US" w:eastAsia="zh-CN" w:bidi="ar-SA"/>
    </w:rPr>
  </w:style>
  <w:style w:type="paragraph" w:customStyle="1" w:styleId="37">
    <w:name w:val="List Paragraph1"/>
    <w:basedOn w:val="1"/>
    <w:qFormat/>
    <w:uiPriority w:val="0"/>
    <w:pPr>
      <w:ind w:firstLine="420" w:firstLineChars="200"/>
    </w:pPr>
    <w:rPr>
      <w:szCs w:val="21"/>
    </w:rPr>
  </w:style>
  <w:style w:type="paragraph" w:customStyle="1" w:styleId="38">
    <w:name w:val="修订2"/>
    <w:unhideWhenUsed/>
    <w:qFormat/>
    <w:uiPriority w:val="99"/>
    <w:rPr>
      <w:rFonts w:ascii="Calibri" w:hAnsi="Calibri" w:eastAsia="宋体" w:cs="Times New Roman"/>
      <w:kern w:val="2"/>
      <w:sz w:val="21"/>
      <w:szCs w:val="22"/>
      <w:lang w:val="en-US" w:eastAsia="zh-CN" w:bidi="ar-SA"/>
    </w:rPr>
  </w:style>
  <w:style w:type="paragraph" w:customStyle="1" w:styleId="39">
    <w:name w:val="修订3"/>
    <w:hidden/>
    <w:unhideWhenUsed/>
    <w:qFormat/>
    <w:uiPriority w:val="99"/>
    <w:rPr>
      <w:rFonts w:ascii="Calibri" w:hAnsi="Calibri" w:eastAsia="宋体" w:cs="Times New Roman"/>
      <w:kern w:val="2"/>
      <w:sz w:val="21"/>
      <w:szCs w:val="22"/>
      <w:lang w:val="en-US" w:eastAsia="zh-CN" w:bidi="ar-SA"/>
    </w:rPr>
  </w:style>
  <w:style w:type="paragraph" w:customStyle="1" w:styleId="40">
    <w:name w:val="Revision"/>
    <w:hidden/>
    <w:unhideWhenUsed/>
    <w:qFormat/>
    <w:uiPriority w:val="99"/>
    <w:rPr>
      <w:rFonts w:ascii="Calibri" w:hAnsi="Calibri" w:eastAsia="宋体" w:cs="Times New Roman"/>
      <w:kern w:val="2"/>
      <w:sz w:val="21"/>
      <w:szCs w:val="2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image" Target="media/image1.png"/><Relationship Id="rId8" Type="http://schemas.openxmlformats.org/officeDocument/2006/relationships/oleObject" Target="embeddings/oleObject1.bin"/><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61</Pages>
  <Words>21653</Words>
  <Characters>23394</Characters>
  <Lines>215</Lines>
  <Paragraphs>60</Paragraphs>
  <TotalTime>7</TotalTime>
  <ScaleCrop>false</ScaleCrop>
  <LinksUpToDate>false</LinksUpToDate>
  <CharactersWithSpaces>24813</CharactersWithSpaces>
  <Application>WPS Office_12.8.2.19313_F1E327BC-269C-435d-A152-05C5408002CA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2021-05-04T20:36:00Z</dcterms:created>
  <dc:creator>sse</dc:creator>
  <cp:lastModifiedBy>whxu</cp:lastModifiedBy>
  <dcterms:modified xsi:type="dcterms:W3CDTF">2026-04-22T16:40:40Z</dcterms:modified>
  <cp:revision>20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2052-12.8.2.19313</vt:lpwstr>
  </property>
  <property fmtid="{D5CDD505-2E9C-101B-9397-08002B2CF9AE}" pid="3" name="ICV">
    <vt:lpwstr>85AC8902F216261E24DDDD69E2D533BF_43</vt:lpwstr>
  </property>
  <property fmtid="{D5CDD505-2E9C-101B-9397-08002B2CF9AE}" pid="4" name="KSOTemplateDocerSaveRecord">
    <vt:lpwstr>eyJoZGlkIjoiN2YzNjBkOTgyNWQ1YTMxYzM3MzMwNWFiODNmOWIzYWMiLCJ1c2VySWQiOiIzMDE3OTU1NTEifQ==</vt:lpwstr>
  </property>
</Properties>
</file>