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C0B47">
      <w:pPr>
        <w:jc w:val="center"/>
        <w:rPr>
          <w:rFonts w:ascii="Times New Roman" w:hAnsi="Times New Roman" w:eastAsia="黑体"/>
          <w:b/>
          <w:bCs/>
          <w:sz w:val="36"/>
          <w:szCs w:val="36"/>
        </w:rPr>
      </w:pPr>
      <w:bookmarkStart w:id="0" w:name="_GoBack"/>
      <w:bookmarkEnd w:id="0"/>
      <w:r>
        <w:rPr>
          <w:rFonts w:ascii="Times New Roman" w:hAnsi="Times New Roman" w:eastAsia="黑体"/>
          <w:b/>
          <w:bCs/>
          <w:sz w:val="36"/>
          <w:szCs w:val="36"/>
        </w:rPr>
        <w:t>第三十</w:t>
      </w:r>
      <w:r>
        <w:rPr>
          <w:rFonts w:hint="eastAsia" w:ascii="Times New Roman" w:hAnsi="Times New Roman" w:eastAsia="黑体"/>
          <w:b/>
          <w:bCs/>
          <w:sz w:val="36"/>
          <w:szCs w:val="36"/>
        </w:rPr>
        <w:t>五</w:t>
      </w:r>
      <w:r>
        <w:rPr>
          <w:rFonts w:ascii="Times New Roman" w:hAnsi="Times New Roman" w:eastAsia="黑体"/>
          <w:b/>
          <w:bCs/>
          <w:sz w:val="36"/>
          <w:szCs w:val="36"/>
        </w:rPr>
        <w:t>号 上市公司利润分配、公积金转增</w:t>
      </w:r>
    </w:p>
    <w:p w14:paraId="00CDD7BD">
      <w:pPr>
        <w:jc w:val="center"/>
        <w:rPr>
          <w:rFonts w:ascii="Times New Roman" w:hAnsi="Times New Roman" w:eastAsia="黑体"/>
          <w:b/>
          <w:bCs/>
          <w:sz w:val="36"/>
          <w:szCs w:val="36"/>
        </w:rPr>
      </w:pPr>
      <w:r>
        <w:rPr>
          <w:rFonts w:ascii="Times New Roman" w:hAnsi="Times New Roman" w:eastAsia="黑体"/>
          <w:b/>
          <w:bCs/>
          <w:sz w:val="36"/>
          <w:szCs w:val="36"/>
        </w:rPr>
        <w:t>股本方案公告</w:t>
      </w:r>
    </w:p>
    <w:p w14:paraId="281CAC66">
      <w:pPr>
        <w:jc w:val="center"/>
        <w:rPr>
          <w:rFonts w:ascii="Times New Roman" w:hAnsi="Times New Roman" w:eastAsia="黑体"/>
          <w:b/>
          <w:bCs/>
          <w:sz w:val="36"/>
          <w:szCs w:val="36"/>
        </w:rPr>
      </w:pPr>
    </w:p>
    <w:p w14:paraId="1B94941C">
      <w:pPr>
        <w:autoSpaceDE w:val="0"/>
        <w:autoSpaceDN w:val="0"/>
        <w:adjustRightInd w:val="0"/>
        <w:snapToGrid w:val="0"/>
        <w:spacing w:line="560" w:lineRule="exact"/>
        <w:rPr>
          <w:rFonts w:ascii="Times New Roman" w:hAnsi="Times New Roman" w:eastAsia="仿宋_GB2312"/>
          <w:b/>
          <w:sz w:val="30"/>
          <w:szCs w:val="30"/>
        </w:rPr>
      </w:pPr>
      <w:r>
        <w:rPr>
          <w:rFonts w:ascii="Times New Roman" w:hAnsi="Times New Roman" w:eastAsia="仿宋_GB2312"/>
          <w:b/>
          <w:sz w:val="30"/>
          <w:szCs w:val="30"/>
        </w:rPr>
        <w:t>适用情形：</w:t>
      </w:r>
    </w:p>
    <w:p w14:paraId="52D7E91F">
      <w:pPr>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上市公司编制披露利润分配、公积金转增股本方案，包括派发现金红利、股票股利、以公积金转增股本等，适用本公告格式。上市公司年度拟不实施利润分配、公积金转增股本的，参照适用本公告格式披露相关内容。</w:t>
      </w:r>
    </w:p>
    <w:p w14:paraId="6670D4DB">
      <w:pPr>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2.上市公司董事会在审议通过利润分配、公积金转增股本方案后，原则上与相关董事会决议公告一并披露本公告。</w:t>
      </w:r>
    </w:p>
    <w:p w14:paraId="5C0FC3C2">
      <w:pPr>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3.上市公司董事会审议高送转事项的，应当适用本公告格式。单独或合计持有公司1%以上股份的股东及其一致行动人直接向股东会提出高送转议案的，参照适用本公告格式。上市公司拟披露本所规则规定的高送转方案的，应当符合相关业务规则要求。</w:t>
      </w:r>
    </w:p>
    <w:p w14:paraId="050195E2">
      <w:pPr>
        <w:spacing w:line="560" w:lineRule="exact"/>
        <w:ind w:firstLine="600" w:firstLineChars="200"/>
        <w:rPr>
          <w:rFonts w:ascii="Times New Roman" w:hAnsi="Times New Roman" w:eastAsia="仿宋_GB2312"/>
          <w:color w:val="000000"/>
          <w:sz w:val="30"/>
          <w:szCs w:val="30"/>
        </w:rPr>
      </w:pPr>
      <w:r>
        <w:rPr>
          <w:rFonts w:hint="eastAsia" w:ascii="仿宋_GB2312" w:hAnsi="仿宋_GB2312" w:eastAsia="仿宋_GB2312" w:cs="仿宋_GB2312"/>
          <w:sz w:val="30"/>
          <w:szCs w:val="30"/>
        </w:rPr>
        <w:t>4.上市公司应当综合考虑未分配利润、当期业绩等因素确定分红频次，并在具备条件的情况下增加分红频次，稳定投资者分红预期。上市公司可在年度股东会增加关于次年中期分红安排的议案，授权董事会根据具体情况制定中期分红方案，简化分红程序。上市公司拟实施中期现金分红，且不送红股、不以公积金转增股本的，半年报、季度报告可以不经审计。</w:t>
      </w:r>
    </w:p>
    <w:p w14:paraId="3287CF0E">
      <w:pPr>
        <w:adjustRightInd w:val="0"/>
        <w:snapToGrid w:val="0"/>
        <w:spacing w:line="560" w:lineRule="exact"/>
        <w:ind w:firstLine="840" w:firstLineChars="350"/>
        <w:rPr>
          <w:rFonts w:ascii="Times New Roman" w:hAnsi="Times New Roman"/>
          <w:sz w:val="24"/>
        </w:rPr>
      </w:pPr>
    </w:p>
    <w:p w14:paraId="6C077348">
      <w:pPr>
        <w:adjustRightInd w:val="0"/>
        <w:snapToGrid w:val="0"/>
        <w:spacing w:line="560" w:lineRule="exact"/>
        <w:rPr>
          <w:rFonts w:ascii="Times New Roman" w:hAnsi="Times New Roman" w:eastAsia="仿宋_GB2312"/>
          <w:sz w:val="30"/>
          <w:szCs w:val="30"/>
        </w:rPr>
      </w:pPr>
      <w:r>
        <w:rPr>
          <w:rFonts w:ascii="Times New Roman" w:hAnsi="Times New Roman" w:eastAsia="仿宋_GB2312"/>
          <w:sz w:val="30"/>
          <w:szCs w:val="30"/>
        </w:rPr>
        <w:t>证券代码：             证券简称：            公告编号：</w:t>
      </w:r>
    </w:p>
    <w:p w14:paraId="3063FF98">
      <w:pPr>
        <w:adjustRightInd w:val="0"/>
        <w:snapToGrid w:val="0"/>
        <w:spacing w:line="560" w:lineRule="exact"/>
        <w:jc w:val="center"/>
        <w:rPr>
          <w:rFonts w:ascii="Times New Roman" w:hAnsi="Times New Roman"/>
          <w:sz w:val="24"/>
        </w:rPr>
      </w:pPr>
    </w:p>
    <w:p w14:paraId="7E90F6F2">
      <w:pPr>
        <w:snapToGrid w:val="0"/>
        <w:spacing w:line="560" w:lineRule="exact"/>
        <w:jc w:val="center"/>
        <w:rPr>
          <w:rFonts w:ascii="仿宋_GB2312" w:hAnsi="Times New Roman" w:eastAsia="仿宋_GB2312"/>
          <w:color w:val="000000"/>
          <w:sz w:val="30"/>
          <w:szCs w:val="30"/>
        </w:rPr>
      </w:pPr>
      <w:r>
        <w:rPr>
          <w:rFonts w:hint="eastAsia" w:ascii="仿宋_GB2312" w:hAnsi="Times New Roman" w:eastAsia="仿宋_GB2312"/>
          <w:color w:val="000000"/>
          <w:sz w:val="30"/>
          <w:szCs w:val="30"/>
        </w:rPr>
        <w:t>XXXX股份有限公司XXXX年年度（一季度/半年度/三季度）</w:t>
      </w:r>
    </w:p>
    <w:p w14:paraId="5D1E56C5">
      <w:pPr>
        <w:snapToGrid w:val="0"/>
        <w:spacing w:line="560" w:lineRule="exact"/>
        <w:jc w:val="center"/>
        <w:rPr>
          <w:rFonts w:ascii="仿宋_GB2312" w:hAnsi="Times New Roman" w:eastAsia="仿宋_GB2312"/>
          <w:color w:val="000000"/>
          <w:sz w:val="30"/>
          <w:szCs w:val="30"/>
        </w:rPr>
      </w:pPr>
      <w:r>
        <w:rPr>
          <w:rFonts w:hint="eastAsia" w:ascii="仿宋_GB2312" w:hAnsi="Times New Roman" w:eastAsia="仿宋_GB2312"/>
          <w:color w:val="000000"/>
          <w:sz w:val="30"/>
          <w:szCs w:val="30"/>
        </w:rPr>
        <w:t>利润分配（及公积金转增股本）方案公告</w:t>
      </w:r>
    </w:p>
    <w:p w14:paraId="34DD4589">
      <w:pPr>
        <w:widowControl/>
        <w:spacing w:line="560" w:lineRule="exact"/>
        <w:ind w:firstLine="480" w:firstLineChars="200"/>
        <w:rPr>
          <w:rFonts w:ascii="Times New Roman" w:hAnsi="Times New Roman" w:eastAsia="楷体"/>
          <w:sz w:val="24"/>
        </w:rPr>
      </w:pPr>
    </w:p>
    <w:p w14:paraId="354DB7CC">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ascii="Times New Roman" w:hAnsi="Times New Roman" w:eastAsia="楷体"/>
          <w:color w:val="000000"/>
          <w:kern w:val="0"/>
          <w:sz w:val="24"/>
          <w:szCs w:val="24"/>
        </w:rPr>
        <w:t>（编制提醒：</w:t>
      </w:r>
    </w:p>
    <w:p w14:paraId="58974222">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ascii="Times New Roman" w:hAnsi="Times New Roman" w:eastAsia="楷体"/>
          <w:color w:val="000000"/>
          <w:kern w:val="0"/>
          <w:sz w:val="24"/>
          <w:szCs w:val="24"/>
        </w:rPr>
        <w:t>1.根据相关规定，为保证权益分派实施时股本的确定性，上市公司向中国结算提交权益分派申请后、实施完毕之前，不能申请实施发行证券等其他涉及股本结构变动的业务或者披露相关业务实施公告。上市公司应当做好证券发行、利润分配工作等相关安排，避免产生冲突。</w:t>
      </w:r>
    </w:p>
    <w:p w14:paraId="550521B7">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ascii="Times New Roman" w:hAnsi="Times New Roman" w:eastAsia="楷体"/>
          <w:color w:val="000000"/>
          <w:kern w:val="0"/>
          <w:sz w:val="24"/>
          <w:szCs w:val="24"/>
        </w:rPr>
        <w:t>2.上市公司拟依据半年度</w:t>
      </w:r>
      <w:r>
        <w:rPr>
          <w:rFonts w:hint="eastAsia" w:ascii="Times New Roman" w:hAnsi="Times New Roman" w:eastAsia="楷体"/>
          <w:color w:val="000000"/>
          <w:kern w:val="0"/>
          <w:sz w:val="24"/>
          <w:szCs w:val="24"/>
        </w:rPr>
        <w:t>、季度</w:t>
      </w:r>
      <w:r>
        <w:rPr>
          <w:rFonts w:ascii="Times New Roman" w:hAnsi="Times New Roman" w:eastAsia="楷体"/>
          <w:color w:val="000000"/>
          <w:kern w:val="0"/>
          <w:sz w:val="24"/>
          <w:szCs w:val="24"/>
        </w:rPr>
        <w:t>财务数据派发股票股利或者以公积金转增股本的，</w:t>
      </w:r>
      <w:r>
        <w:rPr>
          <w:rFonts w:hint="eastAsia" w:ascii="Times New Roman" w:hAnsi="Times New Roman" w:eastAsia="楷体"/>
          <w:color w:val="000000"/>
          <w:kern w:val="0"/>
          <w:sz w:val="24"/>
          <w:szCs w:val="24"/>
        </w:rPr>
        <w:t>半年报、季度报告应当审计。</w:t>
      </w:r>
    </w:p>
    <w:p w14:paraId="7B81FD18">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ascii="Times New Roman" w:hAnsi="Times New Roman" w:eastAsia="楷体"/>
          <w:color w:val="000000"/>
          <w:kern w:val="0"/>
          <w:sz w:val="24"/>
          <w:szCs w:val="24"/>
        </w:rPr>
        <w:t>3.利润分配、转增股本方案经股东会审议通过后实施时，应当按照权益分派实施相关公告格式的要求披露实施安排。）</w:t>
      </w:r>
    </w:p>
    <w:p w14:paraId="6BAA4E32">
      <w:pPr>
        <w:adjustRightInd w:val="0"/>
        <w:snapToGrid w:val="0"/>
        <w:spacing w:line="560" w:lineRule="exact"/>
        <w:ind w:firstLine="480" w:firstLineChars="200"/>
        <w:rPr>
          <w:rFonts w:ascii="Times New Roman" w:hAnsi="Times New Roman"/>
          <w:sz w:val="24"/>
        </w:rPr>
      </w:pPr>
    </w:p>
    <w:p w14:paraId="5F24DD2D">
      <w:pPr>
        <w:pBdr>
          <w:top w:val="single" w:color="auto" w:sz="4" w:space="1"/>
          <w:left w:val="single" w:color="auto" w:sz="4" w:space="4"/>
          <w:bottom w:val="single" w:color="auto" w:sz="4" w:space="2"/>
          <w:right w:val="single" w:color="auto" w:sz="4" w:space="4"/>
        </w:pBdr>
        <w:adjustRightInd w:val="0"/>
        <w:spacing w:line="56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本公司董事会及全体董事保证本公告内容不存在任何虚假记载、误导性陈述或者重大遗漏，并对其内容的真实性、准确性和完整性承担法律责任。</w:t>
      </w:r>
    </w:p>
    <w:p w14:paraId="237016BF">
      <w:pPr>
        <w:pBdr>
          <w:top w:val="single" w:color="auto" w:sz="4" w:space="1"/>
          <w:left w:val="single" w:color="auto" w:sz="4" w:space="4"/>
          <w:bottom w:val="single" w:color="auto" w:sz="4" w:space="2"/>
          <w:right w:val="single" w:color="auto" w:sz="4" w:space="4"/>
        </w:pBdr>
        <w:adjustRightInd w:val="0"/>
        <w:spacing w:line="56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如有董事对临时公告内容的真实性、准确性和完整性无法保证或存在异议的，公司应当在公告中作特别提示。</w:t>
      </w:r>
    </w:p>
    <w:p w14:paraId="4A66511A">
      <w:pPr>
        <w:adjustRightInd w:val="0"/>
        <w:snapToGrid w:val="0"/>
        <w:spacing w:line="560" w:lineRule="exact"/>
        <w:ind w:firstLine="600" w:firstLineChars="200"/>
        <w:rPr>
          <w:rFonts w:ascii="Times New Roman" w:hAnsi="Times New Roman" w:eastAsia="仿宋_GB2312"/>
          <w:bCs/>
          <w:sz w:val="30"/>
          <w:szCs w:val="30"/>
        </w:rPr>
      </w:pPr>
    </w:p>
    <w:p w14:paraId="2D34BCDF">
      <w:pPr>
        <w:adjustRightInd w:val="0"/>
        <w:snapToGrid w:val="0"/>
        <w:spacing w:line="560" w:lineRule="exact"/>
        <w:ind w:firstLine="602" w:firstLineChars="200"/>
        <w:rPr>
          <w:rFonts w:ascii="Times New Roman" w:hAnsi="Times New Roman" w:eastAsia="仿宋_GB2312"/>
          <w:b/>
          <w:sz w:val="30"/>
          <w:szCs w:val="30"/>
        </w:rPr>
      </w:pPr>
      <w:r>
        <w:rPr>
          <w:rFonts w:ascii="Times New Roman" w:hAnsi="Times New Roman" w:eastAsia="仿宋_GB2312"/>
          <w:b/>
          <w:sz w:val="30"/>
          <w:szCs w:val="30"/>
        </w:rPr>
        <w:t>重要内容提示：</w:t>
      </w:r>
    </w:p>
    <w:p w14:paraId="44DEC450">
      <w:pPr>
        <w:numPr>
          <w:ilvl w:val="3"/>
          <w:numId w:val="1"/>
        </w:numPr>
        <w:tabs>
          <w:tab w:val="left" w:pos="1080"/>
          <w:tab w:val="clear" w:pos="2218"/>
        </w:tabs>
        <w:adjustRightInd w:val="0"/>
        <w:snapToGrid w:val="0"/>
        <w:spacing w:line="560" w:lineRule="exact"/>
        <w:ind w:left="0" w:firstLine="600" w:firstLineChars="200"/>
        <w:rPr>
          <w:rFonts w:ascii="仿宋_GB2312" w:hAnsi="Times New Roman" w:eastAsia="仿宋_GB2312"/>
          <w:color w:val="000000"/>
          <w:sz w:val="30"/>
          <w:szCs w:val="30"/>
        </w:rPr>
      </w:pPr>
      <w:r>
        <w:rPr>
          <w:rFonts w:hint="eastAsia" w:ascii="仿宋_GB2312" w:hAnsi="Times New Roman" w:eastAsia="仿宋_GB2312"/>
          <w:color w:val="000000"/>
          <w:sz w:val="30"/>
          <w:szCs w:val="30"/>
        </w:rPr>
        <w:t>每股分配比例，每股转增比例</w:t>
      </w:r>
    </w:p>
    <w:p w14:paraId="044AF571">
      <w:pPr>
        <w:widowControl/>
        <w:spacing w:line="560" w:lineRule="exact"/>
        <w:ind w:firstLine="600" w:firstLineChars="200"/>
        <w:jc w:val="left"/>
        <w:rPr>
          <w:rFonts w:ascii="仿宋_GB2312" w:hAnsi="Times New Roman" w:eastAsia="仿宋_GB2312"/>
          <w:color w:val="000000"/>
          <w:sz w:val="30"/>
          <w:szCs w:val="30"/>
        </w:rPr>
      </w:pPr>
      <w:r>
        <w:rPr>
          <w:rFonts w:hint="eastAsia" w:ascii="仿宋_GB2312" w:hAnsi="Times New Roman" w:eastAsia="仿宋_GB2312"/>
          <w:color w:val="000000"/>
          <w:sz w:val="30"/>
          <w:szCs w:val="30"/>
        </w:rPr>
        <w:t>A股每股派发现金红利XX元，B股每股派发现金红利XX美元</w:t>
      </w:r>
    </w:p>
    <w:p w14:paraId="44713586">
      <w:pPr>
        <w:widowControl/>
        <w:spacing w:line="560" w:lineRule="exact"/>
        <w:ind w:firstLine="600" w:firstLineChars="200"/>
        <w:jc w:val="lef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每股派送红股XX股，每股转增XX股</w:t>
      </w:r>
    </w:p>
    <w:p w14:paraId="75BA7578">
      <w:pPr>
        <w:numPr>
          <w:ilvl w:val="3"/>
          <w:numId w:val="1"/>
        </w:numPr>
        <w:tabs>
          <w:tab w:val="left" w:pos="1080"/>
          <w:tab w:val="clear" w:pos="2218"/>
        </w:tabs>
        <w:adjustRightInd w:val="0"/>
        <w:snapToGrid w:val="0"/>
        <w:spacing w:line="560" w:lineRule="exact"/>
        <w:ind w:left="0" w:firstLine="600" w:firstLineChars="200"/>
        <w:rPr>
          <w:rFonts w:ascii="仿宋_GB2312" w:hAnsi="Times New Roman" w:eastAsia="仿宋_GB2312"/>
          <w:color w:val="000000"/>
          <w:sz w:val="30"/>
          <w:szCs w:val="30"/>
        </w:rPr>
      </w:pPr>
      <w:r>
        <w:rPr>
          <w:rFonts w:hint="eastAsia" w:ascii="仿宋_GB2312" w:hAnsi="Times New Roman" w:eastAsia="仿宋_GB2312"/>
          <w:color w:val="000000"/>
          <w:sz w:val="30"/>
          <w:szCs w:val="30"/>
        </w:rPr>
        <w:t>公司董事会关于高送转议案的审议结果（如适用）</w:t>
      </w:r>
    </w:p>
    <w:p w14:paraId="15AA7C7F">
      <w:pPr>
        <w:numPr>
          <w:ilvl w:val="3"/>
          <w:numId w:val="1"/>
        </w:numPr>
        <w:tabs>
          <w:tab w:val="left" w:pos="1080"/>
          <w:tab w:val="clear" w:pos="2218"/>
        </w:tabs>
        <w:adjustRightInd w:val="0"/>
        <w:snapToGrid w:val="0"/>
        <w:spacing w:line="560" w:lineRule="exact"/>
        <w:ind w:left="0" w:firstLine="600" w:firstLineChars="200"/>
        <w:rPr>
          <w:rFonts w:ascii="仿宋_GB2312" w:hAnsi="Times New Roman" w:eastAsia="仿宋_GB2312"/>
          <w:color w:val="000000"/>
          <w:sz w:val="30"/>
          <w:szCs w:val="30"/>
        </w:rPr>
      </w:pPr>
      <w:r>
        <w:rPr>
          <w:rFonts w:hint="eastAsia" w:ascii="仿宋_GB2312" w:hAnsi="Times New Roman" w:eastAsia="仿宋_GB2312"/>
          <w:color w:val="000000"/>
          <w:sz w:val="30"/>
          <w:szCs w:val="30"/>
        </w:rPr>
        <w:t>提议高送转的股东未来6个月是否有减持计划（如适用）</w:t>
      </w:r>
    </w:p>
    <w:p w14:paraId="71913AB3">
      <w:pPr>
        <w:widowControl/>
        <w:numPr>
          <w:ilvl w:val="3"/>
          <w:numId w:val="1"/>
        </w:numPr>
        <w:tabs>
          <w:tab w:val="left" w:pos="1080"/>
          <w:tab w:val="clear" w:pos="2218"/>
        </w:tabs>
        <w:adjustRightInd w:val="0"/>
        <w:snapToGrid w:val="0"/>
        <w:spacing w:line="560" w:lineRule="exact"/>
        <w:ind w:left="0" w:firstLine="600" w:firstLineChars="200"/>
        <w:rPr>
          <w:rFonts w:ascii="仿宋_GB2312" w:hAnsi="Times New Roman" w:eastAsia="仿宋_GB2312"/>
          <w:color w:val="000000"/>
          <w:sz w:val="30"/>
          <w:szCs w:val="30"/>
        </w:rPr>
      </w:pPr>
      <w:r>
        <w:rPr>
          <w:rFonts w:hint="eastAsia" w:ascii="仿宋_GB2312" w:hAnsi="Times New Roman" w:eastAsia="仿宋_GB2312"/>
          <w:color w:val="000000"/>
          <w:sz w:val="30"/>
          <w:szCs w:val="30"/>
        </w:rPr>
        <w:t>本次利润分配/公积金转增股本以实施权益分派股权登记日登记的总股本为基数，具体日期将在权益分派实施公告中明确。在实施权益分派的股权登记日前公司总股本发生变动的，拟维持分配（转增）总额/每股分配（转增）比例不变，相应调整每股分配（转增）比例/分配（转增）总额，并将在相关公告中披露。</w:t>
      </w:r>
    </w:p>
    <w:p w14:paraId="591E514A">
      <w:pPr>
        <w:widowControl/>
        <w:numPr>
          <w:ilvl w:val="3"/>
          <w:numId w:val="1"/>
        </w:numPr>
        <w:tabs>
          <w:tab w:val="left" w:pos="1080"/>
          <w:tab w:val="clear" w:pos="2218"/>
        </w:tabs>
        <w:adjustRightInd w:val="0"/>
        <w:snapToGrid w:val="0"/>
        <w:spacing w:line="560" w:lineRule="exact"/>
        <w:ind w:left="0" w:firstLine="600" w:firstLineChars="200"/>
        <w:rPr>
          <w:rFonts w:ascii="仿宋_GB2312" w:hAnsi="Times New Roman" w:eastAsia="仿宋_GB2312"/>
          <w:bCs/>
          <w:color w:val="000000"/>
          <w:sz w:val="30"/>
          <w:szCs w:val="30"/>
        </w:rPr>
      </w:pPr>
      <w:r>
        <w:rPr>
          <w:rFonts w:hint="eastAsia" w:ascii="仿宋_GB2312" w:hAnsi="Times New Roman" w:eastAsia="仿宋_GB2312"/>
          <w:color w:val="000000"/>
          <w:sz w:val="30"/>
          <w:szCs w:val="30"/>
        </w:rPr>
        <w:t>是否可能触及《上海证券交易所股票上市规则》（以下简称《股票上市规则》）第9.8.1条第一款第（八）项规定的可能被实施其他风险警示的情形</w:t>
      </w:r>
      <w:r>
        <w:rPr>
          <w:rFonts w:hint="eastAsia" w:ascii="Times New Roman" w:hAnsi="Times New Roman" w:eastAsia="仿宋_GB2312"/>
          <w:bCs/>
          <w:color w:val="000000"/>
          <w:kern w:val="0"/>
          <w:sz w:val="30"/>
          <w:szCs w:val="30"/>
        </w:rPr>
        <w:t>（适用于年度分红方案）。</w:t>
      </w:r>
    </w:p>
    <w:p w14:paraId="2363B260">
      <w:pPr>
        <w:widowControl/>
        <w:spacing w:line="560" w:lineRule="exact"/>
        <w:ind w:firstLine="600" w:firstLineChars="200"/>
        <w:rPr>
          <w:rFonts w:ascii="仿宋_GB2312" w:hAnsi="Times New Roman" w:eastAsia="仿宋_GB2312"/>
          <w:color w:val="000000"/>
          <w:sz w:val="30"/>
          <w:szCs w:val="30"/>
        </w:rPr>
      </w:pPr>
    </w:p>
    <w:p w14:paraId="7F58D936">
      <w:pPr>
        <w:autoSpaceDE w:val="0"/>
        <w:autoSpaceDN w:val="0"/>
        <w:adjustRightInd w:val="0"/>
        <w:snapToGrid w:val="0"/>
        <w:spacing w:line="560" w:lineRule="exact"/>
        <w:ind w:firstLine="602" w:firstLineChars="200"/>
        <w:rPr>
          <w:rFonts w:ascii="Times New Roman" w:hAnsi="Times New Roman" w:eastAsia="黑体"/>
          <w:b/>
          <w:sz w:val="30"/>
          <w:szCs w:val="30"/>
        </w:rPr>
      </w:pPr>
      <w:r>
        <w:rPr>
          <w:rFonts w:ascii="Times New Roman" w:hAnsi="Times New Roman" w:eastAsia="黑体"/>
          <w:b/>
          <w:sz w:val="30"/>
          <w:szCs w:val="30"/>
        </w:rPr>
        <w:t>一、利润分配方案内容</w:t>
      </w:r>
    </w:p>
    <w:p w14:paraId="4B09748B">
      <w:pPr>
        <w:autoSpaceDE w:val="0"/>
        <w:autoSpaceDN w:val="0"/>
        <w:adjustRightInd w:val="0"/>
        <w:snapToGrid w:val="0"/>
        <w:spacing w:line="560" w:lineRule="exact"/>
        <w:ind w:firstLine="602" w:firstLineChars="200"/>
        <w:rPr>
          <w:rFonts w:ascii="仿宋_GB2312" w:hAnsi="Times New Roman" w:eastAsia="仿宋_GB2312"/>
          <w:b/>
          <w:color w:val="000000"/>
          <w:kern w:val="0"/>
          <w:sz w:val="30"/>
          <w:szCs w:val="30"/>
        </w:rPr>
      </w:pPr>
      <w:r>
        <w:rPr>
          <w:rFonts w:hint="eastAsia" w:ascii="仿宋_GB2312" w:hAnsi="Times New Roman" w:eastAsia="仿宋_GB2312"/>
          <w:b/>
          <w:color w:val="000000"/>
          <w:kern w:val="0"/>
          <w:sz w:val="30"/>
          <w:szCs w:val="30"/>
        </w:rPr>
        <w:t>（一）利润分配方案的具体内容</w:t>
      </w:r>
    </w:p>
    <w:p w14:paraId="6E445A8C">
      <w:pPr>
        <w:autoSpaceDE w:val="0"/>
        <w:autoSpaceDN w:val="0"/>
        <w:adjustRightInd w:val="0"/>
        <w:snapToGrid w:val="0"/>
        <w:spacing w:line="560" w:lineRule="exact"/>
        <w:ind w:firstLine="600" w:firstLineChars="200"/>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截至XX年XX月XX日，公司母公司报表中期末未分配利润为人民币XX元。经董事会决议，公司XX年年度/半年度/一季度/三季度拟以实施权益分派股权登记日登记的总股本为基数分配利润/转增股本。本次利润分配、公积金转增股本方案如下：</w:t>
      </w:r>
    </w:p>
    <w:p w14:paraId="2C55D9CA">
      <w:pPr>
        <w:autoSpaceDE w:val="0"/>
        <w:autoSpaceDN w:val="0"/>
        <w:adjustRightInd w:val="0"/>
        <w:snapToGrid w:val="0"/>
        <w:spacing w:line="560" w:lineRule="exact"/>
        <w:ind w:firstLine="600" w:firstLineChars="200"/>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1.上市公司拟向全体股东每股派发现金红利XX元（含税）。截至XX年XX月XX日，公司总股本XX股，以此计算合计拟派发现金红利XX元（含税）。本年度公司现金分红（包括中期已分配的现金红利）总额XX元；本年度以现金为对价，采用集中竞价方式、要约方式已实施的股份回购金额XX元，现金分红和回购金额合计XX元，占本年度归属于上市公司股东净利润的比例XX%。其中，以现金为对价，采用要约方式、集中竞价方式回购股份并注销的回购（以下简称回购并注销）金额XX元，现金分红和回购并注销金额合计XX元，占本年度归属于上市公司股东净利润的比例XX%。</w:t>
      </w:r>
    </w:p>
    <w:p w14:paraId="5A7461CE">
      <w:pPr>
        <w:autoSpaceDE w:val="0"/>
        <w:autoSpaceDN w:val="0"/>
        <w:adjustRightInd w:val="0"/>
        <w:snapToGrid w:val="0"/>
        <w:spacing w:line="560" w:lineRule="exact"/>
        <w:ind w:firstLine="600" w:firstLineChars="200"/>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2.上市公司拟向全体股东每股送红股XX股、以公积金转增XX股。截至XX年XX月XX日，公司总股本XX股，本次送转股后，公司的总股本为XX股。</w:t>
      </w:r>
    </w:p>
    <w:p w14:paraId="01158FCC">
      <w:pPr>
        <w:autoSpaceDE w:val="0"/>
        <w:autoSpaceDN w:val="0"/>
        <w:adjustRightInd w:val="0"/>
        <w:snapToGrid w:val="0"/>
        <w:spacing w:line="560" w:lineRule="exact"/>
        <w:ind w:firstLine="600" w:firstLineChars="200"/>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上市公司因股权激励授予、股份回购等原因，涉及部分股份不参与本次利润分配及资本公积金转增股本的，需要列明不参与本次利润分配及资本公积金转增股本的股份数。</w:t>
      </w:r>
    </w:p>
    <w:p w14:paraId="4EC8B6B9">
      <w:pPr>
        <w:autoSpaceDE w:val="0"/>
        <w:autoSpaceDN w:val="0"/>
        <w:adjustRightInd w:val="0"/>
        <w:snapToGrid w:val="0"/>
        <w:spacing w:line="560" w:lineRule="exact"/>
        <w:ind w:firstLine="600" w:firstLineChars="200"/>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如在本公告披露之日起至实施权益分派股权登记日期间，因可转债转股/回购股份/股权激励授予股份回购注销/重大资产重组股份回购注销等致使公司总股本发生变动的，公司拟维持分配（转增）总额/每股分配（转增）比例不变，相应调整每股分配（转增）比例/分配（转增）总额。如后续总股本发生变化，将另行公告具体调整情况。</w:t>
      </w:r>
    </w:p>
    <w:p w14:paraId="2B7340C3">
      <w:pPr>
        <w:autoSpaceDE w:val="0"/>
        <w:autoSpaceDN w:val="0"/>
        <w:adjustRightInd w:val="0"/>
        <w:snapToGrid w:val="0"/>
        <w:spacing w:line="560" w:lineRule="exact"/>
        <w:ind w:firstLine="600" w:firstLineChars="200"/>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说明本次利润分配、公积金转增股本方案是否尚需提交股东会审议。</w:t>
      </w:r>
    </w:p>
    <w:p w14:paraId="2EDFE169">
      <w:pPr>
        <w:autoSpaceDE w:val="0"/>
        <w:autoSpaceDN w:val="0"/>
        <w:adjustRightInd w:val="0"/>
        <w:snapToGrid w:val="0"/>
        <w:spacing w:line="560" w:lineRule="exact"/>
        <w:ind w:firstLine="602" w:firstLineChars="200"/>
        <w:rPr>
          <w:rFonts w:ascii="Times New Roman" w:hAnsi="Times New Roman" w:eastAsia="仿宋_GB2312"/>
          <w:b/>
          <w:color w:val="000000"/>
          <w:kern w:val="0"/>
          <w:sz w:val="30"/>
          <w:szCs w:val="30"/>
        </w:rPr>
      </w:pPr>
      <w:r>
        <w:rPr>
          <w:rFonts w:hint="eastAsia" w:ascii="Times New Roman" w:hAnsi="Times New Roman" w:eastAsia="仿宋_GB2312"/>
          <w:b/>
          <w:color w:val="000000"/>
          <w:kern w:val="0"/>
          <w:sz w:val="30"/>
          <w:szCs w:val="30"/>
        </w:rPr>
        <w:t>（二）是否可能触及其他风险警示情形（适用于年度分红方案）</w:t>
      </w:r>
    </w:p>
    <w:p w14:paraId="58762C3E">
      <w:pPr>
        <w:autoSpaceDE w:val="0"/>
        <w:autoSpaceDN w:val="0"/>
        <w:adjustRightInd w:val="0"/>
        <w:snapToGrid w:val="0"/>
        <w:spacing w:line="560" w:lineRule="exact"/>
        <w:ind w:firstLine="600" w:firstLineChars="200"/>
        <w:rPr>
          <w:rFonts w:ascii="Times New Roman" w:hAnsi="Times New Roman" w:eastAsia="仿宋_GB2312"/>
          <w:color w:val="000000"/>
          <w:kern w:val="0"/>
          <w:sz w:val="30"/>
          <w:szCs w:val="30"/>
        </w:rPr>
      </w:pPr>
      <w:r>
        <w:rPr>
          <w:rFonts w:hint="eastAsia" w:ascii="Times New Roman" w:hAnsi="Times New Roman" w:eastAsia="仿宋_GB2312"/>
          <w:color w:val="000000"/>
          <w:kern w:val="0"/>
          <w:sz w:val="30"/>
          <w:szCs w:val="30"/>
        </w:rPr>
        <w:t>公司上市满三个完整会计年度，本年度净利润为正值且母公司报表年度末未分配利润为正值的，应当披露以下指标并说明公司是否可能触及其他风险警示情形：</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48"/>
        <w:gridCol w:w="1459"/>
        <w:gridCol w:w="1541"/>
        <w:gridCol w:w="1474"/>
      </w:tblGrid>
      <w:tr w14:paraId="2B8B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14:paraId="0852CD8A">
            <w:pPr>
              <w:autoSpaceDE w:val="0"/>
              <w:autoSpaceDN w:val="0"/>
              <w:adjustRightInd w:val="0"/>
              <w:snapToGrid w:val="0"/>
              <w:spacing w:line="560" w:lineRule="exact"/>
              <w:jc w:val="center"/>
              <w:rPr>
                <w:rFonts w:ascii="Times New Roman" w:hAnsi="Times New Roman" w:eastAsia="仿宋_GB2312"/>
                <w:b/>
                <w:color w:val="000000"/>
                <w:kern w:val="0"/>
                <w:szCs w:val="21"/>
              </w:rPr>
            </w:pPr>
            <w:r>
              <w:rPr>
                <w:rFonts w:hint="eastAsia" w:ascii="Times New Roman" w:hAnsi="Times New Roman" w:eastAsia="仿宋_GB2312"/>
                <w:b/>
                <w:color w:val="000000"/>
                <w:kern w:val="0"/>
                <w:szCs w:val="21"/>
              </w:rPr>
              <w:t>项目</w:t>
            </w:r>
          </w:p>
        </w:tc>
        <w:tc>
          <w:tcPr>
            <w:tcW w:w="1459" w:type="dxa"/>
          </w:tcPr>
          <w:p w14:paraId="032154E5">
            <w:pPr>
              <w:autoSpaceDE w:val="0"/>
              <w:autoSpaceDN w:val="0"/>
              <w:adjustRightInd w:val="0"/>
              <w:snapToGrid w:val="0"/>
              <w:spacing w:line="560" w:lineRule="exact"/>
              <w:jc w:val="center"/>
              <w:rPr>
                <w:rFonts w:ascii="Times New Roman" w:hAnsi="Times New Roman" w:eastAsia="仿宋_GB2312"/>
                <w:b/>
                <w:color w:val="000000"/>
                <w:kern w:val="0"/>
                <w:szCs w:val="21"/>
              </w:rPr>
            </w:pPr>
            <w:r>
              <w:rPr>
                <w:rFonts w:hint="eastAsia" w:ascii="Times New Roman" w:hAnsi="Times New Roman" w:eastAsia="仿宋_GB2312"/>
                <w:b/>
                <w:color w:val="000000"/>
                <w:kern w:val="0"/>
                <w:szCs w:val="21"/>
              </w:rPr>
              <w:t>本年度</w:t>
            </w:r>
          </w:p>
        </w:tc>
        <w:tc>
          <w:tcPr>
            <w:tcW w:w="1541" w:type="dxa"/>
          </w:tcPr>
          <w:p w14:paraId="12AA4170">
            <w:pPr>
              <w:autoSpaceDE w:val="0"/>
              <w:autoSpaceDN w:val="0"/>
              <w:adjustRightInd w:val="0"/>
              <w:snapToGrid w:val="0"/>
              <w:spacing w:line="560" w:lineRule="exact"/>
              <w:jc w:val="center"/>
              <w:rPr>
                <w:rFonts w:ascii="Times New Roman" w:hAnsi="Times New Roman" w:eastAsia="仿宋_GB2312"/>
                <w:b/>
                <w:color w:val="000000"/>
                <w:kern w:val="0"/>
                <w:szCs w:val="21"/>
              </w:rPr>
            </w:pPr>
            <w:r>
              <w:rPr>
                <w:rFonts w:hint="eastAsia" w:ascii="Times New Roman" w:hAnsi="Times New Roman" w:eastAsia="仿宋_GB2312"/>
                <w:b/>
                <w:color w:val="000000"/>
                <w:kern w:val="0"/>
                <w:szCs w:val="21"/>
              </w:rPr>
              <w:t>上年度</w:t>
            </w:r>
          </w:p>
        </w:tc>
        <w:tc>
          <w:tcPr>
            <w:tcW w:w="1474" w:type="dxa"/>
          </w:tcPr>
          <w:p w14:paraId="63A2DF42">
            <w:pPr>
              <w:autoSpaceDE w:val="0"/>
              <w:autoSpaceDN w:val="0"/>
              <w:adjustRightInd w:val="0"/>
              <w:snapToGrid w:val="0"/>
              <w:spacing w:line="560" w:lineRule="exact"/>
              <w:jc w:val="center"/>
              <w:rPr>
                <w:rFonts w:ascii="Times New Roman" w:hAnsi="Times New Roman" w:eastAsia="仿宋_GB2312"/>
                <w:b/>
                <w:color w:val="000000"/>
                <w:kern w:val="0"/>
                <w:szCs w:val="21"/>
              </w:rPr>
            </w:pPr>
            <w:r>
              <w:rPr>
                <w:rFonts w:hint="eastAsia" w:ascii="Times New Roman" w:hAnsi="Times New Roman" w:eastAsia="仿宋_GB2312"/>
                <w:b/>
                <w:color w:val="000000"/>
                <w:kern w:val="0"/>
                <w:szCs w:val="21"/>
              </w:rPr>
              <w:t>上上年度</w:t>
            </w:r>
          </w:p>
        </w:tc>
      </w:tr>
      <w:tr w14:paraId="3A158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14:paraId="00A557DD">
            <w:pPr>
              <w:autoSpaceDE w:val="0"/>
              <w:autoSpaceDN w:val="0"/>
              <w:adjustRightInd w:val="0"/>
              <w:snapToGrid w:val="0"/>
              <w:spacing w:line="56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现金分红总额（元）</w:t>
            </w:r>
          </w:p>
        </w:tc>
        <w:tc>
          <w:tcPr>
            <w:tcW w:w="1459" w:type="dxa"/>
          </w:tcPr>
          <w:p w14:paraId="77EBBF49">
            <w:pPr>
              <w:autoSpaceDE w:val="0"/>
              <w:autoSpaceDN w:val="0"/>
              <w:adjustRightInd w:val="0"/>
              <w:snapToGrid w:val="0"/>
              <w:spacing w:line="560" w:lineRule="exact"/>
              <w:rPr>
                <w:rFonts w:ascii="Times New Roman" w:hAnsi="Times New Roman" w:eastAsia="仿宋_GB2312"/>
                <w:color w:val="000000"/>
                <w:kern w:val="0"/>
                <w:szCs w:val="21"/>
                <w:vertAlign w:val="subscript"/>
              </w:rPr>
            </w:pPr>
            <w:r>
              <w:rPr>
                <w:rFonts w:hint="eastAsia" w:ascii="Times New Roman" w:hAnsi="Times New Roman" w:eastAsia="仿宋_GB2312"/>
                <w:color w:val="000000"/>
                <w:kern w:val="0"/>
                <w:szCs w:val="21"/>
              </w:rPr>
              <w:t>a</w:t>
            </w:r>
            <w:r>
              <w:rPr>
                <w:rFonts w:hint="eastAsia" w:ascii="Times New Roman" w:hAnsi="Times New Roman" w:eastAsia="仿宋_GB2312"/>
                <w:color w:val="000000"/>
                <w:kern w:val="0"/>
                <w:szCs w:val="21"/>
                <w:vertAlign w:val="subscript"/>
              </w:rPr>
              <w:t>1</w:t>
            </w:r>
            <w:r>
              <w:rPr>
                <w:rFonts w:hint="eastAsia" w:ascii="Times New Roman" w:hAnsi="Times New Roman" w:eastAsia="仿宋_GB2312"/>
                <w:color w:val="000000"/>
                <w:kern w:val="0"/>
                <w:szCs w:val="21"/>
              </w:rPr>
              <w:t>（预计数）</w:t>
            </w:r>
          </w:p>
        </w:tc>
        <w:tc>
          <w:tcPr>
            <w:tcW w:w="1541" w:type="dxa"/>
          </w:tcPr>
          <w:p w14:paraId="2C94C428">
            <w:pPr>
              <w:autoSpaceDE w:val="0"/>
              <w:autoSpaceDN w:val="0"/>
              <w:adjustRightInd w:val="0"/>
              <w:snapToGrid w:val="0"/>
              <w:spacing w:line="5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a</w:t>
            </w:r>
            <w:r>
              <w:rPr>
                <w:rFonts w:hint="eastAsia" w:ascii="Times New Roman" w:hAnsi="Times New Roman" w:eastAsia="仿宋_GB2312"/>
                <w:color w:val="000000"/>
                <w:kern w:val="0"/>
                <w:szCs w:val="21"/>
                <w:vertAlign w:val="subscript"/>
              </w:rPr>
              <w:t>2</w:t>
            </w:r>
            <w:r>
              <w:rPr>
                <w:rFonts w:hint="eastAsia" w:ascii="Times New Roman" w:hAnsi="Times New Roman" w:eastAsia="仿宋_GB2312"/>
                <w:color w:val="000000"/>
                <w:kern w:val="0"/>
                <w:szCs w:val="21"/>
              </w:rPr>
              <w:t>（实施数）</w:t>
            </w:r>
          </w:p>
        </w:tc>
        <w:tc>
          <w:tcPr>
            <w:tcW w:w="1474" w:type="dxa"/>
          </w:tcPr>
          <w:p w14:paraId="03041257">
            <w:pPr>
              <w:autoSpaceDE w:val="0"/>
              <w:autoSpaceDN w:val="0"/>
              <w:adjustRightInd w:val="0"/>
              <w:snapToGrid w:val="0"/>
              <w:spacing w:line="56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a</w:t>
            </w:r>
            <w:r>
              <w:rPr>
                <w:rFonts w:hint="eastAsia" w:ascii="Times New Roman" w:hAnsi="Times New Roman" w:eastAsia="仿宋_GB2312"/>
                <w:color w:val="000000"/>
                <w:kern w:val="0"/>
                <w:szCs w:val="21"/>
                <w:vertAlign w:val="subscript"/>
              </w:rPr>
              <w:t>3</w:t>
            </w:r>
            <w:r>
              <w:rPr>
                <w:rFonts w:hint="eastAsia" w:ascii="Times New Roman" w:hAnsi="Times New Roman" w:eastAsia="仿宋_GB2312"/>
                <w:color w:val="000000"/>
                <w:kern w:val="0"/>
                <w:szCs w:val="21"/>
              </w:rPr>
              <w:t>（实施数）</w:t>
            </w:r>
          </w:p>
        </w:tc>
      </w:tr>
      <w:tr w14:paraId="4FAB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14:paraId="47CABDCA">
            <w:pPr>
              <w:autoSpaceDE w:val="0"/>
              <w:autoSpaceDN w:val="0"/>
              <w:adjustRightInd w:val="0"/>
              <w:snapToGrid w:val="0"/>
              <w:spacing w:line="56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回购注销总额（元）</w:t>
            </w:r>
          </w:p>
        </w:tc>
        <w:tc>
          <w:tcPr>
            <w:tcW w:w="1459" w:type="dxa"/>
          </w:tcPr>
          <w:p w14:paraId="1C789DE9">
            <w:pPr>
              <w:autoSpaceDE w:val="0"/>
              <w:autoSpaceDN w:val="0"/>
              <w:adjustRightInd w:val="0"/>
              <w:snapToGrid w:val="0"/>
              <w:spacing w:line="560" w:lineRule="exact"/>
              <w:jc w:val="center"/>
              <w:rPr>
                <w:rFonts w:ascii="Times New Roman" w:hAnsi="Times New Roman" w:eastAsia="仿宋_GB2312"/>
                <w:color w:val="000000"/>
                <w:kern w:val="0"/>
                <w:szCs w:val="21"/>
                <w:vertAlign w:val="subscript"/>
              </w:rPr>
            </w:pPr>
            <w:r>
              <w:rPr>
                <w:rFonts w:hint="eastAsia" w:ascii="Times New Roman" w:hAnsi="Times New Roman" w:eastAsia="仿宋_GB2312"/>
                <w:color w:val="000000"/>
                <w:kern w:val="0"/>
                <w:szCs w:val="21"/>
              </w:rPr>
              <w:t>b</w:t>
            </w:r>
            <w:r>
              <w:rPr>
                <w:rFonts w:hint="eastAsia" w:ascii="Times New Roman" w:hAnsi="Times New Roman" w:eastAsia="仿宋_GB2312"/>
                <w:color w:val="000000"/>
                <w:kern w:val="0"/>
                <w:szCs w:val="21"/>
                <w:vertAlign w:val="subscript"/>
              </w:rPr>
              <w:t>1</w:t>
            </w:r>
          </w:p>
        </w:tc>
        <w:tc>
          <w:tcPr>
            <w:tcW w:w="1541" w:type="dxa"/>
          </w:tcPr>
          <w:p w14:paraId="2FA7443F">
            <w:pPr>
              <w:autoSpaceDE w:val="0"/>
              <w:autoSpaceDN w:val="0"/>
              <w:adjustRightInd w:val="0"/>
              <w:snapToGrid w:val="0"/>
              <w:spacing w:line="5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b</w:t>
            </w:r>
            <w:r>
              <w:rPr>
                <w:rFonts w:hint="eastAsia" w:ascii="Times New Roman" w:hAnsi="Times New Roman" w:eastAsia="仿宋_GB2312"/>
                <w:color w:val="000000"/>
                <w:kern w:val="0"/>
                <w:szCs w:val="21"/>
                <w:vertAlign w:val="subscript"/>
              </w:rPr>
              <w:t>2</w:t>
            </w:r>
          </w:p>
        </w:tc>
        <w:tc>
          <w:tcPr>
            <w:tcW w:w="1474" w:type="dxa"/>
          </w:tcPr>
          <w:p w14:paraId="6A62D4EC">
            <w:pPr>
              <w:autoSpaceDE w:val="0"/>
              <w:autoSpaceDN w:val="0"/>
              <w:adjustRightInd w:val="0"/>
              <w:snapToGrid w:val="0"/>
              <w:spacing w:line="5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b</w:t>
            </w:r>
            <w:r>
              <w:rPr>
                <w:rFonts w:hint="eastAsia" w:ascii="Times New Roman" w:hAnsi="Times New Roman" w:eastAsia="仿宋_GB2312"/>
                <w:color w:val="000000"/>
                <w:kern w:val="0"/>
                <w:szCs w:val="21"/>
                <w:vertAlign w:val="subscript"/>
              </w:rPr>
              <w:t>3</w:t>
            </w:r>
          </w:p>
        </w:tc>
      </w:tr>
      <w:tr w14:paraId="38DD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48" w:type="dxa"/>
          </w:tcPr>
          <w:p w14:paraId="59EEC8D2">
            <w:pPr>
              <w:autoSpaceDE w:val="0"/>
              <w:autoSpaceDN w:val="0"/>
              <w:adjustRightInd w:val="0"/>
              <w:snapToGrid w:val="0"/>
              <w:spacing w:line="56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归属于上市公司股东的净利润（元）</w:t>
            </w:r>
          </w:p>
        </w:tc>
        <w:tc>
          <w:tcPr>
            <w:tcW w:w="1459" w:type="dxa"/>
          </w:tcPr>
          <w:p w14:paraId="55C5F3E8">
            <w:pPr>
              <w:autoSpaceDE w:val="0"/>
              <w:autoSpaceDN w:val="0"/>
              <w:adjustRightInd w:val="0"/>
              <w:snapToGrid w:val="0"/>
              <w:spacing w:line="5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c</w:t>
            </w:r>
            <w:r>
              <w:rPr>
                <w:rFonts w:hint="eastAsia" w:ascii="Times New Roman" w:hAnsi="Times New Roman" w:eastAsia="仿宋_GB2312"/>
                <w:color w:val="000000"/>
                <w:kern w:val="0"/>
                <w:szCs w:val="21"/>
                <w:vertAlign w:val="subscript"/>
              </w:rPr>
              <w:t>1</w:t>
            </w:r>
          </w:p>
        </w:tc>
        <w:tc>
          <w:tcPr>
            <w:tcW w:w="1541" w:type="dxa"/>
          </w:tcPr>
          <w:p w14:paraId="471D3D94">
            <w:pPr>
              <w:autoSpaceDE w:val="0"/>
              <w:autoSpaceDN w:val="0"/>
              <w:adjustRightInd w:val="0"/>
              <w:snapToGrid w:val="0"/>
              <w:spacing w:line="5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c</w:t>
            </w:r>
            <w:r>
              <w:rPr>
                <w:rFonts w:hint="eastAsia" w:ascii="Times New Roman" w:hAnsi="Times New Roman" w:eastAsia="仿宋_GB2312"/>
                <w:color w:val="000000"/>
                <w:kern w:val="0"/>
                <w:szCs w:val="21"/>
                <w:vertAlign w:val="subscript"/>
              </w:rPr>
              <w:t>2</w:t>
            </w:r>
          </w:p>
        </w:tc>
        <w:tc>
          <w:tcPr>
            <w:tcW w:w="1474" w:type="dxa"/>
          </w:tcPr>
          <w:p w14:paraId="45F5584D">
            <w:pPr>
              <w:autoSpaceDE w:val="0"/>
              <w:autoSpaceDN w:val="0"/>
              <w:adjustRightInd w:val="0"/>
              <w:snapToGrid w:val="0"/>
              <w:spacing w:line="5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c</w:t>
            </w:r>
            <w:r>
              <w:rPr>
                <w:rFonts w:hint="eastAsia" w:ascii="Times New Roman" w:hAnsi="Times New Roman" w:eastAsia="仿宋_GB2312"/>
                <w:color w:val="000000"/>
                <w:kern w:val="0"/>
                <w:szCs w:val="21"/>
                <w:vertAlign w:val="subscript"/>
              </w:rPr>
              <w:t>3</w:t>
            </w:r>
          </w:p>
        </w:tc>
      </w:tr>
      <w:tr w14:paraId="0E6E0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14:paraId="26E62503">
            <w:pPr>
              <w:autoSpaceDE w:val="0"/>
              <w:autoSpaceDN w:val="0"/>
              <w:adjustRightInd w:val="0"/>
              <w:snapToGrid w:val="0"/>
              <w:spacing w:line="56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本年度末母公司报表未分配利润（元）</w:t>
            </w:r>
          </w:p>
        </w:tc>
        <w:tc>
          <w:tcPr>
            <w:tcW w:w="4474" w:type="dxa"/>
            <w:gridSpan w:val="3"/>
          </w:tcPr>
          <w:p w14:paraId="46041ADC">
            <w:pPr>
              <w:autoSpaceDE w:val="0"/>
              <w:autoSpaceDN w:val="0"/>
              <w:adjustRightInd w:val="0"/>
              <w:snapToGrid w:val="0"/>
              <w:spacing w:line="560" w:lineRule="exact"/>
              <w:rPr>
                <w:rFonts w:ascii="Times New Roman" w:hAnsi="Times New Roman" w:eastAsia="仿宋_GB2312"/>
                <w:color w:val="000000"/>
                <w:kern w:val="0"/>
                <w:szCs w:val="21"/>
              </w:rPr>
            </w:pPr>
          </w:p>
        </w:tc>
      </w:tr>
      <w:tr w14:paraId="0CD8D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14:paraId="0DD65649">
            <w:pPr>
              <w:autoSpaceDE w:val="0"/>
              <w:autoSpaceDN w:val="0"/>
              <w:adjustRightInd w:val="0"/>
              <w:snapToGrid w:val="0"/>
              <w:spacing w:line="56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最近三个会计年度累计现金分红总额（元）</w:t>
            </w:r>
          </w:p>
        </w:tc>
        <w:tc>
          <w:tcPr>
            <w:tcW w:w="4474" w:type="dxa"/>
            <w:gridSpan w:val="3"/>
          </w:tcPr>
          <w:p w14:paraId="42A3509F">
            <w:pPr>
              <w:autoSpaceDE w:val="0"/>
              <w:autoSpaceDN w:val="0"/>
              <w:adjustRightInd w:val="0"/>
              <w:snapToGrid w:val="0"/>
              <w:spacing w:line="56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A= a</w:t>
            </w:r>
            <w:r>
              <w:rPr>
                <w:rFonts w:hint="eastAsia" w:ascii="Times New Roman" w:hAnsi="Times New Roman" w:eastAsia="仿宋_GB2312"/>
                <w:color w:val="000000"/>
                <w:kern w:val="0"/>
                <w:szCs w:val="21"/>
                <w:vertAlign w:val="subscript"/>
              </w:rPr>
              <w:t>1</w:t>
            </w:r>
            <w:r>
              <w:rPr>
                <w:rFonts w:hint="eastAsia" w:ascii="Times New Roman" w:hAnsi="Times New Roman" w:eastAsia="仿宋_GB2312"/>
                <w:color w:val="000000"/>
                <w:kern w:val="0"/>
                <w:szCs w:val="21"/>
              </w:rPr>
              <w:t>+ a</w:t>
            </w:r>
            <w:r>
              <w:rPr>
                <w:rFonts w:hint="eastAsia" w:ascii="Times New Roman" w:hAnsi="Times New Roman" w:eastAsia="仿宋_GB2312"/>
                <w:color w:val="000000"/>
                <w:kern w:val="0"/>
                <w:szCs w:val="21"/>
                <w:vertAlign w:val="subscript"/>
              </w:rPr>
              <w:t>2</w:t>
            </w:r>
            <w:r>
              <w:rPr>
                <w:rFonts w:hint="eastAsia" w:ascii="Times New Roman" w:hAnsi="Times New Roman" w:eastAsia="仿宋_GB2312"/>
                <w:color w:val="000000"/>
                <w:kern w:val="0"/>
                <w:szCs w:val="21"/>
              </w:rPr>
              <w:t>+ a</w:t>
            </w:r>
            <w:r>
              <w:rPr>
                <w:rFonts w:hint="eastAsia" w:ascii="Times New Roman" w:hAnsi="Times New Roman" w:eastAsia="仿宋_GB2312"/>
                <w:color w:val="000000"/>
                <w:kern w:val="0"/>
                <w:szCs w:val="21"/>
                <w:vertAlign w:val="subscript"/>
              </w:rPr>
              <w:t>3</w:t>
            </w:r>
          </w:p>
        </w:tc>
      </w:tr>
      <w:tr w14:paraId="6F209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14:paraId="6CA5D837">
            <w:pPr>
              <w:autoSpaceDE w:val="0"/>
              <w:autoSpaceDN w:val="0"/>
              <w:adjustRightInd w:val="0"/>
              <w:snapToGrid w:val="0"/>
              <w:spacing w:line="56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最近三个会计年度累计回购注销总额（元）</w:t>
            </w:r>
          </w:p>
        </w:tc>
        <w:tc>
          <w:tcPr>
            <w:tcW w:w="4474" w:type="dxa"/>
            <w:gridSpan w:val="3"/>
          </w:tcPr>
          <w:p w14:paraId="168B06FD">
            <w:pPr>
              <w:autoSpaceDE w:val="0"/>
              <w:autoSpaceDN w:val="0"/>
              <w:adjustRightInd w:val="0"/>
              <w:snapToGrid w:val="0"/>
              <w:spacing w:line="56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B= b</w:t>
            </w:r>
            <w:r>
              <w:rPr>
                <w:rFonts w:hint="eastAsia" w:ascii="Times New Roman" w:hAnsi="Times New Roman" w:eastAsia="仿宋_GB2312"/>
                <w:color w:val="000000"/>
                <w:kern w:val="0"/>
                <w:szCs w:val="21"/>
                <w:vertAlign w:val="subscript"/>
              </w:rPr>
              <w:t>1</w:t>
            </w:r>
            <w:r>
              <w:rPr>
                <w:rFonts w:hint="eastAsia" w:ascii="Times New Roman" w:hAnsi="Times New Roman" w:eastAsia="仿宋_GB2312"/>
                <w:color w:val="000000"/>
                <w:kern w:val="0"/>
                <w:szCs w:val="21"/>
              </w:rPr>
              <w:t>+ b</w:t>
            </w:r>
            <w:r>
              <w:rPr>
                <w:rFonts w:hint="eastAsia" w:ascii="Times New Roman" w:hAnsi="Times New Roman" w:eastAsia="仿宋_GB2312"/>
                <w:color w:val="000000"/>
                <w:kern w:val="0"/>
                <w:szCs w:val="21"/>
                <w:vertAlign w:val="subscript"/>
              </w:rPr>
              <w:t>2</w:t>
            </w:r>
            <w:r>
              <w:rPr>
                <w:rFonts w:hint="eastAsia" w:ascii="Times New Roman" w:hAnsi="Times New Roman" w:eastAsia="仿宋_GB2312"/>
                <w:color w:val="000000"/>
                <w:kern w:val="0"/>
                <w:szCs w:val="21"/>
              </w:rPr>
              <w:t>+ b</w:t>
            </w:r>
            <w:r>
              <w:rPr>
                <w:rFonts w:hint="eastAsia" w:ascii="Times New Roman" w:hAnsi="Times New Roman" w:eastAsia="仿宋_GB2312"/>
                <w:color w:val="000000"/>
                <w:kern w:val="0"/>
                <w:szCs w:val="21"/>
                <w:vertAlign w:val="subscript"/>
              </w:rPr>
              <w:t>3</w:t>
            </w:r>
          </w:p>
        </w:tc>
      </w:tr>
      <w:tr w14:paraId="04187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48" w:type="dxa"/>
          </w:tcPr>
          <w:p w14:paraId="20078C5A">
            <w:pPr>
              <w:autoSpaceDE w:val="0"/>
              <w:autoSpaceDN w:val="0"/>
              <w:adjustRightInd w:val="0"/>
              <w:snapToGrid w:val="0"/>
              <w:spacing w:line="56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最近三个会计年度平均净利润（元）</w:t>
            </w:r>
          </w:p>
        </w:tc>
        <w:tc>
          <w:tcPr>
            <w:tcW w:w="4474" w:type="dxa"/>
            <w:gridSpan w:val="3"/>
          </w:tcPr>
          <w:p w14:paraId="407465C3">
            <w:pPr>
              <w:autoSpaceDE w:val="0"/>
              <w:autoSpaceDN w:val="0"/>
              <w:adjustRightInd w:val="0"/>
              <w:snapToGrid w:val="0"/>
              <w:spacing w:line="56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C</w:t>
            </w:r>
            <w:r>
              <w:rPr>
                <w:rFonts w:hint="eastAsia" w:ascii="Times New Roman" w:hAnsi="Times New Roman" w:eastAsia="仿宋_GB2312"/>
                <w:color w:val="000000"/>
                <w:kern w:val="0"/>
                <w:szCs w:val="21"/>
              </w:rPr>
              <w:t>=（c</w:t>
            </w:r>
            <w:r>
              <w:rPr>
                <w:rFonts w:hint="eastAsia" w:ascii="Times New Roman" w:hAnsi="Times New Roman" w:eastAsia="仿宋_GB2312"/>
                <w:color w:val="000000"/>
                <w:kern w:val="0"/>
                <w:szCs w:val="21"/>
                <w:vertAlign w:val="subscript"/>
              </w:rPr>
              <w:t>1</w:t>
            </w:r>
            <w:r>
              <w:rPr>
                <w:rFonts w:hint="eastAsia" w:ascii="Times New Roman" w:hAnsi="Times New Roman" w:eastAsia="仿宋_GB2312"/>
                <w:color w:val="000000"/>
                <w:kern w:val="0"/>
                <w:szCs w:val="21"/>
              </w:rPr>
              <w:t>+ c</w:t>
            </w:r>
            <w:r>
              <w:rPr>
                <w:rFonts w:hint="eastAsia" w:ascii="Times New Roman" w:hAnsi="Times New Roman" w:eastAsia="仿宋_GB2312"/>
                <w:color w:val="000000"/>
                <w:kern w:val="0"/>
                <w:szCs w:val="21"/>
                <w:vertAlign w:val="subscript"/>
              </w:rPr>
              <w:t>2</w:t>
            </w:r>
            <w:r>
              <w:rPr>
                <w:rFonts w:hint="eastAsia" w:ascii="Times New Roman" w:hAnsi="Times New Roman" w:eastAsia="仿宋_GB2312"/>
                <w:color w:val="000000"/>
                <w:kern w:val="0"/>
                <w:szCs w:val="21"/>
              </w:rPr>
              <w:t>+ c</w:t>
            </w:r>
            <w:r>
              <w:rPr>
                <w:rFonts w:hint="eastAsia" w:ascii="Times New Roman" w:hAnsi="Times New Roman" w:eastAsia="仿宋_GB2312"/>
                <w:color w:val="000000"/>
                <w:kern w:val="0"/>
                <w:szCs w:val="21"/>
                <w:vertAlign w:val="subscript"/>
              </w:rPr>
              <w:t>3</w:t>
            </w:r>
            <w:r>
              <w:rPr>
                <w:rFonts w:hint="eastAsia" w:ascii="Times New Roman" w:hAnsi="Times New Roman" w:eastAsia="仿宋_GB2312"/>
                <w:color w:val="000000"/>
                <w:kern w:val="0"/>
                <w:szCs w:val="21"/>
              </w:rPr>
              <w:t>）/3</w:t>
            </w:r>
          </w:p>
        </w:tc>
      </w:tr>
      <w:tr w14:paraId="271C9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14:paraId="0DBE2A94">
            <w:pPr>
              <w:autoSpaceDE w:val="0"/>
              <w:autoSpaceDN w:val="0"/>
              <w:adjustRightInd w:val="0"/>
              <w:snapToGrid w:val="0"/>
              <w:spacing w:line="56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最近三个会计年度累计现金分红及回购注销总额（元）</w:t>
            </w:r>
          </w:p>
        </w:tc>
        <w:tc>
          <w:tcPr>
            <w:tcW w:w="4474" w:type="dxa"/>
            <w:gridSpan w:val="3"/>
          </w:tcPr>
          <w:p w14:paraId="11D3CFF0">
            <w:pPr>
              <w:autoSpaceDE w:val="0"/>
              <w:autoSpaceDN w:val="0"/>
              <w:adjustRightInd w:val="0"/>
              <w:snapToGrid w:val="0"/>
              <w:spacing w:line="56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D=A+B</w:t>
            </w:r>
          </w:p>
        </w:tc>
      </w:tr>
      <w:tr w14:paraId="1C5C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14:paraId="4AF63100">
            <w:pPr>
              <w:autoSpaceDE w:val="0"/>
              <w:autoSpaceDN w:val="0"/>
              <w:adjustRightInd w:val="0"/>
              <w:snapToGrid w:val="0"/>
              <w:spacing w:line="56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最近三个会计年度累计现金分红及回购注销总额（D）是否低于5000万元</w:t>
            </w:r>
          </w:p>
        </w:tc>
        <w:tc>
          <w:tcPr>
            <w:tcW w:w="4474" w:type="dxa"/>
            <w:gridSpan w:val="3"/>
          </w:tcPr>
          <w:p w14:paraId="628D1DE9">
            <w:pPr>
              <w:autoSpaceDE w:val="0"/>
              <w:autoSpaceDN w:val="0"/>
              <w:adjustRightInd w:val="0"/>
              <w:snapToGrid w:val="0"/>
              <w:spacing w:line="560" w:lineRule="exact"/>
              <w:rPr>
                <w:rFonts w:ascii="Times New Roman" w:hAnsi="Times New Roman" w:eastAsia="仿宋_GB2312"/>
                <w:color w:val="000000"/>
                <w:kern w:val="0"/>
                <w:szCs w:val="21"/>
              </w:rPr>
            </w:pPr>
            <w:r>
              <w:rPr>
                <w:rFonts w:hint="eastAsia" w:ascii="Times New Roman" w:hAnsi="Times New Roman" w:eastAsia="仿宋_GB2312"/>
                <w:bCs/>
                <w:color w:val="000000"/>
                <w:kern w:val="0"/>
                <w:szCs w:val="21"/>
              </w:rPr>
              <w:t>是/否</w:t>
            </w:r>
          </w:p>
        </w:tc>
      </w:tr>
      <w:tr w14:paraId="2567A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14:paraId="4E3B6EE9">
            <w:pPr>
              <w:autoSpaceDE w:val="0"/>
              <w:autoSpaceDN w:val="0"/>
              <w:adjustRightInd w:val="0"/>
              <w:snapToGrid w:val="0"/>
              <w:spacing w:line="56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现金分红比例（%）</w:t>
            </w:r>
          </w:p>
        </w:tc>
        <w:tc>
          <w:tcPr>
            <w:tcW w:w="4474" w:type="dxa"/>
            <w:gridSpan w:val="3"/>
          </w:tcPr>
          <w:p w14:paraId="75201520">
            <w:pPr>
              <w:autoSpaceDE w:val="0"/>
              <w:autoSpaceDN w:val="0"/>
              <w:adjustRightInd w:val="0"/>
              <w:snapToGrid w:val="0"/>
              <w:spacing w:line="56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E=D/C</w:t>
            </w:r>
          </w:p>
        </w:tc>
      </w:tr>
      <w:tr w14:paraId="48C51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48" w:type="dxa"/>
          </w:tcPr>
          <w:p w14:paraId="271F44C8">
            <w:pPr>
              <w:autoSpaceDE w:val="0"/>
              <w:autoSpaceDN w:val="0"/>
              <w:adjustRightInd w:val="0"/>
              <w:snapToGrid w:val="0"/>
              <w:spacing w:line="56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现金分红比例（E）是否低于30%</w:t>
            </w:r>
          </w:p>
        </w:tc>
        <w:tc>
          <w:tcPr>
            <w:tcW w:w="4474" w:type="dxa"/>
            <w:gridSpan w:val="3"/>
          </w:tcPr>
          <w:p w14:paraId="3DA25F60">
            <w:pPr>
              <w:autoSpaceDE w:val="0"/>
              <w:autoSpaceDN w:val="0"/>
              <w:adjustRightInd w:val="0"/>
              <w:snapToGrid w:val="0"/>
              <w:spacing w:line="560" w:lineRule="exact"/>
              <w:jc w:val="left"/>
              <w:rPr>
                <w:rFonts w:ascii="Times New Roman" w:hAnsi="Times New Roman" w:eastAsia="仿宋_GB2312"/>
                <w:bCs/>
                <w:color w:val="000000"/>
                <w:kern w:val="0"/>
                <w:szCs w:val="21"/>
              </w:rPr>
            </w:pPr>
            <w:r>
              <w:rPr>
                <w:rFonts w:hint="eastAsia" w:ascii="Times New Roman" w:hAnsi="Times New Roman" w:eastAsia="仿宋_GB2312"/>
                <w:bCs/>
                <w:color w:val="000000"/>
                <w:kern w:val="0"/>
                <w:szCs w:val="21"/>
              </w:rPr>
              <w:t>是/否</w:t>
            </w:r>
          </w:p>
        </w:tc>
      </w:tr>
      <w:tr w14:paraId="02DA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8" w:type="dxa"/>
          </w:tcPr>
          <w:p w14:paraId="6D119BE5">
            <w:pPr>
              <w:autoSpaceDE w:val="0"/>
              <w:autoSpaceDN w:val="0"/>
              <w:adjustRightInd w:val="0"/>
              <w:snapToGrid w:val="0"/>
              <w:spacing w:line="56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是否触及《股票上市规则》第9.8.1条第一款第（八）项规定的可能被实施其他风险警示的情形</w:t>
            </w:r>
          </w:p>
        </w:tc>
        <w:tc>
          <w:tcPr>
            <w:tcW w:w="4474" w:type="dxa"/>
            <w:gridSpan w:val="3"/>
          </w:tcPr>
          <w:p w14:paraId="1543EB77">
            <w:pPr>
              <w:autoSpaceDE w:val="0"/>
              <w:autoSpaceDN w:val="0"/>
              <w:adjustRightInd w:val="0"/>
              <w:snapToGrid w:val="0"/>
              <w:spacing w:line="560" w:lineRule="exact"/>
              <w:jc w:val="left"/>
              <w:rPr>
                <w:rFonts w:ascii="Times New Roman" w:hAnsi="Times New Roman" w:eastAsia="仿宋_GB2312"/>
                <w:color w:val="000000"/>
                <w:kern w:val="0"/>
                <w:szCs w:val="21"/>
              </w:rPr>
            </w:pPr>
            <w:r>
              <w:rPr>
                <w:rFonts w:hint="eastAsia" w:ascii="Times New Roman" w:hAnsi="Times New Roman" w:eastAsia="仿宋_GB2312"/>
                <w:bCs/>
                <w:color w:val="000000"/>
                <w:kern w:val="0"/>
                <w:szCs w:val="21"/>
              </w:rPr>
              <w:t>是/否</w:t>
            </w:r>
          </w:p>
        </w:tc>
      </w:tr>
    </w:tbl>
    <w:p w14:paraId="58CF435E">
      <w:pPr>
        <w:autoSpaceDE w:val="0"/>
        <w:autoSpaceDN w:val="0"/>
        <w:adjustRightInd w:val="0"/>
        <w:snapToGrid w:val="0"/>
        <w:spacing w:line="560" w:lineRule="exact"/>
        <w:ind w:firstLine="420" w:firstLineChars="200"/>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注：</w:t>
      </w:r>
    </w:p>
    <w:p w14:paraId="760AB973">
      <w:pPr>
        <w:autoSpaceDE w:val="0"/>
        <w:autoSpaceDN w:val="0"/>
        <w:adjustRightInd w:val="0"/>
        <w:snapToGrid w:val="0"/>
        <w:spacing w:line="560" w:lineRule="exact"/>
        <w:ind w:firstLine="420" w:firstLineChars="200"/>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1.填报上述指标时，净利润为负值的年份包括在内。如公司上市未满三个完整会计年度，仅需填报上市后数据。</w:t>
      </w:r>
    </w:p>
    <w:p w14:paraId="51D49743">
      <w:pPr>
        <w:autoSpaceDE w:val="0"/>
        <w:autoSpaceDN w:val="0"/>
        <w:adjustRightInd w:val="0"/>
        <w:snapToGrid w:val="0"/>
        <w:spacing w:line="560" w:lineRule="exact"/>
        <w:ind w:firstLine="420" w:firstLineChars="200"/>
        <w:rPr>
          <w:rFonts w:ascii="Times New Roman" w:hAnsi="Times New Roman" w:eastAsia="仿宋_GB2312"/>
          <w:color w:val="000000"/>
          <w:kern w:val="0"/>
          <w:sz w:val="30"/>
          <w:szCs w:val="30"/>
        </w:rPr>
      </w:pPr>
      <w:r>
        <w:rPr>
          <w:rFonts w:hint="eastAsia" w:ascii="Times New Roman" w:hAnsi="Times New Roman" w:eastAsia="仿宋_GB2312"/>
          <w:color w:val="000000"/>
          <w:kern w:val="0"/>
          <w:szCs w:val="21"/>
        </w:rPr>
        <w:t>2.回购注销是指上市公司采用集中竞价、要约方式实施回购股份并完成注销的金额。</w:t>
      </w:r>
      <w:r>
        <w:rPr>
          <w:rFonts w:hint="eastAsia" w:ascii="仿宋_GB2312" w:eastAsia="仿宋_GB2312"/>
          <w:szCs w:val="21"/>
        </w:rPr>
        <w:t>公司已明确用于回购并注销金额的，需提供相关确认依据；公司未明确用于回购并注销金额的，</w:t>
      </w:r>
      <w:r>
        <w:rPr>
          <w:rFonts w:hint="eastAsia" w:ascii="Times New Roman" w:hAnsi="Times New Roman" w:eastAsia="仿宋_GB2312"/>
          <w:color w:val="000000"/>
          <w:kern w:val="0"/>
          <w:szCs w:val="21"/>
        </w:rPr>
        <w:t>回购并注销金额计算方式为：已回购资金总额</w:t>
      </w:r>
      <w:r>
        <w:rPr>
          <w:rFonts w:ascii="Times New Roman" w:hAnsi="Times New Roman" w:eastAsia="仿宋_GB2312"/>
          <w:color w:val="000000"/>
          <w:kern w:val="0"/>
          <w:szCs w:val="21"/>
        </w:rPr>
        <w:t>/</w:t>
      </w:r>
      <w:r>
        <w:rPr>
          <w:rFonts w:hint="eastAsia" w:ascii="Times New Roman" w:hAnsi="Times New Roman" w:eastAsia="仿宋_GB2312"/>
          <w:color w:val="000000"/>
          <w:kern w:val="0"/>
          <w:szCs w:val="21"/>
        </w:rPr>
        <w:t>已回购股份数量×本会计年度内注销股数；回购注销完成时点，以公司公告披露的股份注销日期为准。</w:t>
      </w:r>
    </w:p>
    <w:p w14:paraId="392D7391">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ascii="Times New Roman" w:hAnsi="Times New Roman" w:eastAsia="楷体"/>
          <w:color w:val="000000"/>
          <w:kern w:val="0"/>
          <w:sz w:val="24"/>
          <w:szCs w:val="24"/>
        </w:rPr>
        <w:t>（编制提醒：</w:t>
      </w:r>
    </w:p>
    <w:p w14:paraId="4566B0FA">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ascii="Times New Roman" w:hAnsi="Times New Roman" w:eastAsia="楷体"/>
          <w:color w:val="000000"/>
          <w:kern w:val="0"/>
          <w:sz w:val="24"/>
          <w:szCs w:val="24"/>
        </w:rPr>
        <w:t>1.上市公司本次利润分配及公积金转增股本方案未以总股本为基数实施或存在其他差异化安排的，应当在公告作出特别提示和说明。</w:t>
      </w:r>
    </w:p>
    <w:p w14:paraId="7AF6D50A">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hint="eastAsia" w:ascii="Times New Roman" w:hAnsi="Times New Roman" w:eastAsia="楷体"/>
          <w:color w:val="000000"/>
          <w:kern w:val="0"/>
          <w:sz w:val="24"/>
          <w:szCs w:val="24"/>
        </w:rPr>
        <w:t>2.</w:t>
      </w:r>
      <w:r>
        <w:rPr>
          <w:rFonts w:ascii="Times New Roman" w:hAnsi="Times New Roman" w:eastAsia="楷体"/>
          <w:color w:val="000000"/>
          <w:kern w:val="0"/>
          <w:sz w:val="24"/>
          <w:szCs w:val="24"/>
        </w:rPr>
        <w:t>上市公司在确定</w:t>
      </w:r>
      <w:r>
        <w:rPr>
          <w:rFonts w:hint="eastAsia" w:ascii="Times New Roman" w:hAnsi="Times New Roman" w:eastAsia="楷体"/>
          <w:color w:val="000000"/>
          <w:kern w:val="0"/>
          <w:sz w:val="24"/>
          <w:szCs w:val="24"/>
        </w:rPr>
        <w:t>能否实施利润分配</w:t>
      </w:r>
      <w:r>
        <w:rPr>
          <w:rFonts w:ascii="Times New Roman" w:hAnsi="Times New Roman" w:eastAsia="楷体"/>
          <w:color w:val="000000"/>
          <w:kern w:val="0"/>
          <w:sz w:val="24"/>
          <w:szCs w:val="24"/>
        </w:rPr>
        <w:t>时应当以母公司报表</w:t>
      </w:r>
      <w:r>
        <w:rPr>
          <w:rFonts w:hint="eastAsia" w:ascii="Times New Roman" w:hAnsi="Times New Roman" w:eastAsia="楷体"/>
          <w:color w:val="000000"/>
          <w:kern w:val="0"/>
          <w:sz w:val="24"/>
          <w:szCs w:val="24"/>
        </w:rPr>
        <w:t>期末未分配利润</w:t>
      </w:r>
      <w:r>
        <w:rPr>
          <w:rFonts w:ascii="Times New Roman" w:hAnsi="Times New Roman" w:eastAsia="楷体"/>
          <w:color w:val="000000"/>
          <w:kern w:val="0"/>
          <w:sz w:val="24"/>
          <w:szCs w:val="24"/>
        </w:rPr>
        <w:t>为基础，计算所涉及的分红比例时应当以合并报表</w:t>
      </w:r>
      <w:r>
        <w:rPr>
          <w:rFonts w:hint="eastAsia" w:ascii="Times New Roman" w:hAnsi="Times New Roman" w:eastAsia="楷体"/>
          <w:color w:val="000000"/>
          <w:kern w:val="0"/>
          <w:sz w:val="24"/>
          <w:szCs w:val="24"/>
        </w:rPr>
        <w:t>归属于上市公司股东净利润</w:t>
      </w:r>
      <w:r>
        <w:rPr>
          <w:rFonts w:ascii="Times New Roman" w:hAnsi="Times New Roman" w:eastAsia="楷体"/>
          <w:color w:val="000000"/>
          <w:kern w:val="0"/>
          <w:sz w:val="24"/>
          <w:szCs w:val="24"/>
        </w:rPr>
        <w:t>为基础。</w:t>
      </w:r>
    </w:p>
    <w:p w14:paraId="4D7258FC">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hint="eastAsia" w:ascii="Times New Roman" w:hAnsi="Times New Roman" w:eastAsia="楷体"/>
          <w:color w:val="000000"/>
          <w:kern w:val="0"/>
          <w:sz w:val="24"/>
          <w:szCs w:val="24"/>
        </w:rPr>
        <w:t>3.</w:t>
      </w:r>
      <w:r>
        <w:rPr>
          <w:rFonts w:hint="eastAsia"/>
        </w:rPr>
        <w:t xml:space="preserve"> </w:t>
      </w:r>
      <w:r>
        <w:rPr>
          <w:rFonts w:hint="eastAsia" w:ascii="Times New Roman" w:hAnsi="Times New Roman" w:eastAsia="楷体"/>
          <w:color w:val="000000"/>
          <w:kern w:val="0"/>
          <w:sz w:val="24"/>
          <w:szCs w:val="24"/>
        </w:rPr>
        <w:t>上市公司最近一个会计年度净利润为正值且母公司报表年度末未分配利润为正值的公司，其最近三个会计年度累计现金分红总额低于最近三个会计年度年均净利润的30%，且最近三个会计年度累计现金分红金额低于5000万元，本所对其股票实施其他风险警示。</w:t>
      </w:r>
    </w:p>
    <w:p w14:paraId="1B8A9431">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hint="eastAsia" w:ascii="Times New Roman" w:hAnsi="Times New Roman" w:eastAsia="楷体"/>
          <w:color w:val="000000"/>
          <w:kern w:val="0"/>
          <w:sz w:val="24"/>
          <w:szCs w:val="24"/>
        </w:rPr>
        <w:t>公司上市不满三个完整会计年度的，前款所称最近三个会计年度以公司上市后的首个完整会计年度作为首个起算年度。</w:t>
      </w:r>
    </w:p>
    <w:p w14:paraId="3C3C3D16">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hint="eastAsia" w:ascii="Times New Roman" w:hAnsi="Times New Roman" w:eastAsia="楷体"/>
          <w:color w:val="000000"/>
          <w:kern w:val="0"/>
          <w:sz w:val="24"/>
          <w:szCs w:val="24"/>
        </w:rPr>
        <w:t>公司将最近一个会计年度母公司报表未分配利润全部分配后，仍出现前款所述情形的，本所不对其公司股票实施其他风险警示。</w:t>
      </w:r>
    </w:p>
    <w:p w14:paraId="381EFA0D">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hint="eastAsia" w:ascii="Times New Roman" w:hAnsi="Times New Roman" w:eastAsia="楷体"/>
          <w:color w:val="000000"/>
          <w:kern w:val="0"/>
          <w:sz w:val="24"/>
          <w:szCs w:val="24"/>
        </w:rPr>
        <w:t>上市公司以现金为对价，采用要约方式、集中竞价方式回购股份并注销的，纳入本条第一款所称现金分红金额。</w:t>
      </w:r>
    </w:p>
    <w:p w14:paraId="13C44BE6">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hint="eastAsia" w:ascii="Times New Roman" w:hAnsi="Times New Roman" w:eastAsia="楷体"/>
          <w:color w:val="000000"/>
          <w:kern w:val="0"/>
          <w:sz w:val="24"/>
          <w:szCs w:val="24"/>
        </w:rPr>
        <w:t>4.</w:t>
      </w:r>
      <w:r>
        <w:rPr>
          <w:rFonts w:hint="eastAsia"/>
        </w:rPr>
        <w:t xml:space="preserve"> </w:t>
      </w:r>
      <w:r>
        <w:rPr>
          <w:rFonts w:hint="eastAsia" w:ascii="Times New Roman" w:hAnsi="Times New Roman" w:eastAsia="楷体"/>
          <w:color w:val="000000"/>
          <w:kern w:val="0"/>
          <w:sz w:val="24"/>
          <w:szCs w:val="24"/>
        </w:rPr>
        <w:t>上市公司董事会审议通过的年度利润分配方案实施后，公司可能出现上述第3点规定情形的，应当在年度利润分配方案披露的同时，披露公司股票可能被实施其他风险警示的风险提示公告，并在相应股东会审议通过年度利润分配方案之日，披露公司股票交易被实施其他风险警示公告。公司股东会如未及时审议通过有效的年度利润分配方案，导致公司直至当年6月30日仍触及《股票上市规则》第9.8.1条第一款第（八）项规定情形的，公司应当及时披露相关公告，本所将根据实际情况对公司股票实施其他风险警示。</w:t>
      </w:r>
      <w:r>
        <w:rPr>
          <w:rFonts w:ascii="Times New Roman" w:hAnsi="Times New Roman" w:eastAsia="楷体"/>
          <w:color w:val="000000"/>
          <w:kern w:val="0"/>
          <w:sz w:val="24"/>
          <w:szCs w:val="24"/>
        </w:rPr>
        <w:t>）</w:t>
      </w:r>
    </w:p>
    <w:p w14:paraId="5198A962">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p>
    <w:p w14:paraId="793A67F4">
      <w:pPr>
        <w:autoSpaceDE w:val="0"/>
        <w:autoSpaceDN w:val="0"/>
        <w:adjustRightInd w:val="0"/>
        <w:snapToGrid w:val="0"/>
        <w:spacing w:line="560" w:lineRule="exact"/>
        <w:ind w:firstLine="602" w:firstLineChars="200"/>
        <w:rPr>
          <w:rFonts w:ascii="Times New Roman" w:hAnsi="Times New Roman" w:eastAsia="黑体"/>
          <w:b/>
          <w:sz w:val="30"/>
          <w:szCs w:val="30"/>
        </w:rPr>
      </w:pPr>
      <w:r>
        <w:rPr>
          <w:rFonts w:ascii="Times New Roman" w:hAnsi="Times New Roman" w:eastAsia="黑体"/>
          <w:b/>
          <w:sz w:val="30"/>
          <w:szCs w:val="30"/>
        </w:rPr>
        <w:t>二、本年度现金分红比例低于30%的情况说明（如适用）</w:t>
      </w:r>
    </w:p>
    <w:p w14:paraId="3EFF9681">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报告期内，上市公司实现归属于上市公司股东的净利润XX元，拟分配的现金红利总额（包括中期已分配的现金红利，以及以现金为对价，当年采用集中竞价方式、要约方式已实施的股份回购金额）XX元，占本年度归属于上市公司股东的净利润比例低于30%，具体原因说明如下。</w:t>
      </w:r>
    </w:p>
    <w:p w14:paraId="7E782D27">
      <w:pPr>
        <w:autoSpaceDE w:val="0"/>
        <w:autoSpaceDN w:val="0"/>
        <w:adjustRightInd w:val="0"/>
        <w:snapToGrid w:val="0"/>
        <w:spacing w:line="560" w:lineRule="exac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 xml:space="preserve">    （一）上市公司所处行业特点、发展阶段、自身经营模式、盈利水平、偿债能力及资金需求；</w:t>
      </w:r>
    </w:p>
    <w:p w14:paraId="6CE5A374">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（二）上市公司留存未分配利润的预计用途及收益情况；</w:t>
      </w:r>
    </w:p>
    <w:p w14:paraId="3FC4601F">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（三）公司是否按照中国证监会相关规定为中小股东参与现金分红决策提供了便利；</w:t>
      </w:r>
    </w:p>
    <w:p w14:paraId="69F2B7CC">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（四）公司为增强投资者回报水平拟采取的措施。</w:t>
      </w:r>
    </w:p>
    <w:p w14:paraId="6D1081BB">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ascii="Times New Roman" w:hAnsi="Times New Roman" w:eastAsia="楷体"/>
          <w:color w:val="000000"/>
          <w:kern w:val="0"/>
          <w:sz w:val="24"/>
          <w:szCs w:val="24"/>
        </w:rPr>
        <w:t>（编制提醒：</w:t>
      </w:r>
    </w:p>
    <w:p w14:paraId="451F9800">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ascii="Times New Roman" w:hAnsi="Times New Roman" w:eastAsia="楷体"/>
          <w:color w:val="000000"/>
          <w:kern w:val="0"/>
          <w:sz w:val="24"/>
          <w:szCs w:val="24"/>
        </w:rPr>
        <w:t>1.当</w:t>
      </w:r>
      <w:r>
        <w:rPr>
          <w:rFonts w:hint="eastAsia" w:ascii="Times New Roman" w:hAnsi="Times New Roman" w:eastAsia="楷体"/>
          <w:color w:val="000000"/>
          <w:kern w:val="0"/>
          <w:sz w:val="24"/>
          <w:szCs w:val="24"/>
        </w:rPr>
        <w:t>上市公司年度报告期内盈利且母公司报表中未分配利润为正，</w:t>
      </w:r>
      <w:r>
        <w:rPr>
          <w:rFonts w:ascii="Times New Roman" w:hAnsi="Times New Roman" w:eastAsia="楷体"/>
          <w:color w:val="000000"/>
          <w:kern w:val="0"/>
          <w:sz w:val="24"/>
          <w:szCs w:val="24"/>
        </w:rPr>
        <w:t>未进行现金分红或拟分配的现金红利总额（包括中期已分配的现金红利）与当年归属于上市公司股东的净利润之比低于30%的，公司董事会应当就有关情况进行针对性说明。</w:t>
      </w:r>
    </w:p>
    <w:p w14:paraId="167756B9">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hint="eastAsia" w:ascii="Times New Roman" w:hAnsi="Times New Roman" w:eastAsia="楷体"/>
          <w:color w:val="000000"/>
          <w:kern w:val="0"/>
          <w:sz w:val="24"/>
          <w:szCs w:val="24"/>
        </w:rPr>
        <w:t>2</w:t>
      </w:r>
      <w:r>
        <w:rPr>
          <w:rFonts w:ascii="Times New Roman" w:hAnsi="Times New Roman" w:eastAsia="楷体"/>
          <w:color w:val="000000"/>
          <w:kern w:val="0"/>
          <w:sz w:val="24"/>
          <w:szCs w:val="24"/>
        </w:rPr>
        <w:t>.上市公司以现金为对价，采用集中竞价方式、要约方式回购股份的，当年已实施的股份回购金额视同现金分红，纳入该年度现金分红的相关比例计算。</w:t>
      </w:r>
    </w:p>
    <w:p w14:paraId="7FE4AB11">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hint="eastAsia" w:ascii="Times New Roman" w:hAnsi="Times New Roman" w:eastAsia="楷体"/>
          <w:color w:val="000000"/>
          <w:kern w:val="0"/>
          <w:sz w:val="24"/>
          <w:szCs w:val="24"/>
        </w:rPr>
        <w:t>3</w:t>
      </w:r>
      <w:r>
        <w:rPr>
          <w:rFonts w:ascii="Times New Roman" w:hAnsi="Times New Roman" w:eastAsia="楷体"/>
          <w:color w:val="000000"/>
          <w:kern w:val="0"/>
          <w:sz w:val="24"/>
          <w:szCs w:val="24"/>
        </w:rPr>
        <w:t>.现金分红比例低于30%，上市公司应当在年度报告披露之后、年度股东会股权登记日之前，召开上市公司业绩说明会，就相关事项与媒体、股东特别是持有上市公司股份的机构投资者、中小股东进行沟通和交流，及时答复媒体和股东关心的问题。</w:t>
      </w:r>
      <w:r>
        <w:rPr>
          <w:rFonts w:hint="eastAsia" w:ascii="Times New Roman" w:hAnsi="Times New Roman" w:eastAsia="楷体"/>
          <w:color w:val="000000"/>
          <w:kern w:val="0"/>
          <w:sz w:val="24"/>
          <w:szCs w:val="24"/>
        </w:rPr>
        <w:t>）</w:t>
      </w:r>
    </w:p>
    <w:p w14:paraId="66C7786B">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p>
    <w:p w14:paraId="5034F2FA">
      <w:pPr>
        <w:autoSpaceDE w:val="0"/>
        <w:autoSpaceDN w:val="0"/>
        <w:adjustRightInd w:val="0"/>
        <w:snapToGrid w:val="0"/>
        <w:spacing w:line="560" w:lineRule="exact"/>
        <w:ind w:firstLine="602" w:firstLineChars="200"/>
        <w:rPr>
          <w:rFonts w:ascii="Times New Roman" w:hAnsi="Times New Roman" w:eastAsia="黑体"/>
          <w:b/>
          <w:sz w:val="30"/>
          <w:szCs w:val="30"/>
        </w:rPr>
      </w:pPr>
      <w:r>
        <w:rPr>
          <w:rFonts w:hint="eastAsia" w:ascii="Times New Roman" w:hAnsi="Times New Roman" w:eastAsia="黑体"/>
          <w:b/>
          <w:sz w:val="30"/>
          <w:szCs w:val="30"/>
        </w:rPr>
        <w:t>三、上市公司母公司报表未分配利润为负但合并报表未分配利润为正的情况说明（适用于年度分红方案）</w:t>
      </w:r>
    </w:p>
    <w:p w14:paraId="657F26C5">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上市公司母公司报表中期末未分配利润为X</w:t>
      </w:r>
      <w:r>
        <w:rPr>
          <w:rFonts w:ascii="仿宋_GB2312" w:hAnsi="Times New Roman" w:eastAsia="仿宋_GB2312"/>
          <w:color w:val="000000"/>
          <w:kern w:val="0"/>
          <w:sz w:val="30"/>
          <w:szCs w:val="30"/>
        </w:rPr>
        <w:t>X</w:t>
      </w:r>
      <w:r>
        <w:rPr>
          <w:rFonts w:hint="eastAsia" w:ascii="仿宋_GB2312" w:hAnsi="Times New Roman" w:eastAsia="仿宋_GB2312"/>
          <w:color w:val="000000"/>
          <w:kern w:val="0"/>
          <w:sz w:val="30"/>
          <w:szCs w:val="30"/>
        </w:rPr>
        <w:t>元，合并报表中期末未分配利润为X</w:t>
      </w:r>
      <w:r>
        <w:rPr>
          <w:rFonts w:ascii="仿宋_GB2312" w:hAnsi="Times New Roman" w:eastAsia="仿宋_GB2312"/>
          <w:color w:val="000000"/>
          <w:kern w:val="0"/>
          <w:sz w:val="30"/>
          <w:szCs w:val="30"/>
        </w:rPr>
        <w:t>X</w:t>
      </w:r>
      <w:r>
        <w:rPr>
          <w:rFonts w:hint="eastAsia" w:ascii="仿宋_GB2312" w:hAnsi="Times New Roman" w:eastAsia="仿宋_GB2312"/>
          <w:color w:val="000000"/>
          <w:kern w:val="0"/>
          <w:sz w:val="30"/>
          <w:szCs w:val="30"/>
        </w:rPr>
        <w:t>元，报告期内，上市公司控股子公司向上市公司母公司实施现金分红XX元。说明母公司未分配利润为负但合并报表未分配利润为正的原因，及公司为增强投资者回报水平拟采取的措施。</w:t>
      </w:r>
    </w:p>
    <w:p w14:paraId="37792220">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hint="eastAsia" w:ascii="Times New Roman" w:hAnsi="Times New Roman" w:eastAsia="楷体"/>
          <w:color w:val="000000"/>
          <w:kern w:val="0"/>
          <w:sz w:val="24"/>
          <w:szCs w:val="24"/>
        </w:rPr>
        <w:t>（编制提醒：上市公司母公司报表中未分配利润为负但合并报表中未分配利润为正的，公司应当在年度利润分配相关公告中披露上市公司控股子公司向母公司实施利润分配的情况，及上市公司为增强投资者回报水平拟采取的措施。）</w:t>
      </w:r>
    </w:p>
    <w:p w14:paraId="69AF99AA">
      <w:pPr>
        <w:autoSpaceDE w:val="0"/>
        <w:autoSpaceDN w:val="0"/>
        <w:adjustRightInd w:val="0"/>
        <w:snapToGrid w:val="0"/>
        <w:spacing w:line="560" w:lineRule="exact"/>
        <w:ind w:firstLine="602" w:firstLineChars="200"/>
        <w:rPr>
          <w:rFonts w:ascii="Times New Roman" w:hAnsi="Times New Roman" w:eastAsia="黑体"/>
          <w:b/>
          <w:sz w:val="30"/>
          <w:szCs w:val="30"/>
        </w:rPr>
      </w:pPr>
    </w:p>
    <w:p w14:paraId="4C04F1F0">
      <w:pPr>
        <w:autoSpaceDE w:val="0"/>
        <w:autoSpaceDN w:val="0"/>
        <w:adjustRightInd w:val="0"/>
        <w:snapToGrid w:val="0"/>
        <w:spacing w:line="560" w:lineRule="exact"/>
        <w:ind w:firstLine="602" w:firstLineChars="200"/>
        <w:rPr>
          <w:rFonts w:ascii="Times New Roman" w:hAnsi="Times New Roman" w:eastAsia="黑体"/>
          <w:b/>
          <w:sz w:val="30"/>
          <w:szCs w:val="30"/>
        </w:rPr>
      </w:pPr>
      <w:r>
        <w:rPr>
          <w:rFonts w:hint="eastAsia" w:ascii="Times New Roman" w:hAnsi="Times New Roman" w:eastAsia="黑体"/>
          <w:b/>
          <w:sz w:val="30"/>
          <w:szCs w:val="30"/>
        </w:rPr>
        <w:t>四、最近连续两个会计年度交易性金融资产等科目金额合计占总资产的</w:t>
      </w:r>
      <w:r>
        <w:rPr>
          <w:rFonts w:ascii="Times New Roman" w:hAnsi="Times New Roman" w:eastAsia="黑体"/>
          <w:b/>
          <w:sz w:val="30"/>
          <w:szCs w:val="30"/>
        </w:rPr>
        <w:t>50%</w:t>
      </w:r>
      <w:r>
        <w:rPr>
          <w:rFonts w:hint="eastAsia" w:ascii="Times New Roman" w:hAnsi="Times New Roman" w:eastAsia="黑体"/>
          <w:b/>
          <w:sz w:val="30"/>
          <w:szCs w:val="30"/>
        </w:rPr>
        <w:t>以上但分红比例低于</w:t>
      </w:r>
      <w:r>
        <w:rPr>
          <w:rFonts w:ascii="Times New Roman" w:hAnsi="Times New Roman" w:eastAsia="黑体"/>
          <w:b/>
          <w:sz w:val="30"/>
          <w:szCs w:val="30"/>
        </w:rPr>
        <w:t>50%</w:t>
      </w:r>
      <w:r>
        <w:rPr>
          <w:rFonts w:hint="eastAsia" w:ascii="Times New Roman" w:hAnsi="Times New Roman" w:eastAsia="黑体"/>
          <w:b/>
          <w:sz w:val="30"/>
          <w:szCs w:val="30"/>
        </w:rPr>
        <w:t>的情况说明（适用于年度分红方案）</w:t>
      </w:r>
    </w:p>
    <w:p w14:paraId="10BEAB4C">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Times New Roman" w:hAnsi="Times New Roman" w:eastAsia="仿宋_GB2312"/>
          <w:color w:val="000000"/>
          <w:kern w:val="0"/>
          <w:sz w:val="30"/>
          <w:szCs w:val="30"/>
        </w:rPr>
        <w:t>公司报告期内</w:t>
      </w:r>
      <w:r>
        <w:rPr>
          <w:rFonts w:hint="eastAsia" w:ascii="仿宋_GB2312" w:hAnsi="Times New Roman" w:eastAsia="仿宋_GB2312"/>
          <w:color w:val="000000"/>
          <w:kern w:val="0"/>
          <w:sz w:val="30"/>
          <w:szCs w:val="30"/>
        </w:rPr>
        <w:t>实现归属于上市公司股东的净利润XX元，母公司期末未分配利润XX元</w:t>
      </w:r>
      <w:r>
        <w:rPr>
          <w:rFonts w:hint="eastAsia" w:ascii="Times New Roman" w:hAnsi="Times New Roman" w:eastAsia="仿宋_GB2312"/>
          <w:color w:val="000000"/>
          <w:kern w:val="0"/>
          <w:sz w:val="30"/>
          <w:szCs w:val="30"/>
        </w:rPr>
        <w:t>，</w:t>
      </w:r>
      <w:r>
        <w:rPr>
          <w:rFonts w:hint="eastAsia" w:ascii="仿宋_GB2312" w:hAnsi="Times New Roman" w:eastAsia="仿宋_GB2312"/>
          <w:color w:val="000000"/>
          <w:kern w:val="0"/>
          <w:sz w:val="30"/>
          <w:szCs w:val="30"/>
        </w:rPr>
        <w:t>最近连续两个会计年度经审计的交易性金融资产、衍生金融资产（套期保值工具除外）、债权投资、其他债权投资、其他权益工具投资、其他非流动金融资产、其他流动资产（与经营活动相关的资产除外）等财务报表项目金额合计占总资产的</w:t>
      </w:r>
      <w:r>
        <w:rPr>
          <w:rFonts w:ascii="仿宋_GB2312" w:hAnsi="Times New Roman" w:eastAsia="仿宋_GB2312"/>
          <w:color w:val="000000"/>
          <w:kern w:val="0"/>
          <w:sz w:val="30"/>
          <w:szCs w:val="30"/>
        </w:rPr>
        <w:t>XX</w:t>
      </w:r>
      <w:r>
        <w:rPr>
          <w:rFonts w:hint="eastAsia" w:ascii="仿宋_GB2312" w:hAnsi="Times New Roman" w:eastAsia="仿宋_GB2312"/>
          <w:color w:val="000000"/>
          <w:kern w:val="0"/>
          <w:sz w:val="30"/>
          <w:szCs w:val="30"/>
        </w:rPr>
        <w:t>%、</w:t>
      </w:r>
      <w:r>
        <w:rPr>
          <w:rFonts w:ascii="仿宋_GB2312" w:hAnsi="Times New Roman" w:eastAsia="仿宋_GB2312"/>
          <w:color w:val="000000"/>
          <w:kern w:val="0"/>
          <w:sz w:val="30"/>
          <w:szCs w:val="30"/>
        </w:rPr>
        <w:t>XX</w:t>
      </w:r>
      <w:r>
        <w:rPr>
          <w:rFonts w:hint="eastAsia" w:ascii="仿宋_GB2312" w:hAnsi="Times New Roman" w:eastAsia="仿宋_GB2312"/>
          <w:color w:val="000000"/>
          <w:kern w:val="0"/>
          <w:sz w:val="30"/>
          <w:szCs w:val="30"/>
        </w:rPr>
        <w:t>%，均达到5</w:t>
      </w:r>
      <w:r>
        <w:rPr>
          <w:rFonts w:ascii="仿宋_GB2312" w:hAnsi="Times New Roman" w:eastAsia="仿宋_GB2312"/>
          <w:color w:val="000000"/>
          <w:kern w:val="0"/>
          <w:sz w:val="30"/>
          <w:szCs w:val="30"/>
        </w:rPr>
        <w:t>0%</w:t>
      </w:r>
      <w:r>
        <w:rPr>
          <w:rFonts w:hint="eastAsia" w:ascii="仿宋_GB2312" w:hAnsi="Times New Roman" w:eastAsia="仿宋_GB2312"/>
          <w:color w:val="000000"/>
          <w:kern w:val="0"/>
          <w:sz w:val="30"/>
          <w:szCs w:val="30"/>
        </w:rPr>
        <w:t>以上，公司本年度拟分配的现金红利总额（包括中期已分配的现金红利，以及以现金为对价，当年采用集中竞价方式、要约方式已实施的股份回购金额）XX元，低于归属于上市公司股东净利润的50%，具体说明如下。</w:t>
      </w:r>
    </w:p>
    <w:p w14:paraId="23A9AA05">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（一）现金分红比例确定的依据；</w:t>
      </w:r>
    </w:p>
    <w:p w14:paraId="330FB5FC">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Times New Roman" w:hAnsi="Times New Roman" w:eastAsia="仿宋_GB2312"/>
          <w:color w:val="000000"/>
          <w:kern w:val="0"/>
          <w:sz w:val="30"/>
          <w:szCs w:val="30"/>
        </w:rPr>
        <w:t>（二）</w:t>
      </w:r>
      <w:r>
        <w:rPr>
          <w:rFonts w:hint="eastAsia" w:ascii="仿宋_GB2312" w:hAnsi="Times New Roman" w:eastAsia="仿宋_GB2312"/>
          <w:color w:val="000000"/>
          <w:kern w:val="0"/>
          <w:sz w:val="30"/>
          <w:szCs w:val="30"/>
        </w:rPr>
        <w:t>未来增强投资者回报的规划。</w:t>
      </w:r>
    </w:p>
    <w:p w14:paraId="19A12B28">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hint="eastAsia" w:ascii="Times New Roman" w:hAnsi="Times New Roman" w:eastAsia="楷体"/>
          <w:color w:val="000000"/>
          <w:kern w:val="0"/>
          <w:sz w:val="24"/>
          <w:szCs w:val="24"/>
        </w:rPr>
        <w:t>（编制提醒：本条适用于非金融业上市公司。）</w:t>
      </w:r>
    </w:p>
    <w:p w14:paraId="3F86A4A1">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p>
    <w:p w14:paraId="7E39BE6A">
      <w:pPr>
        <w:autoSpaceDE w:val="0"/>
        <w:autoSpaceDN w:val="0"/>
        <w:adjustRightInd w:val="0"/>
        <w:snapToGrid w:val="0"/>
        <w:spacing w:line="560" w:lineRule="exact"/>
        <w:ind w:firstLine="602" w:firstLineChars="200"/>
        <w:rPr>
          <w:rFonts w:ascii="Times New Roman" w:hAnsi="Times New Roman" w:eastAsia="黑体"/>
          <w:b/>
          <w:sz w:val="30"/>
          <w:szCs w:val="30"/>
        </w:rPr>
      </w:pPr>
      <w:r>
        <w:rPr>
          <w:rFonts w:hint="eastAsia" w:ascii="Times New Roman" w:hAnsi="Times New Roman" w:eastAsia="黑体"/>
          <w:b/>
          <w:sz w:val="30"/>
          <w:szCs w:val="30"/>
        </w:rPr>
        <w:t>五、现金分红方案合理性的情况说明（如适用）</w:t>
      </w:r>
    </w:p>
    <w:p w14:paraId="2C9DB6F8">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情形一：</w:t>
      </w:r>
    </w:p>
    <w:p w14:paraId="1F970C6A">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报告期内，公司现金分红总额X</w:t>
      </w:r>
      <w:r>
        <w:rPr>
          <w:rFonts w:ascii="仿宋_GB2312" w:hAnsi="Times New Roman" w:eastAsia="仿宋_GB2312"/>
          <w:color w:val="000000"/>
          <w:kern w:val="0"/>
          <w:sz w:val="30"/>
          <w:szCs w:val="30"/>
        </w:rPr>
        <w:t>X</w:t>
      </w:r>
      <w:r>
        <w:rPr>
          <w:rFonts w:hint="eastAsia" w:ascii="仿宋_GB2312" w:hAnsi="Times New Roman" w:eastAsia="仿宋_GB2312"/>
          <w:color w:val="000000"/>
          <w:kern w:val="0"/>
          <w:sz w:val="30"/>
          <w:szCs w:val="30"/>
        </w:rPr>
        <w:t>元，占当期归属于上市公司股东净利润的</w:t>
      </w:r>
      <w:r>
        <w:rPr>
          <w:rFonts w:ascii="仿宋_GB2312" w:hAnsi="Times New Roman" w:eastAsia="仿宋_GB2312"/>
          <w:color w:val="000000"/>
          <w:kern w:val="0"/>
          <w:sz w:val="30"/>
          <w:szCs w:val="30"/>
        </w:rPr>
        <w:t>XX%</w:t>
      </w:r>
      <w:r>
        <w:rPr>
          <w:rFonts w:hint="eastAsia" w:ascii="仿宋_GB2312" w:hAnsi="Times New Roman" w:eastAsia="仿宋_GB2312"/>
          <w:color w:val="000000"/>
          <w:kern w:val="0"/>
          <w:sz w:val="30"/>
          <w:szCs w:val="30"/>
        </w:rPr>
        <w:t>，达到1</w:t>
      </w:r>
      <w:r>
        <w:rPr>
          <w:rFonts w:ascii="仿宋_GB2312" w:hAnsi="Times New Roman" w:eastAsia="仿宋_GB2312"/>
          <w:color w:val="000000"/>
          <w:kern w:val="0"/>
          <w:sz w:val="30"/>
          <w:szCs w:val="30"/>
        </w:rPr>
        <w:t>00%</w:t>
      </w:r>
      <w:r>
        <w:rPr>
          <w:rFonts w:hint="eastAsia" w:ascii="仿宋_GB2312" w:hAnsi="Times New Roman" w:eastAsia="仿宋_GB2312"/>
          <w:color w:val="000000"/>
          <w:kern w:val="0"/>
          <w:sz w:val="30"/>
          <w:szCs w:val="30"/>
        </w:rPr>
        <w:t>以上；占期末母公司报表中未分配利润的</w:t>
      </w:r>
      <w:r>
        <w:rPr>
          <w:rFonts w:ascii="仿宋_GB2312" w:hAnsi="Times New Roman" w:eastAsia="仿宋_GB2312"/>
          <w:color w:val="000000"/>
          <w:kern w:val="0"/>
          <w:sz w:val="30"/>
          <w:szCs w:val="30"/>
        </w:rPr>
        <w:t>XX%</w:t>
      </w:r>
      <w:r>
        <w:rPr>
          <w:rFonts w:hint="eastAsia" w:ascii="仿宋_GB2312" w:hAnsi="Times New Roman" w:eastAsia="仿宋_GB2312"/>
          <w:color w:val="000000"/>
          <w:kern w:val="0"/>
          <w:sz w:val="30"/>
          <w:szCs w:val="30"/>
        </w:rPr>
        <w:t>，达到5</w:t>
      </w:r>
      <w:r>
        <w:rPr>
          <w:rFonts w:ascii="仿宋_GB2312" w:hAnsi="Times New Roman" w:eastAsia="仿宋_GB2312"/>
          <w:color w:val="000000"/>
          <w:kern w:val="0"/>
          <w:sz w:val="30"/>
          <w:szCs w:val="30"/>
        </w:rPr>
        <w:t>0</w:t>
      </w:r>
      <w:r>
        <w:rPr>
          <w:rFonts w:hint="eastAsia" w:ascii="仿宋_GB2312" w:hAnsi="Times New Roman" w:eastAsia="仿宋_GB2312"/>
          <w:color w:val="000000"/>
          <w:kern w:val="0"/>
          <w:sz w:val="30"/>
          <w:szCs w:val="30"/>
        </w:rPr>
        <w:t>%以上。说明如下：利润分配是否影响公司偿债能力，过去十二个月内是否使用过募集资金补充流动资金以及未来十二个月是否计划使用募集资金补充流动资金。</w:t>
      </w:r>
    </w:p>
    <w:p w14:paraId="15191AB0">
      <w:pPr>
        <w:autoSpaceDE w:val="0"/>
        <w:autoSpaceDN w:val="0"/>
        <w:adjustRightInd w:val="0"/>
        <w:snapToGrid w:val="0"/>
        <w:spacing w:line="560" w:lineRule="exact"/>
        <w:ind w:firstLine="480" w:firstLineChars="200"/>
        <w:rPr>
          <w:rFonts w:ascii="仿宋_GB2312" w:hAnsi="Times New Roman" w:eastAsia="仿宋_GB2312"/>
          <w:color w:val="000000"/>
          <w:kern w:val="0"/>
          <w:sz w:val="30"/>
          <w:szCs w:val="30"/>
        </w:rPr>
      </w:pPr>
      <w:r>
        <w:rPr>
          <w:rFonts w:ascii="Times New Roman" w:hAnsi="Times New Roman" w:eastAsia="楷体"/>
          <w:color w:val="000000"/>
          <w:kern w:val="0"/>
          <w:sz w:val="24"/>
          <w:szCs w:val="24"/>
        </w:rPr>
        <w:t>（编制提醒：</w:t>
      </w:r>
      <w:r>
        <w:rPr>
          <w:rFonts w:hint="eastAsia" w:ascii="Times New Roman" w:hAnsi="Times New Roman" w:eastAsia="楷体"/>
          <w:color w:val="000000"/>
          <w:kern w:val="0"/>
          <w:sz w:val="24"/>
          <w:szCs w:val="24"/>
        </w:rPr>
        <w:t>上市公司利润分配方案中现金分红的金额达到或者超过当期归属于上市公司股东净利润的</w:t>
      </w:r>
      <w:r>
        <w:rPr>
          <w:rFonts w:ascii="Times New Roman" w:hAnsi="Times New Roman" w:eastAsia="楷体"/>
          <w:color w:val="000000"/>
          <w:kern w:val="0"/>
          <w:sz w:val="24"/>
          <w:szCs w:val="24"/>
        </w:rPr>
        <w:t>100%</w:t>
      </w:r>
      <w:r>
        <w:rPr>
          <w:rFonts w:hint="eastAsia" w:ascii="Times New Roman" w:hAnsi="Times New Roman" w:eastAsia="楷体"/>
          <w:color w:val="000000"/>
          <w:kern w:val="0"/>
          <w:sz w:val="24"/>
          <w:szCs w:val="24"/>
        </w:rPr>
        <w:t>，且达到或者超过当期末母公司报表中未分配利润的</w:t>
      </w:r>
      <w:r>
        <w:rPr>
          <w:rFonts w:ascii="Times New Roman" w:hAnsi="Times New Roman" w:eastAsia="楷体"/>
          <w:color w:val="000000"/>
          <w:kern w:val="0"/>
          <w:sz w:val="24"/>
          <w:szCs w:val="24"/>
        </w:rPr>
        <w:t>50%</w:t>
      </w:r>
      <w:r>
        <w:rPr>
          <w:rFonts w:hint="eastAsia" w:ascii="Times New Roman" w:hAnsi="Times New Roman" w:eastAsia="楷体"/>
          <w:color w:val="000000"/>
          <w:kern w:val="0"/>
          <w:sz w:val="24"/>
          <w:szCs w:val="24"/>
        </w:rPr>
        <w:t>的，公司应当在利润分配相关公告中同时披露是否影响偿债能力、过去十二个月内是否使用过募集资金补充流动资金以及未来十二个月内是否计划使用募集资金补充流动资金等内容。）</w:t>
      </w:r>
    </w:p>
    <w:p w14:paraId="0783676A">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情形二：</w:t>
      </w:r>
    </w:p>
    <w:p w14:paraId="66D4F67E">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报告期末，公司资产负债率</w:t>
      </w:r>
      <w:r>
        <w:rPr>
          <w:rFonts w:ascii="仿宋_GB2312" w:hAnsi="Times New Roman" w:eastAsia="仿宋_GB2312"/>
          <w:color w:val="000000"/>
          <w:kern w:val="0"/>
          <w:sz w:val="30"/>
          <w:szCs w:val="30"/>
        </w:rPr>
        <w:t>XX</w:t>
      </w:r>
      <w:r>
        <w:rPr>
          <w:rFonts w:hint="eastAsia" w:ascii="仿宋_GB2312" w:hAnsi="Times New Roman" w:eastAsia="仿宋_GB2312"/>
          <w:color w:val="000000"/>
          <w:kern w:val="0"/>
          <w:sz w:val="30"/>
          <w:szCs w:val="30"/>
        </w:rPr>
        <w:t>%，一年内到期的债务X</w:t>
      </w:r>
      <w:r>
        <w:rPr>
          <w:rFonts w:ascii="仿宋_GB2312" w:hAnsi="Times New Roman" w:eastAsia="仿宋_GB2312"/>
          <w:color w:val="000000"/>
          <w:kern w:val="0"/>
          <w:sz w:val="30"/>
          <w:szCs w:val="30"/>
        </w:rPr>
        <w:t>X</w:t>
      </w:r>
      <w:r>
        <w:rPr>
          <w:rFonts w:hint="eastAsia" w:ascii="仿宋_GB2312" w:hAnsi="Times New Roman" w:eastAsia="仿宋_GB2312"/>
          <w:color w:val="000000"/>
          <w:kern w:val="0"/>
          <w:sz w:val="30"/>
          <w:szCs w:val="30"/>
        </w:rPr>
        <w:t>元，账面货币资金X</w:t>
      </w:r>
      <w:r>
        <w:rPr>
          <w:rFonts w:ascii="仿宋_GB2312" w:hAnsi="Times New Roman" w:eastAsia="仿宋_GB2312"/>
          <w:color w:val="000000"/>
          <w:kern w:val="0"/>
          <w:sz w:val="30"/>
          <w:szCs w:val="30"/>
        </w:rPr>
        <w:t>X</w:t>
      </w:r>
      <w:r>
        <w:rPr>
          <w:rFonts w:hint="eastAsia" w:ascii="仿宋_GB2312" w:hAnsi="Times New Roman" w:eastAsia="仿宋_GB2312"/>
          <w:color w:val="000000"/>
          <w:kern w:val="0"/>
          <w:sz w:val="30"/>
          <w:szCs w:val="30"/>
        </w:rPr>
        <w:t>元，一年内融资总额XX元，融资成本XX元，经营活动产生现金流净额XX元，公司本期利润分配预案的确定依据，会/不会导致公司营运资金不足或者影响公司正常经营。</w:t>
      </w:r>
    </w:p>
    <w:p w14:paraId="2755648D">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ascii="Times New Roman" w:hAnsi="Times New Roman" w:eastAsia="楷体"/>
          <w:color w:val="000000"/>
          <w:kern w:val="0"/>
          <w:sz w:val="24"/>
          <w:szCs w:val="24"/>
        </w:rPr>
        <w:t>（编制提醒：</w:t>
      </w:r>
      <w:r>
        <w:rPr>
          <w:rFonts w:hint="eastAsia" w:ascii="Times New Roman" w:hAnsi="Times New Roman" w:eastAsia="楷体"/>
          <w:color w:val="000000"/>
          <w:kern w:val="0"/>
          <w:sz w:val="24"/>
          <w:szCs w:val="24"/>
        </w:rPr>
        <w:t>上市公司存在下列情形之一的，应当根据公司盈利能力、融资能力及其成本、偿债能力及现金流等情况，在利润分配相关公告中披露该现金分红方案的合理性，是否导致公司营运资金不足或者影响公司正常生产经营：</w:t>
      </w:r>
    </w:p>
    <w:p w14:paraId="640C1BD8">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hint="eastAsia" w:ascii="Times New Roman" w:hAnsi="Times New Roman" w:eastAsia="楷体"/>
          <w:color w:val="000000"/>
          <w:kern w:val="0"/>
          <w:sz w:val="24"/>
          <w:szCs w:val="24"/>
        </w:rPr>
        <w:t>（一）最近一个会计年度的财务会计报告被出具非无保留意见的审计报告或者带与持续经营相关的重大不确定性段落的无保留意见的审计报告，且实施现金分红的；</w:t>
      </w:r>
    </w:p>
    <w:p w14:paraId="4043ED84">
      <w:pPr>
        <w:autoSpaceDE w:val="0"/>
        <w:autoSpaceDN w:val="0"/>
        <w:adjustRightInd w:val="0"/>
        <w:snapToGrid w:val="0"/>
        <w:spacing w:line="560" w:lineRule="exact"/>
        <w:ind w:firstLine="480" w:firstLineChars="200"/>
        <w:rPr>
          <w:rFonts w:ascii="仿宋_GB2312" w:hAnsi="Times New Roman" w:eastAsia="仿宋_GB2312"/>
          <w:color w:val="000000"/>
          <w:kern w:val="0"/>
          <w:sz w:val="30"/>
          <w:szCs w:val="30"/>
        </w:rPr>
      </w:pPr>
      <w:r>
        <w:rPr>
          <w:rFonts w:hint="eastAsia" w:ascii="Times New Roman" w:hAnsi="Times New Roman" w:eastAsia="楷体"/>
          <w:color w:val="000000"/>
          <w:kern w:val="0"/>
          <w:sz w:val="24"/>
          <w:szCs w:val="24"/>
        </w:rPr>
        <w:t>（二）报告期末资产负债率超过80%且当期经营活动产生的现金流量净额为负，现金分红金额超过当期归属于上市公司股东净利润50%的，金融业上市公司除外。）</w:t>
      </w:r>
    </w:p>
    <w:p w14:paraId="12FFB30E">
      <w:pPr>
        <w:autoSpaceDE w:val="0"/>
        <w:autoSpaceDN w:val="0"/>
        <w:adjustRightInd w:val="0"/>
        <w:snapToGrid w:val="0"/>
        <w:spacing w:line="560" w:lineRule="exact"/>
        <w:ind w:firstLine="602" w:firstLineChars="200"/>
        <w:rPr>
          <w:rFonts w:ascii="Times New Roman" w:hAnsi="Times New Roman" w:eastAsia="黑体"/>
          <w:b/>
          <w:sz w:val="30"/>
          <w:szCs w:val="30"/>
        </w:rPr>
      </w:pPr>
    </w:p>
    <w:p w14:paraId="5B6FA0FC">
      <w:pPr>
        <w:autoSpaceDE w:val="0"/>
        <w:autoSpaceDN w:val="0"/>
        <w:adjustRightInd w:val="0"/>
        <w:snapToGrid w:val="0"/>
        <w:spacing w:line="560" w:lineRule="exact"/>
        <w:ind w:firstLine="602" w:firstLineChars="200"/>
        <w:rPr>
          <w:rFonts w:ascii="Times New Roman" w:hAnsi="Times New Roman" w:eastAsia="黑体"/>
          <w:b/>
          <w:sz w:val="30"/>
          <w:szCs w:val="30"/>
        </w:rPr>
      </w:pPr>
      <w:r>
        <w:rPr>
          <w:rFonts w:hint="eastAsia" w:ascii="Times New Roman" w:hAnsi="Times New Roman" w:eastAsia="黑体"/>
          <w:b/>
          <w:sz w:val="30"/>
          <w:szCs w:val="30"/>
        </w:rPr>
        <w:t>六</w:t>
      </w:r>
      <w:r>
        <w:rPr>
          <w:rFonts w:ascii="Times New Roman" w:hAnsi="Times New Roman" w:eastAsia="黑体"/>
          <w:b/>
          <w:sz w:val="30"/>
          <w:szCs w:val="30"/>
        </w:rPr>
        <w:t>、股东提议高送转的情况及理由（如适用）</w:t>
      </w:r>
    </w:p>
    <w:p w14:paraId="2077D88B">
      <w:pPr>
        <w:autoSpaceDE w:val="0"/>
        <w:autoSpaceDN w:val="0"/>
        <w:adjustRightInd w:val="0"/>
        <w:snapToGrid w:val="0"/>
        <w:spacing w:line="560" w:lineRule="exact"/>
        <w:ind w:firstLine="600" w:firstLineChars="200"/>
        <w:rPr>
          <w:rFonts w:ascii="仿宋_GB2312" w:hAnsi="仿宋_GB2312" w:eastAsia="仿宋_GB2312" w:cs="仿宋_GB2312"/>
          <w:color w:val="000000"/>
          <w:kern w:val="0"/>
          <w:sz w:val="30"/>
          <w:szCs w:val="30"/>
        </w:rPr>
      </w:pPr>
      <w:r>
        <w:rPr>
          <w:rFonts w:ascii="Times New Roman" w:hAnsi="Times New Roman" w:eastAsia="仿宋_GB2312"/>
          <w:color w:val="000000"/>
          <w:kern w:val="0"/>
          <w:sz w:val="30"/>
          <w:szCs w:val="30"/>
        </w:rPr>
        <w:t>（一）</w:t>
      </w:r>
      <w:r>
        <w:rPr>
          <w:rFonts w:hint="eastAsia" w:ascii="仿宋_GB2312" w:hAnsi="仿宋_GB2312" w:eastAsia="仿宋_GB2312" w:cs="仿宋_GB2312"/>
          <w:color w:val="000000"/>
          <w:kern w:val="0"/>
          <w:sz w:val="30"/>
          <w:szCs w:val="30"/>
        </w:rPr>
        <w:t>单独或合计持有公司1%以上的股东及其一致行动人（以下简称提议股东）向公司董事会提议高送转的时间和方式。</w:t>
      </w:r>
    </w:p>
    <w:p w14:paraId="3273C786">
      <w:pPr>
        <w:autoSpaceDE w:val="0"/>
        <w:autoSpaceDN w:val="0"/>
        <w:adjustRightInd w:val="0"/>
        <w:snapToGrid w:val="0"/>
        <w:spacing w:line="560" w:lineRule="exact"/>
        <w:ind w:firstLine="600" w:firstLineChars="200"/>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（二）股东向公司董事会提议高送转的主要理由，如本次提议是否符合公司当期实际经营业绩情况、是否满足公司当前经营活动需要、是否有利于公司未来发展等。</w:t>
      </w:r>
    </w:p>
    <w:p w14:paraId="1EFC4B14">
      <w:pPr>
        <w:autoSpaceDE w:val="0"/>
        <w:autoSpaceDN w:val="0"/>
        <w:adjustRightInd w:val="0"/>
        <w:snapToGrid w:val="0"/>
        <w:spacing w:line="560" w:lineRule="exact"/>
        <w:ind w:firstLine="600" w:firstLineChars="200"/>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（三）提议股东应当承诺并披露，如董事会同意提交股东会审议高送转议案，将在股东会上投票同意该项议案。</w:t>
      </w:r>
    </w:p>
    <w:p w14:paraId="5B12826E">
      <w:pPr>
        <w:autoSpaceDE w:val="0"/>
        <w:autoSpaceDN w:val="0"/>
        <w:adjustRightInd w:val="0"/>
        <w:snapToGrid w:val="0"/>
        <w:spacing w:line="560" w:lineRule="exact"/>
        <w:ind w:firstLine="600" w:firstLineChars="200"/>
        <w:rPr>
          <w:rFonts w:ascii="Times New Roman" w:hAnsi="Times New Roman" w:eastAsia="仿宋_GB2312"/>
          <w:color w:val="000000"/>
          <w:kern w:val="0"/>
          <w:sz w:val="30"/>
          <w:szCs w:val="30"/>
        </w:rPr>
      </w:pPr>
    </w:p>
    <w:p w14:paraId="6D83D70C">
      <w:pPr>
        <w:autoSpaceDE w:val="0"/>
        <w:autoSpaceDN w:val="0"/>
        <w:adjustRightInd w:val="0"/>
        <w:snapToGrid w:val="0"/>
        <w:spacing w:line="560" w:lineRule="exact"/>
        <w:ind w:firstLine="602" w:firstLineChars="200"/>
        <w:rPr>
          <w:rFonts w:ascii="Times New Roman" w:hAnsi="Times New Roman" w:eastAsia="黑体"/>
          <w:b/>
          <w:sz w:val="30"/>
          <w:szCs w:val="30"/>
        </w:rPr>
      </w:pPr>
      <w:r>
        <w:rPr>
          <w:rFonts w:hint="eastAsia" w:ascii="Times New Roman" w:hAnsi="Times New Roman" w:eastAsia="黑体"/>
          <w:b/>
          <w:sz w:val="30"/>
          <w:szCs w:val="30"/>
        </w:rPr>
        <w:t>七</w:t>
      </w:r>
      <w:r>
        <w:rPr>
          <w:rFonts w:ascii="Times New Roman" w:hAnsi="Times New Roman" w:eastAsia="黑体"/>
          <w:b/>
          <w:sz w:val="30"/>
          <w:szCs w:val="30"/>
        </w:rPr>
        <w:t>、公司履行的决策程序</w:t>
      </w:r>
    </w:p>
    <w:p w14:paraId="4AE75FB4">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1.公司于XX年XX月XX日召开XX年XX届XX次董事会审议通过本利润分配方案，本方案符合公司章程规定的利润分配政策和公司已披露的股东回报规划。（如不符合，披露具体原因及相关保护投资者措施）</w:t>
      </w:r>
    </w:p>
    <w:p w14:paraId="25EA28EA">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2.送转比例构成高送转的，董事投票反对将高送转议案提交股东会审议的，公司应当披露董事反对的具体理由。董事持有公司股份，并在董事会表决通过高送转议案时投赞成票的，应当明确承诺将在股东会审议高送转议案时投票同意该项议案，并予以披露。（如适用）</w:t>
      </w:r>
    </w:p>
    <w:p w14:paraId="0D562360">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3.送转比例构成高送转的，董事会审议高送转议案时，应当结合公司实际经营业绩情况等因素，审慎评估高送转方案的合理性与可行性，并予以披露。（如适用）</w:t>
      </w:r>
    </w:p>
    <w:p w14:paraId="7C24BB67">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4.送转比例构成高送转的，董事会审议通过非控股股东提议高送转事项的，应当同时征询公司控股股东、实际控制人对高送转议案的表决意向，并予以披露。（如适用）</w:t>
      </w:r>
    </w:p>
    <w:p w14:paraId="636BC0E9">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r>
        <w:rPr>
          <w:rFonts w:ascii="Times New Roman" w:hAnsi="Times New Roman" w:eastAsia="楷体"/>
          <w:color w:val="000000"/>
          <w:kern w:val="0"/>
          <w:sz w:val="24"/>
          <w:szCs w:val="24"/>
        </w:rPr>
        <w:t>（编制提醒：</w:t>
      </w:r>
      <w:r>
        <w:rPr>
          <w:rFonts w:hint="eastAsia" w:ascii="Times New Roman" w:hAnsi="Times New Roman" w:eastAsia="楷体"/>
          <w:color w:val="000000"/>
          <w:kern w:val="0"/>
          <w:sz w:val="24"/>
          <w:szCs w:val="24"/>
        </w:rPr>
        <w:t>独立董事认为现金分红具体方案可能损害上市公司或者中小股东权益的，有权发表独立意见。董事会对独立董事的意见未采纳或者未完全采纳的，应当在董事会决议公告中披露独立董事的意见及未采纳的具体理由。）</w:t>
      </w:r>
    </w:p>
    <w:p w14:paraId="1863DFAF">
      <w:pPr>
        <w:autoSpaceDE w:val="0"/>
        <w:autoSpaceDN w:val="0"/>
        <w:adjustRightInd w:val="0"/>
        <w:snapToGrid w:val="0"/>
        <w:spacing w:line="560" w:lineRule="exact"/>
        <w:ind w:firstLine="480" w:firstLineChars="200"/>
        <w:rPr>
          <w:rFonts w:ascii="Times New Roman" w:hAnsi="Times New Roman" w:eastAsia="楷体"/>
          <w:color w:val="000000"/>
          <w:kern w:val="0"/>
          <w:sz w:val="24"/>
          <w:szCs w:val="24"/>
        </w:rPr>
      </w:pPr>
    </w:p>
    <w:p w14:paraId="09B1D3AD">
      <w:pPr>
        <w:autoSpaceDE w:val="0"/>
        <w:autoSpaceDN w:val="0"/>
        <w:adjustRightInd w:val="0"/>
        <w:snapToGrid w:val="0"/>
        <w:spacing w:line="560" w:lineRule="exact"/>
        <w:ind w:firstLine="602" w:firstLineChars="200"/>
        <w:rPr>
          <w:rFonts w:ascii="Times New Roman" w:hAnsi="Times New Roman" w:eastAsia="黑体"/>
          <w:b/>
          <w:sz w:val="30"/>
          <w:szCs w:val="30"/>
        </w:rPr>
      </w:pPr>
      <w:r>
        <w:rPr>
          <w:rFonts w:hint="eastAsia" w:ascii="Times New Roman" w:hAnsi="Times New Roman" w:eastAsia="黑体"/>
          <w:b/>
          <w:sz w:val="30"/>
          <w:szCs w:val="30"/>
        </w:rPr>
        <w:t>八</w:t>
      </w:r>
      <w:r>
        <w:rPr>
          <w:rFonts w:ascii="Times New Roman" w:hAnsi="Times New Roman" w:eastAsia="黑体"/>
          <w:b/>
          <w:sz w:val="30"/>
          <w:szCs w:val="30"/>
        </w:rPr>
        <w:t>、公司董事及提议股东的持股变动情况与减持计划（如适用）</w:t>
      </w:r>
    </w:p>
    <w:p w14:paraId="28FD90D9">
      <w:pPr>
        <w:autoSpaceDE w:val="0"/>
        <w:autoSpaceDN w:val="0"/>
        <w:adjustRightInd w:val="0"/>
        <w:snapToGrid w:val="0"/>
        <w:spacing w:line="560" w:lineRule="exact"/>
        <w:ind w:firstLine="600" w:firstLineChars="200"/>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一）公司董事及提议股东在董事会审议高送转事项之前6个月内的持股变动情况，如是否协议买卖公司股份、是否在二级市场增减持公司股份、是否认购公司定向增发股份、是否参与公司员工持股或股权激励计划等。</w:t>
      </w:r>
    </w:p>
    <w:p w14:paraId="50D3EC53">
      <w:pPr>
        <w:autoSpaceDE w:val="0"/>
        <w:autoSpaceDN w:val="0"/>
        <w:adjustRightInd w:val="0"/>
        <w:snapToGrid w:val="0"/>
        <w:spacing w:line="560" w:lineRule="exact"/>
        <w:ind w:firstLine="600" w:firstLineChars="200"/>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（二）公司问询提议高送转方案的股东、控股股东及其一致行动人和董事、高级管理人员未来减持计划的具体过程及问询回复情况，包括但不限于未来 3 个月、未来 6 个月的减持计划情况，并披露相关股东的回复。</w:t>
      </w:r>
    </w:p>
    <w:p w14:paraId="4C573A13">
      <w:pPr>
        <w:autoSpaceDE w:val="0"/>
        <w:autoSpaceDN w:val="0"/>
        <w:adjustRightInd w:val="0"/>
        <w:snapToGrid w:val="0"/>
        <w:spacing w:line="560" w:lineRule="exact"/>
        <w:ind w:firstLine="602" w:firstLineChars="200"/>
        <w:rPr>
          <w:rFonts w:ascii="Times New Roman" w:hAnsi="Times New Roman" w:eastAsia="黑体"/>
          <w:b/>
          <w:sz w:val="30"/>
          <w:szCs w:val="30"/>
        </w:rPr>
      </w:pPr>
    </w:p>
    <w:p w14:paraId="5C685468">
      <w:pPr>
        <w:autoSpaceDE w:val="0"/>
        <w:autoSpaceDN w:val="0"/>
        <w:adjustRightInd w:val="0"/>
        <w:snapToGrid w:val="0"/>
        <w:spacing w:line="560" w:lineRule="exact"/>
        <w:ind w:firstLine="602" w:firstLineChars="200"/>
        <w:rPr>
          <w:rFonts w:ascii="Times New Roman" w:hAnsi="Times New Roman" w:eastAsia="黑体"/>
          <w:b/>
          <w:sz w:val="30"/>
          <w:szCs w:val="30"/>
        </w:rPr>
      </w:pPr>
      <w:r>
        <w:rPr>
          <w:rFonts w:hint="eastAsia" w:ascii="Times New Roman" w:hAnsi="Times New Roman" w:eastAsia="黑体"/>
          <w:b/>
          <w:sz w:val="30"/>
          <w:szCs w:val="30"/>
        </w:rPr>
        <w:t>九</w:t>
      </w:r>
      <w:r>
        <w:rPr>
          <w:rFonts w:ascii="Times New Roman" w:hAnsi="Times New Roman" w:eastAsia="黑体"/>
          <w:b/>
          <w:sz w:val="30"/>
          <w:szCs w:val="30"/>
        </w:rPr>
        <w:t>、相关风险提示</w:t>
      </w:r>
    </w:p>
    <w:p w14:paraId="510A5EDE">
      <w:pPr>
        <w:autoSpaceDE w:val="0"/>
        <w:autoSpaceDN w:val="0"/>
        <w:adjustRightInd w:val="0"/>
        <w:snapToGrid w:val="0"/>
        <w:spacing w:line="560" w:lineRule="exact"/>
        <w:ind w:firstLine="600" w:firstLineChars="200"/>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（一）现金分红对上市公司每股收益、现金流状况、生产经营的影响分析。（如适用）</w:t>
      </w:r>
    </w:p>
    <w:p w14:paraId="40614FE9">
      <w:pPr>
        <w:autoSpaceDE w:val="0"/>
        <w:autoSpaceDN w:val="0"/>
        <w:adjustRightInd w:val="0"/>
        <w:snapToGrid w:val="0"/>
        <w:spacing w:line="560" w:lineRule="exact"/>
        <w:ind w:firstLine="600" w:firstLineChars="200"/>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（二）董事会应当披露本次提交股东会审议的高送转提案可能被股东会否决的重大风险。（如适用）</w:t>
      </w:r>
    </w:p>
    <w:p w14:paraId="4E5E2E27">
      <w:pPr>
        <w:autoSpaceDE w:val="0"/>
        <w:autoSpaceDN w:val="0"/>
        <w:adjustRightInd w:val="0"/>
        <w:snapToGrid w:val="0"/>
        <w:spacing w:line="560" w:lineRule="exact"/>
        <w:ind w:firstLine="600" w:firstLineChars="200"/>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（三）董事会应当披露在审议通过高送转议案前后的6个月内，公司限售股解禁及限售期即将届满的情况。（如适用）</w:t>
      </w:r>
    </w:p>
    <w:p w14:paraId="119204B7">
      <w:pPr>
        <w:autoSpaceDE w:val="0"/>
        <w:autoSpaceDN w:val="0"/>
        <w:adjustRightInd w:val="0"/>
        <w:snapToGrid w:val="0"/>
        <w:spacing w:line="560" w:lineRule="exact"/>
        <w:ind w:firstLine="600" w:firstLineChars="200"/>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（四）董事会应当在公告中明确做出以下风险提示：高送转对公司股东享有的净资产权益及其持股比例不产生实质性影响，请投资者理性判断，并注意相关投资风险。（如适用）</w:t>
      </w:r>
    </w:p>
    <w:p w14:paraId="769AD668">
      <w:pPr>
        <w:autoSpaceDE w:val="0"/>
        <w:autoSpaceDN w:val="0"/>
        <w:adjustRightInd w:val="0"/>
        <w:snapToGrid w:val="0"/>
        <w:spacing w:line="560" w:lineRule="exact"/>
        <w:ind w:firstLine="600" w:firstLineChars="200"/>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（五）其他风险说明。</w:t>
      </w:r>
    </w:p>
    <w:p w14:paraId="673E936B">
      <w:pPr>
        <w:autoSpaceDE w:val="0"/>
        <w:autoSpaceDN w:val="0"/>
        <w:adjustRightInd w:val="0"/>
        <w:snapToGrid w:val="0"/>
        <w:spacing w:line="560" w:lineRule="exact"/>
        <w:ind w:firstLine="600" w:firstLineChars="200"/>
        <w:rPr>
          <w:rFonts w:ascii="Times New Roman" w:hAnsi="Times New Roman" w:eastAsia="仿宋_GB2312"/>
          <w:color w:val="000000"/>
          <w:kern w:val="0"/>
          <w:sz w:val="30"/>
          <w:szCs w:val="30"/>
        </w:rPr>
      </w:pPr>
    </w:p>
    <w:p w14:paraId="25A0A2EA">
      <w:pPr>
        <w:autoSpaceDE w:val="0"/>
        <w:autoSpaceDN w:val="0"/>
        <w:adjustRightInd w:val="0"/>
        <w:snapToGrid w:val="0"/>
        <w:spacing w:line="560" w:lineRule="exact"/>
        <w:ind w:firstLine="600" w:firstLineChars="200"/>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特此公告。</w:t>
      </w:r>
    </w:p>
    <w:p w14:paraId="7D6DB244">
      <w:pPr>
        <w:adjustRightInd w:val="0"/>
        <w:snapToGrid w:val="0"/>
        <w:spacing w:line="560" w:lineRule="exact"/>
        <w:ind w:firstLine="480" w:firstLineChars="200"/>
        <w:rPr>
          <w:rFonts w:ascii="Times New Roman" w:hAnsi="Times New Roman"/>
          <w:sz w:val="24"/>
        </w:rPr>
      </w:pPr>
    </w:p>
    <w:p w14:paraId="56423613">
      <w:pPr>
        <w:autoSpaceDE w:val="0"/>
        <w:autoSpaceDN w:val="0"/>
        <w:adjustRightInd w:val="0"/>
        <w:spacing w:line="560" w:lineRule="exact"/>
        <w:jc w:val="right"/>
        <w:rPr>
          <w:rFonts w:ascii="仿宋_GB2312" w:hAnsi="Times New Roman" w:eastAsia="仿宋_GB2312"/>
          <w:color w:val="000000"/>
          <w:kern w:val="0"/>
          <w:sz w:val="30"/>
          <w:szCs w:val="30"/>
        </w:rPr>
      </w:pPr>
      <w:r>
        <w:rPr>
          <w:rFonts w:hint="eastAsia" w:ascii="仿宋_GB2312" w:hAnsi="Times New Roman" w:eastAsia="仿宋_GB2312"/>
          <w:color w:val="000000"/>
          <w:sz w:val="30"/>
          <w:szCs w:val="30"/>
        </w:rPr>
        <w:t>XXXX</w:t>
      </w:r>
      <w:r>
        <w:rPr>
          <w:rFonts w:hint="eastAsia" w:ascii="仿宋_GB2312" w:hAnsi="Times New Roman" w:eastAsia="仿宋_GB2312"/>
          <w:color w:val="000000"/>
          <w:kern w:val="0"/>
          <w:sz w:val="30"/>
          <w:szCs w:val="30"/>
        </w:rPr>
        <w:t>股份有限公司董事会</w:t>
      </w:r>
    </w:p>
    <w:p w14:paraId="0D737C9E">
      <w:pPr>
        <w:autoSpaceDE w:val="0"/>
        <w:autoSpaceDN w:val="0"/>
        <w:adjustRightInd w:val="0"/>
        <w:spacing w:line="560" w:lineRule="exact"/>
        <w:jc w:val="righ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 xml:space="preserve"> 年  月  日</w:t>
      </w:r>
    </w:p>
    <w:p w14:paraId="186E84DC">
      <w:pPr>
        <w:autoSpaceDE w:val="0"/>
        <w:autoSpaceDN w:val="0"/>
        <w:adjustRightInd w:val="0"/>
        <w:spacing w:line="560" w:lineRule="exact"/>
        <w:ind w:right="1200"/>
        <w:rPr>
          <w:rFonts w:ascii="Times New Roman" w:hAnsi="Times New Roman" w:eastAsia="仿宋_GB2312"/>
          <w:color w:val="000000"/>
          <w:sz w:val="30"/>
          <w:szCs w:val="30"/>
        </w:rPr>
      </w:pPr>
    </w:p>
    <w:p w14:paraId="26EC7128">
      <w:pPr>
        <w:pStyle w:val="17"/>
        <w:numPr>
          <w:ilvl w:val="0"/>
          <w:numId w:val="2"/>
        </w:numPr>
        <w:autoSpaceDE w:val="0"/>
        <w:autoSpaceDN w:val="0"/>
        <w:adjustRightInd w:val="0"/>
        <w:snapToGrid w:val="0"/>
        <w:spacing w:line="560" w:lineRule="exact"/>
        <w:ind w:firstLineChars="0"/>
        <w:jc w:val="left"/>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报备文件</w:t>
      </w:r>
    </w:p>
    <w:p w14:paraId="2896F585">
      <w:pPr>
        <w:autoSpaceDE w:val="0"/>
        <w:autoSpaceDN w:val="0"/>
        <w:adjustRightInd w:val="0"/>
        <w:snapToGrid w:val="0"/>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回购注销金额的相关证明文件（如适用）</w:t>
      </w:r>
    </w:p>
    <w:p w14:paraId="7352E532">
      <w:pPr>
        <w:pStyle w:val="6"/>
        <w:spacing w:line="560" w:lineRule="exact"/>
        <w:ind w:firstLine="750"/>
        <w:jc w:val="right"/>
        <w:rPr>
          <w:rFonts w:ascii="Times New Roman" w:hAnsi="Times New Roman" w:eastAsia="仿宋_GB2312"/>
          <w:color w:val="000000"/>
          <w:sz w:val="30"/>
          <w:szCs w:val="30"/>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77BF9">
    <w:pPr>
      <w:pStyle w:val="6"/>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12</w:t>
    </w:r>
    <w:r>
      <w:rPr>
        <w:rFonts w:ascii="Times New Roman" w:hAnsi="Times New Roma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8EA89">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286009"/>
    <w:multiLevelType w:val="multilevel"/>
    <w:tmpl w:val="23286009"/>
    <w:lvl w:ilvl="0" w:tentative="0">
      <w:start w:val="0"/>
      <w:numFmt w:val="bullet"/>
      <w:lvlText w:val=""/>
      <w:lvlJc w:val="left"/>
      <w:pPr>
        <w:tabs>
          <w:tab w:val="left" w:pos="1318"/>
        </w:tabs>
        <w:ind w:left="1318" w:hanging="780"/>
      </w:pPr>
      <w:rPr>
        <w:rFonts w:hint="default" w:ascii="Wingdings" w:hAnsi="Wingdings" w:eastAsia="仿宋_GB2312" w:cs="Times New Roman"/>
        <w:b w:val="0"/>
      </w:rPr>
    </w:lvl>
    <w:lvl w:ilvl="1" w:tentative="0">
      <w:start w:val="1"/>
      <w:numFmt w:val="bullet"/>
      <w:lvlText w:val=""/>
      <w:lvlJc w:val="left"/>
      <w:pPr>
        <w:tabs>
          <w:tab w:val="left" w:pos="1378"/>
        </w:tabs>
        <w:ind w:left="1378" w:hanging="420"/>
      </w:pPr>
      <w:rPr>
        <w:rFonts w:hint="default" w:ascii="Wingdings" w:hAnsi="Wingdings"/>
      </w:rPr>
    </w:lvl>
    <w:lvl w:ilvl="2" w:tentative="0">
      <w:start w:val="1"/>
      <w:numFmt w:val="bullet"/>
      <w:lvlText w:val=""/>
      <w:lvlJc w:val="left"/>
      <w:pPr>
        <w:tabs>
          <w:tab w:val="left" w:pos="1798"/>
        </w:tabs>
        <w:ind w:left="1798" w:hanging="420"/>
      </w:pPr>
      <w:rPr>
        <w:rFonts w:hint="default" w:ascii="Wingdings" w:hAnsi="Wingdings"/>
      </w:rPr>
    </w:lvl>
    <w:lvl w:ilvl="3" w:tentative="0">
      <w:start w:val="1"/>
      <w:numFmt w:val="bullet"/>
      <w:lvlText w:val=""/>
      <w:lvlJc w:val="left"/>
      <w:pPr>
        <w:tabs>
          <w:tab w:val="left" w:pos="2218"/>
        </w:tabs>
        <w:ind w:left="2218" w:hanging="420"/>
      </w:pPr>
      <w:rPr>
        <w:rFonts w:hint="default" w:ascii="Wingdings" w:hAnsi="Wingdings"/>
        <w:b w:val="0"/>
      </w:rPr>
    </w:lvl>
    <w:lvl w:ilvl="4" w:tentative="0">
      <w:start w:val="1"/>
      <w:numFmt w:val="bullet"/>
      <w:lvlText w:val=""/>
      <w:lvlJc w:val="left"/>
      <w:pPr>
        <w:tabs>
          <w:tab w:val="left" w:pos="2638"/>
        </w:tabs>
        <w:ind w:left="2638" w:hanging="420"/>
      </w:pPr>
      <w:rPr>
        <w:rFonts w:hint="default" w:ascii="Wingdings" w:hAnsi="Wingdings"/>
      </w:rPr>
    </w:lvl>
    <w:lvl w:ilvl="5" w:tentative="0">
      <w:start w:val="1"/>
      <w:numFmt w:val="bullet"/>
      <w:lvlText w:val=""/>
      <w:lvlJc w:val="left"/>
      <w:pPr>
        <w:tabs>
          <w:tab w:val="left" w:pos="3058"/>
        </w:tabs>
        <w:ind w:left="3058" w:hanging="420"/>
      </w:pPr>
      <w:rPr>
        <w:rFonts w:hint="default" w:ascii="Wingdings" w:hAnsi="Wingdings"/>
      </w:rPr>
    </w:lvl>
    <w:lvl w:ilvl="6" w:tentative="0">
      <w:start w:val="1"/>
      <w:numFmt w:val="bullet"/>
      <w:lvlText w:val=""/>
      <w:lvlJc w:val="left"/>
      <w:pPr>
        <w:tabs>
          <w:tab w:val="left" w:pos="3478"/>
        </w:tabs>
        <w:ind w:left="3478" w:hanging="420"/>
      </w:pPr>
      <w:rPr>
        <w:rFonts w:hint="default" w:ascii="Wingdings" w:hAnsi="Wingdings"/>
      </w:rPr>
    </w:lvl>
    <w:lvl w:ilvl="7" w:tentative="0">
      <w:start w:val="1"/>
      <w:numFmt w:val="bullet"/>
      <w:lvlText w:val=""/>
      <w:lvlJc w:val="left"/>
      <w:pPr>
        <w:tabs>
          <w:tab w:val="left" w:pos="3898"/>
        </w:tabs>
        <w:ind w:left="3898" w:hanging="420"/>
      </w:pPr>
      <w:rPr>
        <w:rFonts w:hint="default" w:ascii="Wingdings" w:hAnsi="Wingdings"/>
      </w:rPr>
    </w:lvl>
    <w:lvl w:ilvl="8" w:tentative="0">
      <w:start w:val="1"/>
      <w:numFmt w:val="bullet"/>
      <w:lvlText w:val=""/>
      <w:lvlJc w:val="left"/>
      <w:pPr>
        <w:tabs>
          <w:tab w:val="left" w:pos="4318"/>
        </w:tabs>
        <w:ind w:left="4318" w:hanging="420"/>
      </w:pPr>
      <w:rPr>
        <w:rFonts w:hint="default" w:ascii="Wingdings" w:hAnsi="Wingdings"/>
      </w:rPr>
    </w:lvl>
  </w:abstractNum>
  <w:abstractNum w:abstractNumId="1">
    <w:nsid w:val="234F360F"/>
    <w:multiLevelType w:val="multilevel"/>
    <w:tmpl w:val="234F360F"/>
    <w:lvl w:ilvl="0" w:tentative="0">
      <w:start w:val="1"/>
      <w:numFmt w:val="bullet"/>
      <w:lvlText w:val=""/>
      <w:lvlJc w:val="left"/>
      <w:pPr>
        <w:ind w:left="987" w:hanging="420"/>
      </w:pPr>
      <w:rPr>
        <w:rFonts w:hint="default" w:ascii="Wingdings" w:hAnsi="Wingdings"/>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4NDBmMTJkYzBiMThlMDhhNTE5MDJhNGRjYmJlZjQifQ=="/>
  </w:docVars>
  <w:rsids>
    <w:rsidRoot w:val="00E620FF"/>
    <w:rsid w:val="00000795"/>
    <w:rsid w:val="000121F2"/>
    <w:rsid w:val="00013615"/>
    <w:rsid w:val="00022494"/>
    <w:rsid w:val="00022900"/>
    <w:rsid w:val="00022D1A"/>
    <w:rsid w:val="00024A36"/>
    <w:rsid w:val="000332EC"/>
    <w:rsid w:val="00033C39"/>
    <w:rsid w:val="00034298"/>
    <w:rsid w:val="00035E18"/>
    <w:rsid w:val="000409AB"/>
    <w:rsid w:val="00040FB8"/>
    <w:rsid w:val="00041067"/>
    <w:rsid w:val="00041A82"/>
    <w:rsid w:val="000454E7"/>
    <w:rsid w:val="00046727"/>
    <w:rsid w:val="0004693E"/>
    <w:rsid w:val="00047D69"/>
    <w:rsid w:val="00051754"/>
    <w:rsid w:val="0005507D"/>
    <w:rsid w:val="000558B2"/>
    <w:rsid w:val="000606F2"/>
    <w:rsid w:val="0006196C"/>
    <w:rsid w:val="00061B35"/>
    <w:rsid w:val="00062618"/>
    <w:rsid w:val="00062D4E"/>
    <w:rsid w:val="000721B7"/>
    <w:rsid w:val="00075F8F"/>
    <w:rsid w:val="00085113"/>
    <w:rsid w:val="00085BE2"/>
    <w:rsid w:val="0009061F"/>
    <w:rsid w:val="0009394A"/>
    <w:rsid w:val="000942F3"/>
    <w:rsid w:val="0009560A"/>
    <w:rsid w:val="00095AB1"/>
    <w:rsid w:val="000A27D3"/>
    <w:rsid w:val="000A31AF"/>
    <w:rsid w:val="000A3CBE"/>
    <w:rsid w:val="000A70D4"/>
    <w:rsid w:val="000A7774"/>
    <w:rsid w:val="000B1EC7"/>
    <w:rsid w:val="000B4FF6"/>
    <w:rsid w:val="000B648A"/>
    <w:rsid w:val="000B69C8"/>
    <w:rsid w:val="000B6E58"/>
    <w:rsid w:val="000B6F2B"/>
    <w:rsid w:val="000B6FBA"/>
    <w:rsid w:val="000C3BBD"/>
    <w:rsid w:val="000C498A"/>
    <w:rsid w:val="000C66A4"/>
    <w:rsid w:val="000C7153"/>
    <w:rsid w:val="000C72C2"/>
    <w:rsid w:val="000D0E7E"/>
    <w:rsid w:val="000D54F8"/>
    <w:rsid w:val="000D7048"/>
    <w:rsid w:val="000D7793"/>
    <w:rsid w:val="000E18EC"/>
    <w:rsid w:val="000E459E"/>
    <w:rsid w:val="000E69AA"/>
    <w:rsid w:val="000E69C2"/>
    <w:rsid w:val="000F5DEC"/>
    <w:rsid w:val="00101076"/>
    <w:rsid w:val="001026C4"/>
    <w:rsid w:val="00105CFD"/>
    <w:rsid w:val="0010688F"/>
    <w:rsid w:val="00107D25"/>
    <w:rsid w:val="00110D4B"/>
    <w:rsid w:val="0011125A"/>
    <w:rsid w:val="00117720"/>
    <w:rsid w:val="001239DD"/>
    <w:rsid w:val="00124129"/>
    <w:rsid w:val="0013279E"/>
    <w:rsid w:val="00132CBC"/>
    <w:rsid w:val="00135102"/>
    <w:rsid w:val="00135155"/>
    <w:rsid w:val="00135D79"/>
    <w:rsid w:val="001429E4"/>
    <w:rsid w:val="0016255E"/>
    <w:rsid w:val="00163A84"/>
    <w:rsid w:val="00166F19"/>
    <w:rsid w:val="00173EE0"/>
    <w:rsid w:val="00175784"/>
    <w:rsid w:val="00176102"/>
    <w:rsid w:val="00176F09"/>
    <w:rsid w:val="001773A8"/>
    <w:rsid w:val="0017765E"/>
    <w:rsid w:val="00181105"/>
    <w:rsid w:val="00182DB1"/>
    <w:rsid w:val="00183EEB"/>
    <w:rsid w:val="00191041"/>
    <w:rsid w:val="00194D89"/>
    <w:rsid w:val="00197274"/>
    <w:rsid w:val="001A0A47"/>
    <w:rsid w:val="001A2686"/>
    <w:rsid w:val="001B304E"/>
    <w:rsid w:val="001B7891"/>
    <w:rsid w:val="001C5EE0"/>
    <w:rsid w:val="001C602C"/>
    <w:rsid w:val="001D4624"/>
    <w:rsid w:val="001D5648"/>
    <w:rsid w:val="001D5B0F"/>
    <w:rsid w:val="001E478D"/>
    <w:rsid w:val="001E669E"/>
    <w:rsid w:val="001E72F9"/>
    <w:rsid w:val="001F120A"/>
    <w:rsid w:val="001F3585"/>
    <w:rsid w:val="001F419F"/>
    <w:rsid w:val="00204C1C"/>
    <w:rsid w:val="002061A1"/>
    <w:rsid w:val="00206C20"/>
    <w:rsid w:val="00216480"/>
    <w:rsid w:val="002175E6"/>
    <w:rsid w:val="002179BA"/>
    <w:rsid w:val="00221061"/>
    <w:rsid w:val="00222FA1"/>
    <w:rsid w:val="00223CA3"/>
    <w:rsid w:val="002250F0"/>
    <w:rsid w:val="00226478"/>
    <w:rsid w:val="002272A2"/>
    <w:rsid w:val="00233D65"/>
    <w:rsid w:val="00236433"/>
    <w:rsid w:val="00236B36"/>
    <w:rsid w:val="00237D19"/>
    <w:rsid w:val="0024034A"/>
    <w:rsid w:val="00250409"/>
    <w:rsid w:val="00251142"/>
    <w:rsid w:val="00252181"/>
    <w:rsid w:val="00260504"/>
    <w:rsid w:val="00261480"/>
    <w:rsid w:val="00267615"/>
    <w:rsid w:val="002707CD"/>
    <w:rsid w:val="00274313"/>
    <w:rsid w:val="00284F68"/>
    <w:rsid w:val="0029121A"/>
    <w:rsid w:val="00291E51"/>
    <w:rsid w:val="00293BFC"/>
    <w:rsid w:val="00294628"/>
    <w:rsid w:val="00294BEB"/>
    <w:rsid w:val="00296009"/>
    <w:rsid w:val="002A2BC1"/>
    <w:rsid w:val="002A493C"/>
    <w:rsid w:val="002A7765"/>
    <w:rsid w:val="002B3986"/>
    <w:rsid w:val="002B425A"/>
    <w:rsid w:val="002C0BC9"/>
    <w:rsid w:val="002C730B"/>
    <w:rsid w:val="002D6EE0"/>
    <w:rsid w:val="002E2441"/>
    <w:rsid w:val="002E3252"/>
    <w:rsid w:val="002E3695"/>
    <w:rsid w:val="002E4EE5"/>
    <w:rsid w:val="002E51A8"/>
    <w:rsid w:val="002E51BB"/>
    <w:rsid w:val="002E6FEF"/>
    <w:rsid w:val="002F27A6"/>
    <w:rsid w:val="002F27E2"/>
    <w:rsid w:val="002F3362"/>
    <w:rsid w:val="002F3E42"/>
    <w:rsid w:val="00302AD8"/>
    <w:rsid w:val="00304200"/>
    <w:rsid w:val="003140CC"/>
    <w:rsid w:val="00314D3D"/>
    <w:rsid w:val="00320A44"/>
    <w:rsid w:val="00326A87"/>
    <w:rsid w:val="0033055E"/>
    <w:rsid w:val="00331A8B"/>
    <w:rsid w:val="00331ADA"/>
    <w:rsid w:val="00334456"/>
    <w:rsid w:val="00335574"/>
    <w:rsid w:val="00342B35"/>
    <w:rsid w:val="00354468"/>
    <w:rsid w:val="00357D20"/>
    <w:rsid w:val="0036009C"/>
    <w:rsid w:val="00370F56"/>
    <w:rsid w:val="00372375"/>
    <w:rsid w:val="003725DA"/>
    <w:rsid w:val="003738AF"/>
    <w:rsid w:val="00374968"/>
    <w:rsid w:val="00375C97"/>
    <w:rsid w:val="0037614C"/>
    <w:rsid w:val="003848F6"/>
    <w:rsid w:val="00385A72"/>
    <w:rsid w:val="00386819"/>
    <w:rsid w:val="003874A4"/>
    <w:rsid w:val="003907E1"/>
    <w:rsid w:val="00390AD6"/>
    <w:rsid w:val="00391EBC"/>
    <w:rsid w:val="0039455F"/>
    <w:rsid w:val="003A196F"/>
    <w:rsid w:val="003A1AF9"/>
    <w:rsid w:val="003A2256"/>
    <w:rsid w:val="003A42E9"/>
    <w:rsid w:val="003C3E96"/>
    <w:rsid w:val="003C4413"/>
    <w:rsid w:val="003C475F"/>
    <w:rsid w:val="003C7546"/>
    <w:rsid w:val="003D0785"/>
    <w:rsid w:val="003D3D2B"/>
    <w:rsid w:val="003D49C9"/>
    <w:rsid w:val="003D515C"/>
    <w:rsid w:val="003E4702"/>
    <w:rsid w:val="003F19B6"/>
    <w:rsid w:val="00400B18"/>
    <w:rsid w:val="0040285E"/>
    <w:rsid w:val="00402B13"/>
    <w:rsid w:val="00406C0D"/>
    <w:rsid w:val="00414121"/>
    <w:rsid w:val="00414C2C"/>
    <w:rsid w:val="00414E61"/>
    <w:rsid w:val="00416543"/>
    <w:rsid w:val="00416846"/>
    <w:rsid w:val="0042010B"/>
    <w:rsid w:val="00423F19"/>
    <w:rsid w:val="00424EA1"/>
    <w:rsid w:val="00427CDE"/>
    <w:rsid w:val="00432B0C"/>
    <w:rsid w:val="004332A9"/>
    <w:rsid w:val="004375D2"/>
    <w:rsid w:val="00441600"/>
    <w:rsid w:val="00442933"/>
    <w:rsid w:val="00442B5E"/>
    <w:rsid w:val="0044641A"/>
    <w:rsid w:val="00452FC7"/>
    <w:rsid w:val="0045616A"/>
    <w:rsid w:val="00463D11"/>
    <w:rsid w:val="004668ED"/>
    <w:rsid w:val="00467E0F"/>
    <w:rsid w:val="00474394"/>
    <w:rsid w:val="00486D02"/>
    <w:rsid w:val="00487EDB"/>
    <w:rsid w:val="004901D9"/>
    <w:rsid w:val="00490245"/>
    <w:rsid w:val="00491C88"/>
    <w:rsid w:val="00497058"/>
    <w:rsid w:val="004A1E1E"/>
    <w:rsid w:val="004A3A95"/>
    <w:rsid w:val="004A5F21"/>
    <w:rsid w:val="004A63F2"/>
    <w:rsid w:val="004A7BB6"/>
    <w:rsid w:val="004B0AD5"/>
    <w:rsid w:val="004B1AA9"/>
    <w:rsid w:val="004B67A1"/>
    <w:rsid w:val="004C0788"/>
    <w:rsid w:val="004C1943"/>
    <w:rsid w:val="004C2959"/>
    <w:rsid w:val="004C51D3"/>
    <w:rsid w:val="004C7688"/>
    <w:rsid w:val="004C76EB"/>
    <w:rsid w:val="004D0164"/>
    <w:rsid w:val="004D0D25"/>
    <w:rsid w:val="004D6808"/>
    <w:rsid w:val="004E27DD"/>
    <w:rsid w:val="004E4D45"/>
    <w:rsid w:val="004E5874"/>
    <w:rsid w:val="004F46DA"/>
    <w:rsid w:val="004F4C38"/>
    <w:rsid w:val="00501B8D"/>
    <w:rsid w:val="00501B90"/>
    <w:rsid w:val="00503945"/>
    <w:rsid w:val="0050540D"/>
    <w:rsid w:val="00506D1B"/>
    <w:rsid w:val="005076EC"/>
    <w:rsid w:val="00511467"/>
    <w:rsid w:val="0051402B"/>
    <w:rsid w:val="00515DA4"/>
    <w:rsid w:val="00520616"/>
    <w:rsid w:val="00520869"/>
    <w:rsid w:val="00523C04"/>
    <w:rsid w:val="00526390"/>
    <w:rsid w:val="005311A0"/>
    <w:rsid w:val="00535684"/>
    <w:rsid w:val="00536E36"/>
    <w:rsid w:val="00542729"/>
    <w:rsid w:val="005437F3"/>
    <w:rsid w:val="00550967"/>
    <w:rsid w:val="00556D87"/>
    <w:rsid w:val="005572E2"/>
    <w:rsid w:val="00564FDE"/>
    <w:rsid w:val="0057211E"/>
    <w:rsid w:val="00572894"/>
    <w:rsid w:val="00572CD2"/>
    <w:rsid w:val="00573CF6"/>
    <w:rsid w:val="005779F2"/>
    <w:rsid w:val="00584687"/>
    <w:rsid w:val="00585C65"/>
    <w:rsid w:val="0058612E"/>
    <w:rsid w:val="00587437"/>
    <w:rsid w:val="0059051C"/>
    <w:rsid w:val="00595012"/>
    <w:rsid w:val="00596FCA"/>
    <w:rsid w:val="00597D76"/>
    <w:rsid w:val="005A0FB9"/>
    <w:rsid w:val="005A2E60"/>
    <w:rsid w:val="005A3972"/>
    <w:rsid w:val="005A5E3E"/>
    <w:rsid w:val="005A6A9D"/>
    <w:rsid w:val="005A6B70"/>
    <w:rsid w:val="005A6D71"/>
    <w:rsid w:val="005B0AF7"/>
    <w:rsid w:val="005B171A"/>
    <w:rsid w:val="005B1BCD"/>
    <w:rsid w:val="005B2D60"/>
    <w:rsid w:val="005C058C"/>
    <w:rsid w:val="005C3039"/>
    <w:rsid w:val="005C416B"/>
    <w:rsid w:val="005C78FA"/>
    <w:rsid w:val="005D0862"/>
    <w:rsid w:val="005E07AB"/>
    <w:rsid w:val="005E0B01"/>
    <w:rsid w:val="005E435E"/>
    <w:rsid w:val="005E5C56"/>
    <w:rsid w:val="005E60C8"/>
    <w:rsid w:val="005E7845"/>
    <w:rsid w:val="005F29C3"/>
    <w:rsid w:val="006041E4"/>
    <w:rsid w:val="00605FAF"/>
    <w:rsid w:val="00607BA2"/>
    <w:rsid w:val="00613A7B"/>
    <w:rsid w:val="0061591D"/>
    <w:rsid w:val="00617849"/>
    <w:rsid w:val="00621B6C"/>
    <w:rsid w:val="0062563A"/>
    <w:rsid w:val="0063183B"/>
    <w:rsid w:val="00632CDA"/>
    <w:rsid w:val="0063552E"/>
    <w:rsid w:val="0064288C"/>
    <w:rsid w:val="00642C9C"/>
    <w:rsid w:val="006526F3"/>
    <w:rsid w:val="00655631"/>
    <w:rsid w:val="00655E57"/>
    <w:rsid w:val="00660471"/>
    <w:rsid w:val="006604D1"/>
    <w:rsid w:val="0066224C"/>
    <w:rsid w:val="006629C0"/>
    <w:rsid w:val="00666361"/>
    <w:rsid w:val="00671391"/>
    <w:rsid w:val="0067198B"/>
    <w:rsid w:val="00675A2D"/>
    <w:rsid w:val="00677431"/>
    <w:rsid w:val="00677F62"/>
    <w:rsid w:val="006834E7"/>
    <w:rsid w:val="00686CEA"/>
    <w:rsid w:val="00687996"/>
    <w:rsid w:val="00691779"/>
    <w:rsid w:val="006963B5"/>
    <w:rsid w:val="006A5840"/>
    <w:rsid w:val="006A59BE"/>
    <w:rsid w:val="006A781B"/>
    <w:rsid w:val="006A7899"/>
    <w:rsid w:val="006B01DC"/>
    <w:rsid w:val="006B3541"/>
    <w:rsid w:val="006B63E8"/>
    <w:rsid w:val="006D21A3"/>
    <w:rsid w:val="006D33A5"/>
    <w:rsid w:val="006D6081"/>
    <w:rsid w:val="006D644E"/>
    <w:rsid w:val="006E1AD5"/>
    <w:rsid w:val="006E1E54"/>
    <w:rsid w:val="006F06D8"/>
    <w:rsid w:val="006F2851"/>
    <w:rsid w:val="006F2D96"/>
    <w:rsid w:val="007047A6"/>
    <w:rsid w:val="00707B6D"/>
    <w:rsid w:val="00711905"/>
    <w:rsid w:val="00711A96"/>
    <w:rsid w:val="00712E61"/>
    <w:rsid w:val="00713018"/>
    <w:rsid w:val="00713A54"/>
    <w:rsid w:val="007154DC"/>
    <w:rsid w:val="0071578E"/>
    <w:rsid w:val="00715F10"/>
    <w:rsid w:val="00717211"/>
    <w:rsid w:val="007212E5"/>
    <w:rsid w:val="007225B7"/>
    <w:rsid w:val="00722684"/>
    <w:rsid w:val="00727DDC"/>
    <w:rsid w:val="00733683"/>
    <w:rsid w:val="007342A0"/>
    <w:rsid w:val="007354D2"/>
    <w:rsid w:val="00735546"/>
    <w:rsid w:val="00735B59"/>
    <w:rsid w:val="007366FC"/>
    <w:rsid w:val="00736C29"/>
    <w:rsid w:val="0074385E"/>
    <w:rsid w:val="007454C8"/>
    <w:rsid w:val="00750AED"/>
    <w:rsid w:val="007518D4"/>
    <w:rsid w:val="007545D2"/>
    <w:rsid w:val="00754901"/>
    <w:rsid w:val="00755F6E"/>
    <w:rsid w:val="0076201E"/>
    <w:rsid w:val="007621AA"/>
    <w:rsid w:val="00771088"/>
    <w:rsid w:val="00772E00"/>
    <w:rsid w:val="00773A20"/>
    <w:rsid w:val="007746BD"/>
    <w:rsid w:val="00774903"/>
    <w:rsid w:val="00780892"/>
    <w:rsid w:val="007846F7"/>
    <w:rsid w:val="00785216"/>
    <w:rsid w:val="00785250"/>
    <w:rsid w:val="0079390A"/>
    <w:rsid w:val="007A4CEF"/>
    <w:rsid w:val="007A78E0"/>
    <w:rsid w:val="007B26D0"/>
    <w:rsid w:val="007B5758"/>
    <w:rsid w:val="007B6000"/>
    <w:rsid w:val="007C25B4"/>
    <w:rsid w:val="007C62C8"/>
    <w:rsid w:val="007C7FC0"/>
    <w:rsid w:val="007D0F7E"/>
    <w:rsid w:val="007D1E5C"/>
    <w:rsid w:val="007D427A"/>
    <w:rsid w:val="007D51BD"/>
    <w:rsid w:val="007D6643"/>
    <w:rsid w:val="007D7723"/>
    <w:rsid w:val="007E1239"/>
    <w:rsid w:val="007E2244"/>
    <w:rsid w:val="007E5033"/>
    <w:rsid w:val="007E509E"/>
    <w:rsid w:val="007F1A9D"/>
    <w:rsid w:val="007F2FAC"/>
    <w:rsid w:val="007F448F"/>
    <w:rsid w:val="007F6AD5"/>
    <w:rsid w:val="008056C9"/>
    <w:rsid w:val="0080582A"/>
    <w:rsid w:val="008065C4"/>
    <w:rsid w:val="008102DF"/>
    <w:rsid w:val="0081281A"/>
    <w:rsid w:val="00814D65"/>
    <w:rsid w:val="008169E8"/>
    <w:rsid w:val="00817229"/>
    <w:rsid w:val="00817BE8"/>
    <w:rsid w:val="008217CC"/>
    <w:rsid w:val="00821CD9"/>
    <w:rsid w:val="008255B7"/>
    <w:rsid w:val="008264D0"/>
    <w:rsid w:val="00831A68"/>
    <w:rsid w:val="00837DC7"/>
    <w:rsid w:val="00843765"/>
    <w:rsid w:val="0084524A"/>
    <w:rsid w:val="00852F6A"/>
    <w:rsid w:val="00854EEE"/>
    <w:rsid w:val="00855F7B"/>
    <w:rsid w:val="00864B52"/>
    <w:rsid w:val="00864C9F"/>
    <w:rsid w:val="0086541A"/>
    <w:rsid w:val="00867D30"/>
    <w:rsid w:val="008701D3"/>
    <w:rsid w:val="00870E71"/>
    <w:rsid w:val="008713FE"/>
    <w:rsid w:val="00873F01"/>
    <w:rsid w:val="008772D9"/>
    <w:rsid w:val="00884A6B"/>
    <w:rsid w:val="00890415"/>
    <w:rsid w:val="008923ED"/>
    <w:rsid w:val="008959A7"/>
    <w:rsid w:val="00897BB2"/>
    <w:rsid w:val="008A0C06"/>
    <w:rsid w:val="008A4150"/>
    <w:rsid w:val="008B3F98"/>
    <w:rsid w:val="008B509D"/>
    <w:rsid w:val="008B74CE"/>
    <w:rsid w:val="008C0690"/>
    <w:rsid w:val="008C646E"/>
    <w:rsid w:val="008D0D6B"/>
    <w:rsid w:val="008D12FE"/>
    <w:rsid w:val="008D3FC4"/>
    <w:rsid w:val="008D61FF"/>
    <w:rsid w:val="008E0855"/>
    <w:rsid w:val="008E1C09"/>
    <w:rsid w:val="008F273E"/>
    <w:rsid w:val="008F6159"/>
    <w:rsid w:val="00901C98"/>
    <w:rsid w:val="009034FA"/>
    <w:rsid w:val="00914841"/>
    <w:rsid w:val="00915CE4"/>
    <w:rsid w:val="009213AE"/>
    <w:rsid w:val="00922A1A"/>
    <w:rsid w:val="00923F6A"/>
    <w:rsid w:val="009246A4"/>
    <w:rsid w:val="00924B34"/>
    <w:rsid w:val="00930B19"/>
    <w:rsid w:val="00931FFE"/>
    <w:rsid w:val="00933591"/>
    <w:rsid w:val="00933AB7"/>
    <w:rsid w:val="00936B7D"/>
    <w:rsid w:val="0094404C"/>
    <w:rsid w:val="009440A5"/>
    <w:rsid w:val="0094550F"/>
    <w:rsid w:val="00947DF2"/>
    <w:rsid w:val="00950593"/>
    <w:rsid w:val="0095079F"/>
    <w:rsid w:val="00952BBB"/>
    <w:rsid w:val="00954EB1"/>
    <w:rsid w:val="00955AAA"/>
    <w:rsid w:val="009570EE"/>
    <w:rsid w:val="00975156"/>
    <w:rsid w:val="00975387"/>
    <w:rsid w:val="00976314"/>
    <w:rsid w:val="00977AAA"/>
    <w:rsid w:val="00980819"/>
    <w:rsid w:val="00981FA2"/>
    <w:rsid w:val="0098430C"/>
    <w:rsid w:val="00984340"/>
    <w:rsid w:val="0098556E"/>
    <w:rsid w:val="00985615"/>
    <w:rsid w:val="00987D5D"/>
    <w:rsid w:val="009A1CA0"/>
    <w:rsid w:val="009A6CF1"/>
    <w:rsid w:val="009A7EE4"/>
    <w:rsid w:val="009B0E3B"/>
    <w:rsid w:val="009B1035"/>
    <w:rsid w:val="009B7CBB"/>
    <w:rsid w:val="009C0B8A"/>
    <w:rsid w:val="009C3247"/>
    <w:rsid w:val="009C53DB"/>
    <w:rsid w:val="009D19A4"/>
    <w:rsid w:val="009D304E"/>
    <w:rsid w:val="009D3EDB"/>
    <w:rsid w:val="009D5F36"/>
    <w:rsid w:val="009D661B"/>
    <w:rsid w:val="009D69D5"/>
    <w:rsid w:val="009E3396"/>
    <w:rsid w:val="009E6822"/>
    <w:rsid w:val="009E6F80"/>
    <w:rsid w:val="009F0132"/>
    <w:rsid w:val="009F2D11"/>
    <w:rsid w:val="009F2EF8"/>
    <w:rsid w:val="009F74B6"/>
    <w:rsid w:val="009F78AE"/>
    <w:rsid w:val="009F7977"/>
    <w:rsid w:val="00A00417"/>
    <w:rsid w:val="00A01848"/>
    <w:rsid w:val="00A0446F"/>
    <w:rsid w:val="00A07229"/>
    <w:rsid w:val="00A0781E"/>
    <w:rsid w:val="00A12D49"/>
    <w:rsid w:val="00A136C5"/>
    <w:rsid w:val="00A141C5"/>
    <w:rsid w:val="00A15040"/>
    <w:rsid w:val="00A21CD9"/>
    <w:rsid w:val="00A234E7"/>
    <w:rsid w:val="00A31DAE"/>
    <w:rsid w:val="00A41589"/>
    <w:rsid w:val="00A427D2"/>
    <w:rsid w:val="00A51009"/>
    <w:rsid w:val="00A52A11"/>
    <w:rsid w:val="00A53057"/>
    <w:rsid w:val="00A534D9"/>
    <w:rsid w:val="00A55324"/>
    <w:rsid w:val="00A55619"/>
    <w:rsid w:val="00A61878"/>
    <w:rsid w:val="00A62F5E"/>
    <w:rsid w:val="00A6312A"/>
    <w:rsid w:val="00A668FC"/>
    <w:rsid w:val="00A732BB"/>
    <w:rsid w:val="00A7686C"/>
    <w:rsid w:val="00A76E6E"/>
    <w:rsid w:val="00A80575"/>
    <w:rsid w:val="00A8249B"/>
    <w:rsid w:val="00A82BFE"/>
    <w:rsid w:val="00A84436"/>
    <w:rsid w:val="00A84AF0"/>
    <w:rsid w:val="00A94401"/>
    <w:rsid w:val="00A97240"/>
    <w:rsid w:val="00AA513B"/>
    <w:rsid w:val="00AA5BB3"/>
    <w:rsid w:val="00AA72B4"/>
    <w:rsid w:val="00AB5255"/>
    <w:rsid w:val="00AB5ACE"/>
    <w:rsid w:val="00AB75D4"/>
    <w:rsid w:val="00AC08AD"/>
    <w:rsid w:val="00AC4327"/>
    <w:rsid w:val="00AC48BC"/>
    <w:rsid w:val="00AC6633"/>
    <w:rsid w:val="00AD2C51"/>
    <w:rsid w:val="00AD4D5B"/>
    <w:rsid w:val="00AD5E33"/>
    <w:rsid w:val="00AE0EF7"/>
    <w:rsid w:val="00AF4255"/>
    <w:rsid w:val="00AF4412"/>
    <w:rsid w:val="00AF49B9"/>
    <w:rsid w:val="00AF4D6B"/>
    <w:rsid w:val="00AF5A1A"/>
    <w:rsid w:val="00AF6F95"/>
    <w:rsid w:val="00B0489D"/>
    <w:rsid w:val="00B054AF"/>
    <w:rsid w:val="00B060D7"/>
    <w:rsid w:val="00B10489"/>
    <w:rsid w:val="00B10BF8"/>
    <w:rsid w:val="00B11286"/>
    <w:rsid w:val="00B11EFF"/>
    <w:rsid w:val="00B1272A"/>
    <w:rsid w:val="00B13529"/>
    <w:rsid w:val="00B23376"/>
    <w:rsid w:val="00B233CA"/>
    <w:rsid w:val="00B23509"/>
    <w:rsid w:val="00B241C9"/>
    <w:rsid w:val="00B27C69"/>
    <w:rsid w:val="00B317B4"/>
    <w:rsid w:val="00B33085"/>
    <w:rsid w:val="00B412A1"/>
    <w:rsid w:val="00B41857"/>
    <w:rsid w:val="00B44790"/>
    <w:rsid w:val="00B4487F"/>
    <w:rsid w:val="00B51583"/>
    <w:rsid w:val="00B51D2D"/>
    <w:rsid w:val="00B52D80"/>
    <w:rsid w:val="00B57D51"/>
    <w:rsid w:val="00B617F5"/>
    <w:rsid w:val="00B62042"/>
    <w:rsid w:val="00B6211C"/>
    <w:rsid w:val="00B63CB1"/>
    <w:rsid w:val="00B64EEE"/>
    <w:rsid w:val="00B65FD4"/>
    <w:rsid w:val="00B7027B"/>
    <w:rsid w:val="00B712DF"/>
    <w:rsid w:val="00B72913"/>
    <w:rsid w:val="00B738CE"/>
    <w:rsid w:val="00B73CD6"/>
    <w:rsid w:val="00B81E0C"/>
    <w:rsid w:val="00B83146"/>
    <w:rsid w:val="00B8623F"/>
    <w:rsid w:val="00B8766E"/>
    <w:rsid w:val="00B87D9F"/>
    <w:rsid w:val="00B87E5C"/>
    <w:rsid w:val="00B96E08"/>
    <w:rsid w:val="00B97150"/>
    <w:rsid w:val="00BA2608"/>
    <w:rsid w:val="00BA32BF"/>
    <w:rsid w:val="00BA58DB"/>
    <w:rsid w:val="00BA7CA0"/>
    <w:rsid w:val="00BB1DCB"/>
    <w:rsid w:val="00BB26A5"/>
    <w:rsid w:val="00BB29AB"/>
    <w:rsid w:val="00BB3628"/>
    <w:rsid w:val="00BB37F1"/>
    <w:rsid w:val="00BB4D55"/>
    <w:rsid w:val="00BB74BB"/>
    <w:rsid w:val="00BC474A"/>
    <w:rsid w:val="00BD0527"/>
    <w:rsid w:val="00BD33CB"/>
    <w:rsid w:val="00BD3D80"/>
    <w:rsid w:val="00BD6AD1"/>
    <w:rsid w:val="00BD7291"/>
    <w:rsid w:val="00BE0174"/>
    <w:rsid w:val="00BE04F4"/>
    <w:rsid w:val="00BE087A"/>
    <w:rsid w:val="00BF05FC"/>
    <w:rsid w:val="00BF170B"/>
    <w:rsid w:val="00BF5C2A"/>
    <w:rsid w:val="00BF652D"/>
    <w:rsid w:val="00BF6913"/>
    <w:rsid w:val="00C056F3"/>
    <w:rsid w:val="00C059F4"/>
    <w:rsid w:val="00C05EA3"/>
    <w:rsid w:val="00C06714"/>
    <w:rsid w:val="00C1125D"/>
    <w:rsid w:val="00C15389"/>
    <w:rsid w:val="00C15DB6"/>
    <w:rsid w:val="00C16F9F"/>
    <w:rsid w:val="00C25890"/>
    <w:rsid w:val="00C26AFC"/>
    <w:rsid w:val="00C316B0"/>
    <w:rsid w:val="00C31848"/>
    <w:rsid w:val="00C31EF3"/>
    <w:rsid w:val="00C32BE8"/>
    <w:rsid w:val="00C32D58"/>
    <w:rsid w:val="00C33CFD"/>
    <w:rsid w:val="00C34CA7"/>
    <w:rsid w:val="00C36DD5"/>
    <w:rsid w:val="00C377D8"/>
    <w:rsid w:val="00C37E69"/>
    <w:rsid w:val="00C4633C"/>
    <w:rsid w:val="00C50B6A"/>
    <w:rsid w:val="00C51048"/>
    <w:rsid w:val="00C51123"/>
    <w:rsid w:val="00C5422D"/>
    <w:rsid w:val="00C544FF"/>
    <w:rsid w:val="00C55505"/>
    <w:rsid w:val="00C55625"/>
    <w:rsid w:val="00C57261"/>
    <w:rsid w:val="00C60DAF"/>
    <w:rsid w:val="00C6138B"/>
    <w:rsid w:val="00C617D1"/>
    <w:rsid w:val="00C61EAC"/>
    <w:rsid w:val="00C62907"/>
    <w:rsid w:val="00C635E3"/>
    <w:rsid w:val="00C66007"/>
    <w:rsid w:val="00C71E2D"/>
    <w:rsid w:val="00C747BF"/>
    <w:rsid w:val="00C76B9D"/>
    <w:rsid w:val="00C76C61"/>
    <w:rsid w:val="00C81DB0"/>
    <w:rsid w:val="00C82E02"/>
    <w:rsid w:val="00C83B69"/>
    <w:rsid w:val="00C86581"/>
    <w:rsid w:val="00C91D73"/>
    <w:rsid w:val="00C9343E"/>
    <w:rsid w:val="00C94DC8"/>
    <w:rsid w:val="00CA228F"/>
    <w:rsid w:val="00CA34BD"/>
    <w:rsid w:val="00CB41E0"/>
    <w:rsid w:val="00CC3990"/>
    <w:rsid w:val="00CC5FD6"/>
    <w:rsid w:val="00CC784F"/>
    <w:rsid w:val="00CD067B"/>
    <w:rsid w:val="00CD55C8"/>
    <w:rsid w:val="00CD6524"/>
    <w:rsid w:val="00CD6C9E"/>
    <w:rsid w:val="00CE013B"/>
    <w:rsid w:val="00CE0371"/>
    <w:rsid w:val="00CE0FF9"/>
    <w:rsid w:val="00CE2571"/>
    <w:rsid w:val="00CE54BD"/>
    <w:rsid w:val="00CF1916"/>
    <w:rsid w:val="00CF302D"/>
    <w:rsid w:val="00CF3837"/>
    <w:rsid w:val="00CF7762"/>
    <w:rsid w:val="00D0207B"/>
    <w:rsid w:val="00D063C1"/>
    <w:rsid w:val="00D06D4C"/>
    <w:rsid w:val="00D11A6C"/>
    <w:rsid w:val="00D151CB"/>
    <w:rsid w:val="00D16582"/>
    <w:rsid w:val="00D16820"/>
    <w:rsid w:val="00D16B69"/>
    <w:rsid w:val="00D178D8"/>
    <w:rsid w:val="00D20513"/>
    <w:rsid w:val="00D2125C"/>
    <w:rsid w:val="00D219DE"/>
    <w:rsid w:val="00D22DF7"/>
    <w:rsid w:val="00D23076"/>
    <w:rsid w:val="00D2536E"/>
    <w:rsid w:val="00D2543C"/>
    <w:rsid w:val="00D25D84"/>
    <w:rsid w:val="00D260F5"/>
    <w:rsid w:val="00D2695C"/>
    <w:rsid w:val="00D31EBE"/>
    <w:rsid w:val="00D37BEF"/>
    <w:rsid w:val="00D40998"/>
    <w:rsid w:val="00D4238A"/>
    <w:rsid w:val="00D455B4"/>
    <w:rsid w:val="00D45BDE"/>
    <w:rsid w:val="00D47F09"/>
    <w:rsid w:val="00D51C9C"/>
    <w:rsid w:val="00D60679"/>
    <w:rsid w:val="00D60D44"/>
    <w:rsid w:val="00D61728"/>
    <w:rsid w:val="00D67277"/>
    <w:rsid w:val="00D74790"/>
    <w:rsid w:val="00D76C00"/>
    <w:rsid w:val="00D84D76"/>
    <w:rsid w:val="00D8500A"/>
    <w:rsid w:val="00D87A6F"/>
    <w:rsid w:val="00D9397D"/>
    <w:rsid w:val="00D96C80"/>
    <w:rsid w:val="00D97687"/>
    <w:rsid w:val="00DA3E4D"/>
    <w:rsid w:val="00DA4429"/>
    <w:rsid w:val="00DB1C03"/>
    <w:rsid w:val="00DC1A1C"/>
    <w:rsid w:val="00DC50D0"/>
    <w:rsid w:val="00DD14A8"/>
    <w:rsid w:val="00DD1AC0"/>
    <w:rsid w:val="00DD2BA8"/>
    <w:rsid w:val="00DD42EA"/>
    <w:rsid w:val="00DE1A18"/>
    <w:rsid w:val="00DE1B00"/>
    <w:rsid w:val="00DF07EA"/>
    <w:rsid w:val="00DF17B2"/>
    <w:rsid w:val="00DF1A7A"/>
    <w:rsid w:val="00DF3BE4"/>
    <w:rsid w:val="00DF573A"/>
    <w:rsid w:val="00DF69AA"/>
    <w:rsid w:val="00DF7FE9"/>
    <w:rsid w:val="00E0193F"/>
    <w:rsid w:val="00E046D0"/>
    <w:rsid w:val="00E064A3"/>
    <w:rsid w:val="00E0676A"/>
    <w:rsid w:val="00E0720C"/>
    <w:rsid w:val="00E11ABE"/>
    <w:rsid w:val="00E11DFA"/>
    <w:rsid w:val="00E1345A"/>
    <w:rsid w:val="00E13A58"/>
    <w:rsid w:val="00E1654C"/>
    <w:rsid w:val="00E16C84"/>
    <w:rsid w:val="00E21E0B"/>
    <w:rsid w:val="00E307AC"/>
    <w:rsid w:val="00E315DC"/>
    <w:rsid w:val="00E34AA3"/>
    <w:rsid w:val="00E3760B"/>
    <w:rsid w:val="00E43630"/>
    <w:rsid w:val="00E46026"/>
    <w:rsid w:val="00E50801"/>
    <w:rsid w:val="00E620FF"/>
    <w:rsid w:val="00E67C49"/>
    <w:rsid w:val="00E718FF"/>
    <w:rsid w:val="00E74312"/>
    <w:rsid w:val="00E77335"/>
    <w:rsid w:val="00E90617"/>
    <w:rsid w:val="00E95CCD"/>
    <w:rsid w:val="00E96FF0"/>
    <w:rsid w:val="00EA11FB"/>
    <w:rsid w:val="00EA15BC"/>
    <w:rsid w:val="00EA2932"/>
    <w:rsid w:val="00EA5A16"/>
    <w:rsid w:val="00EA5BA2"/>
    <w:rsid w:val="00EB2C0B"/>
    <w:rsid w:val="00EB3F96"/>
    <w:rsid w:val="00EB537C"/>
    <w:rsid w:val="00EC273C"/>
    <w:rsid w:val="00EC3002"/>
    <w:rsid w:val="00EC3354"/>
    <w:rsid w:val="00ED0FC9"/>
    <w:rsid w:val="00ED22D4"/>
    <w:rsid w:val="00EE38A4"/>
    <w:rsid w:val="00EE70BC"/>
    <w:rsid w:val="00EE793C"/>
    <w:rsid w:val="00EF1CBE"/>
    <w:rsid w:val="00EF793E"/>
    <w:rsid w:val="00F02AD3"/>
    <w:rsid w:val="00F057E1"/>
    <w:rsid w:val="00F07A3F"/>
    <w:rsid w:val="00F1098A"/>
    <w:rsid w:val="00F124D9"/>
    <w:rsid w:val="00F14447"/>
    <w:rsid w:val="00F14A7A"/>
    <w:rsid w:val="00F17CFA"/>
    <w:rsid w:val="00F21B96"/>
    <w:rsid w:val="00F24DE4"/>
    <w:rsid w:val="00F26C31"/>
    <w:rsid w:val="00F31F74"/>
    <w:rsid w:val="00F333D9"/>
    <w:rsid w:val="00F45D9F"/>
    <w:rsid w:val="00F53F8D"/>
    <w:rsid w:val="00F54196"/>
    <w:rsid w:val="00F544A0"/>
    <w:rsid w:val="00F55096"/>
    <w:rsid w:val="00F576EC"/>
    <w:rsid w:val="00F61089"/>
    <w:rsid w:val="00F61624"/>
    <w:rsid w:val="00F61950"/>
    <w:rsid w:val="00F61C3C"/>
    <w:rsid w:val="00F638B5"/>
    <w:rsid w:val="00F663EB"/>
    <w:rsid w:val="00F676D7"/>
    <w:rsid w:val="00F70C0C"/>
    <w:rsid w:val="00F74BBD"/>
    <w:rsid w:val="00F7694B"/>
    <w:rsid w:val="00F7758B"/>
    <w:rsid w:val="00F81363"/>
    <w:rsid w:val="00F85B57"/>
    <w:rsid w:val="00F8710C"/>
    <w:rsid w:val="00F94276"/>
    <w:rsid w:val="00F948A9"/>
    <w:rsid w:val="00F95593"/>
    <w:rsid w:val="00F96CC7"/>
    <w:rsid w:val="00FA0311"/>
    <w:rsid w:val="00FA045B"/>
    <w:rsid w:val="00FA3B68"/>
    <w:rsid w:val="00FA4309"/>
    <w:rsid w:val="00FA5BC8"/>
    <w:rsid w:val="00FB186F"/>
    <w:rsid w:val="00FB49F0"/>
    <w:rsid w:val="00FC2476"/>
    <w:rsid w:val="00FC3B83"/>
    <w:rsid w:val="00FC643C"/>
    <w:rsid w:val="00FC6F8B"/>
    <w:rsid w:val="00FD0667"/>
    <w:rsid w:val="00FD0CC4"/>
    <w:rsid w:val="00FD0F89"/>
    <w:rsid w:val="00FD746D"/>
    <w:rsid w:val="00FE1940"/>
    <w:rsid w:val="00FE478F"/>
    <w:rsid w:val="00FE4CD4"/>
    <w:rsid w:val="00FF0A41"/>
    <w:rsid w:val="00FF0D08"/>
    <w:rsid w:val="00FF225C"/>
    <w:rsid w:val="00FF3AB1"/>
    <w:rsid w:val="00FF4266"/>
    <w:rsid w:val="00FF5B87"/>
    <w:rsid w:val="00FF7C17"/>
    <w:rsid w:val="0CDE0108"/>
    <w:rsid w:val="0CF87D0F"/>
    <w:rsid w:val="14AA2CAA"/>
    <w:rsid w:val="368A2987"/>
    <w:rsid w:val="36FE087F"/>
    <w:rsid w:val="44517333"/>
    <w:rsid w:val="475E3C0E"/>
    <w:rsid w:val="4BFE48C0"/>
    <w:rsid w:val="50EB0D2F"/>
    <w:rsid w:val="5ABD4207"/>
    <w:rsid w:val="5E57A45F"/>
    <w:rsid w:val="5FFD2C50"/>
    <w:rsid w:val="609E412F"/>
    <w:rsid w:val="7E3BF3E0"/>
    <w:rsid w:val="7F5DB016"/>
    <w:rsid w:val="7F7FFF7B"/>
    <w:rsid w:val="7FB92915"/>
    <w:rsid w:val="7FDF5AB3"/>
    <w:rsid w:val="9FFEAC82"/>
    <w:rsid w:val="A3BF1E3F"/>
    <w:rsid w:val="A7DBC1F8"/>
    <w:rsid w:val="BEFB001E"/>
    <w:rsid w:val="BEFD6D11"/>
    <w:rsid w:val="D66FF995"/>
    <w:rsid w:val="D6D7F535"/>
    <w:rsid w:val="E5FFD6DB"/>
    <w:rsid w:val="EDFF3004"/>
    <w:rsid w:val="EEFF9B04"/>
    <w:rsid w:val="EF1FAB89"/>
    <w:rsid w:val="EF7F6377"/>
    <w:rsid w:val="F71EA477"/>
    <w:rsid w:val="F75FCDCC"/>
    <w:rsid w:val="F7BF5899"/>
    <w:rsid w:val="F7DC752F"/>
    <w:rsid w:val="F8F9CD90"/>
    <w:rsid w:val="FBF7ED5A"/>
    <w:rsid w:val="FDDF7679"/>
    <w:rsid w:val="FF170B52"/>
    <w:rsid w:val="FF3E6E9D"/>
    <w:rsid w:val="FFF7551D"/>
    <w:rsid w:val="FFFF155E"/>
    <w:rsid w:val="FFFFBF0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1"/>
    <w:semiHidden/>
    <w:unhideWhenUsed/>
    <w:qFormat/>
    <w:uiPriority w:val="99"/>
    <w:rPr>
      <w:rFonts w:ascii="宋体"/>
      <w:sz w:val="18"/>
      <w:szCs w:val="18"/>
    </w:rPr>
  </w:style>
  <w:style w:type="paragraph" w:styleId="4">
    <w:name w:val="annotation text"/>
    <w:basedOn w:val="1"/>
    <w:link w:val="22"/>
    <w:unhideWhenUsed/>
    <w:qFormat/>
    <w:uiPriority w:val="99"/>
    <w:pPr>
      <w:jc w:val="left"/>
    </w:pPr>
  </w:style>
  <w:style w:type="paragraph" w:styleId="5">
    <w:name w:val="Balloon Text"/>
    <w:basedOn w:val="1"/>
    <w:link w:val="18"/>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kern w:val="0"/>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annotation subject"/>
    <w:basedOn w:val="4"/>
    <w:next w:val="4"/>
    <w:link w:val="23"/>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22"/>
    <w:rPr>
      <w:b/>
      <w:bCs/>
    </w:rPr>
  </w:style>
  <w:style w:type="character" w:styleId="13">
    <w:name w:val="annotation reference"/>
    <w:semiHidden/>
    <w:unhideWhenUsed/>
    <w:qFormat/>
    <w:uiPriority w:val="99"/>
    <w:rPr>
      <w:sz w:val="21"/>
      <w:szCs w:val="21"/>
    </w:rPr>
  </w:style>
  <w:style w:type="character" w:customStyle="1" w:styleId="14">
    <w:name w:val="页眉 Char"/>
    <w:link w:val="7"/>
    <w:qFormat/>
    <w:uiPriority w:val="99"/>
    <w:rPr>
      <w:sz w:val="18"/>
      <w:szCs w:val="18"/>
    </w:rPr>
  </w:style>
  <w:style w:type="character" w:customStyle="1" w:styleId="15">
    <w:name w:val="页脚 Char"/>
    <w:link w:val="6"/>
    <w:qFormat/>
    <w:uiPriority w:val="99"/>
    <w:rPr>
      <w:sz w:val="18"/>
      <w:szCs w:val="18"/>
    </w:rPr>
  </w:style>
  <w:style w:type="character" w:customStyle="1" w:styleId="16">
    <w:name w:val="标题 1 Char"/>
    <w:link w:val="2"/>
    <w:qFormat/>
    <w:uiPriority w:val="0"/>
    <w:rPr>
      <w:rFonts w:ascii="Times New Roman" w:hAnsi="Times New Roman" w:eastAsia="宋体" w:cs="Times New Roman"/>
      <w:b/>
      <w:bCs/>
      <w:kern w:val="44"/>
      <w:sz w:val="44"/>
      <w:szCs w:val="44"/>
    </w:rPr>
  </w:style>
  <w:style w:type="paragraph" w:styleId="17">
    <w:name w:val="List Paragraph"/>
    <w:basedOn w:val="1"/>
    <w:link w:val="19"/>
    <w:qFormat/>
    <w:uiPriority w:val="0"/>
    <w:pPr>
      <w:ind w:firstLine="420" w:firstLineChars="200"/>
    </w:pPr>
  </w:style>
  <w:style w:type="character" w:customStyle="1" w:styleId="18">
    <w:name w:val="批注框文本 Char"/>
    <w:link w:val="5"/>
    <w:semiHidden/>
    <w:qFormat/>
    <w:uiPriority w:val="99"/>
    <w:rPr>
      <w:kern w:val="2"/>
      <w:sz w:val="18"/>
      <w:szCs w:val="18"/>
    </w:rPr>
  </w:style>
  <w:style w:type="character" w:customStyle="1" w:styleId="19">
    <w:name w:val="列出段落 Char"/>
    <w:link w:val="17"/>
    <w:qFormat/>
    <w:locked/>
    <w:uiPriority w:val="0"/>
    <w:rPr>
      <w:kern w:val="2"/>
      <w:sz w:val="21"/>
      <w:szCs w:val="22"/>
    </w:rPr>
  </w:style>
  <w:style w:type="character" w:customStyle="1" w:styleId="20">
    <w:name w:val="页脚 字符"/>
    <w:qFormat/>
    <w:uiPriority w:val="99"/>
  </w:style>
  <w:style w:type="character" w:customStyle="1" w:styleId="21">
    <w:name w:val="文档结构图 Char"/>
    <w:link w:val="3"/>
    <w:semiHidden/>
    <w:qFormat/>
    <w:uiPriority w:val="99"/>
    <w:rPr>
      <w:rFonts w:ascii="宋体"/>
      <w:kern w:val="2"/>
      <w:sz w:val="18"/>
      <w:szCs w:val="18"/>
    </w:rPr>
  </w:style>
  <w:style w:type="character" w:customStyle="1" w:styleId="22">
    <w:name w:val="批注文字 Char"/>
    <w:link w:val="4"/>
    <w:qFormat/>
    <w:uiPriority w:val="99"/>
    <w:rPr>
      <w:kern w:val="2"/>
      <w:sz w:val="21"/>
      <w:szCs w:val="22"/>
    </w:rPr>
  </w:style>
  <w:style w:type="character" w:customStyle="1" w:styleId="23">
    <w:name w:val="批注主题 Char"/>
    <w:link w:val="8"/>
    <w:semiHidden/>
    <w:qFormat/>
    <w:uiPriority w:val="99"/>
    <w:rPr>
      <w:b/>
      <w:bCs/>
      <w:kern w:val="2"/>
      <w:sz w:val="21"/>
      <w:szCs w:val="22"/>
    </w:rPr>
  </w:style>
  <w:style w:type="paragraph" w:customStyle="1" w:styleId="24">
    <w:name w:val="修订1"/>
    <w:hidden/>
    <w:semiHidden/>
    <w:qFormat/>
    <w:uiPriority w:val="99"/>
    <w:rPr>
      <w:rFonts w:ascii="Calibri" w:hAnsi="Calibri" w:eastAsia="宋体" w:cs="Times New Roman"/>
      <w:kern w:val="2"/>
      <w:sz w:val="21"/>
      <w:szCs w:val="22"/>
      <w:lang w:val="en-US" w:eastAsia="zh-CN" w:bidi="ar-SA"/>
    </w:rPr>
  </w:style>
  <w:style w:type="paragraph" w:customStyle="1" w:styleId="25">
    <w:name w:val="修订2"/>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961</Words>
  <Characters>5482</Characters>
  <Lines>45</Lines>
  <Paragraphs>12</Paragraphs>
  <TotalTime>47</TotalTime>
  <ScaleCrop>false</ScaleCrop>
  <LinksUpToDate>false</LinksUpToDate>
  <CharactersWithSpaces>6431</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2024-12-02T06:36:00Z</dcterms:created>
  <dc:creator>whzhou</dc:creator>
  <cp:lastModifiedBy>wentinglou</cp:lastModifiedBy>
  <cp:lastPrinted>2024-12-03T08:20:00Z</cp:lastPrinted>
  <dcterms:modified xsi:type="dcterms:W3CDTF">2025-08-25T16:23:16Z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B2126B15E1294F43873B3A04B6B0BBBB_13</vt:lpwstr>
  </property>
</Properties>
</file>