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ED43AB">
      <w:pPr>
        <w:pStyle w:val="6"/>
        <w:spacing w:before="0" w:after="0" w:line="600" w:lineRule="exact"/>
        <w:rPr>
          <w:rFonts w:ascii="黑体" w:hAnsi="黑体" w:eastAsia="黑体"/>
          <w:bCs w:val="0"/>
          <w:sz w:val="36"/>
          <w:szCs w:val="36"/>
        </w:rPr>
      </w:pPr>
      <w:bookmarkStart w:id="0" w:name="_Toc359483097"/>
      <w:bookmarkStart w:id="1" w:name="_Toc357500303"/>
      <w:r>
        <w:rPr>
          <w:rFonts w:hint="eastAsia" w:ascii="黑体" w:hAnsi="黑体" w:eastAsia="黑体"/>
          <w:bCs w:val="0"/>
          <w:sz w:val="36"/>
          <w:szCs w:val="36"/>
        </w:rPr>
        <w:t>科创板上市公司换股实施结果、股份变动暨新增股份上市（合并方）</w:t>
      </w:r>
      <w:bookmarkEnd w:id="0"/>
      <w:bookmarkEnd w:id="1"/>
    </w:p>
    <w:p w14:paraId="25D3DD2B">
      <w:pPr>
        <w:spacing w:line="600" w:lineRule="exact"/>
        <w:jc w:val="center"/>
        <w:rPr>
          <w:rFonts w:hint="eastAsia" w:ascii="仿宋_GB2312" w:eastAsia="仿宋_GB2312"/>
          <w:sz w:val="24"/>
          <w:szCs w:val="28"/>
        </w:rPr>
      </w:pPr>
      <w:r>
        <w:rPr>
          <w:rFonts w:hint="eastAsia" w:ascii="仿宋_GB2312" w:hAnsi="宋体" w:eastAsia="仿宋_GB2312" w:cs="宋体"/>
          <w:color w:val="0000FF"/>
          <w:kern w:val="0"/>
          <w:sz w:val="24"/>
          <w:szCs w:val="28"/>
        </w:rPr>
        <w:t>（此公告涉及业务流程及操作，请按相关要求逐项编制公告，勿随意删改）</w:t>
      </w:r>
    </w:p>
    <w:p w14:paraId="73B256FF">
      <w:pPr>
        <w:autoSpaceDE w:val="0"/>
        <w:autoSpaceDN w:val="0"/>
        <w:adjustRightInd w:val="0"/>
        <w:snapToGrid w:val="0"/>
        <w:spacing w:line="600" w:lineRule="exact"/>
        <w:jc w:val="center"/>
        <w:rPr>
          <w:rFonts w:ascii="宋体" w:hAnsi="宋体"/>
          <w:color w:val="000000"/>
          <w:sz w:val="18"/>
        </w:rPr>
      </w:pPr>
    </w:p>
    <w:p w14:paraId="3D4165C4">
      <w:pPr>
        <w:adjustRightInd w:val="0"/>
        <w:snapToGrid w:val="0"/>
        <w:spacing w:line="600" w:lineRule="exact"/>
        <w:rPr>
          <w:rFonts w:ascii="仿宋_GB2312" w:hAnsi="宋体" w:eastAsia="仿宋_GB2312"/>
          <w:b/>
          <w:bCs/>
          <w:sz w:val="30"/>
          <w:szCs w:val="30"/>
        </w:rPr>
      </w:pPr>
      <w:r>
        <w:rPr>
          <w:rFonts w:hint="eastAsia" w:ascii="仿宋_GB2312" w:hAnsi="宋体" w:eastAsia="仿宋_GB2312"/>
          <w:b/>
          <w:bCs/>
          <w:sz w:val="30"/>
          <w:szCs w:val="30"/>
        </w:rPr>
        <w:t>适用情形：</w:t>
      </w:r>
    </w:p>
    <w:p w14:paraId="0C6A6B18">
      <w:pPr>
        <w:adjustRightInd w:val="0"/>
        <w:snapToGrid w:val="0"/>
        <w:spacing w:line="600" w:lineRule="exact"/>
        <w:ind w:firstLine="588" w:firstLineChars="196"/>
        <w:rPr>
          <w:rFonts w:ascii="仿宋_GB2312" w:hAnsi="宋体" w:eastAsia="仿宋_GB2312"/>
          <w:bCs/>
          <w:sz w:val="30"/>
          <w:szCs w:val="30"/>
        </w:rPr>
      </w:pPr>
      <w:r>
        <w:rPr>
          <w:rFonts w:hint="eastAsia" w:ascii="仿宋_GB2312" w:hAnsi="宋体" w:eastAsia="仿宋_GB2312"/>
          <w:bCs/>
          <w:sz w:val="30"/>
          <w:szCs w:val="30"/>
        </w:rPr>
        <w:t>科创板上市公司为合并方的换股吸收合并完成后，需履行信息披露义务，适用本业务操作指引；非上市公司吸收合并上市公司，不适用本业务操作指引。</w:t>
      </w:r>
    </w:p>
    <w:p w14:paraId="286AA30B">
      <w:pPr>
        <w:adjustRightInd w:val="0"/>
        <w:snapToGrid w:val="0"/>
        <w:spacing w:line="600" w:lineRule="exact"/>
        <w:ind w:firstLine="588" w:firstLineChars="196"/>
        <w:rPr>
          <w:rFonts w:ascii="仿宋_GB2312" w:hAnsi="宋体" w:eastAsia="仿宋_GB2312"/>
          <w:bCs/>
          <w:sz w:val="30"/>
          <w:szCs w:val="30"/>
        </w:rPr>
      </w:pPr>
    </w:p>
    <w:p w14:paraId="466C1AD5">
      <w:pPr>
        <w:adjustRightInd w:val="0"/>
        <w:snapToGrid w:val="0"/>
        <w:spacing w:line="600" w:lineRule="exact"/>
        <w:jc w:val="center"/>
        <w:rPr>
          <w:rFonts w:ascii="仿宋_GB2312" w:hAnsi="宋体" w:eastAsia="仿宋_GB2312"/>
          <w:bCs/>
          <w:sz w:val="30"/>
          <w:szCs w:val="30"/>
        </w:rPr>
      </w:pPr>
      <w:r>
        <w:rPr>
          <w:rFonts w:hint="eastAsia" w:ascii="仿宋_GB2312" w:hAnsi="宋体" w:eastAsia="仿宋_GB2312"/>
          <w:bCs/>
          <w:sz w:val="30"/>
          <w:szCs w:val="30"/>
        </w:rPr>
        <w:t xml:space="preserve">证券代码：         </w:t>
      </w:r>
      <w:r>
        <w:rPr>
          <w:rFonts w:hint="eastAsia" w:ascii="仿宋_GB2312" w:hAnsi="宋体" w:eastAsia="仿宋_GB2312"/>
          <w:bCs/>
          <w:sz w:val="30"/>
          <w:szCs w:val="30"/>
        </w:rPr>
        <w:tab/>
      </w:r>
      <w:r>
        <w:rPr>
          <w:rFonts w:hint="eastAsia" w:ascii="仿宋_GB2312" w:hAnsi="宋体" w:eastAsia="仿宋_GB2312"/>
          <w:bCs/>
          <w:sz w:val="30"/>
          <w:szCs w:val="30"/>
        </w:rPr>
        <w:t xml:space="preserve"> 证券简称：          公告编号：</w:t>
      </w:r>
    </w:p>
    <w:p w14:paraId="32B3EC00">
      <w:pPr>
        <w:adjustRightInd w:val="0"/>
        <w:snapToGrid w:val="0"/>
        <w:spacing w:line="600" w:lineRule="exact"/>
        <w:ind w:firstLine="588" w:firstLineChars="196"/>
        <w:rPr>
          <w:rFonts w:ascii="仿宋_GB2312" w:hAnsi="宋体" w:eastAsia="仿宋_GB2312"/>
          <w:bCs/>
          <w:sz w:val="30"/>
          <w:szCs w:val="30"/>
        </w:rPr>
      </w:pPr>
    </w:p>
    <w:p w14:paraId="51816549">
      <w:pPr>
        <w:adjustRightInd w:val="0"/>
        <w:snapToGrid w:val="0"/>
        <w:spacing w:line="600" w:lineRule="exact"/>
        <w:jc w:val="center"/>
        <w:rPr>
          <w:rFonts w:hint="eastAsia" w:ascii="仿宋_GB2312" w:hAnsi="宋体" w:eastAsia="仿宋_GB2312"/>
          <w:bCs/>
          <w:sz w:val="30"/>
          <w:szCs w:val="30"/>
        </w:rPr>
      </w:pPr>
      <w:r>
        <w:rPr>
          <w:rFonts w:hint="eastAsia" w:ascii="仿宋_GB2312" w:hAnsi="宋体" w:eastAsia="仿宋_GB2312"/>
          <w:bCs/>
          <w:sz w:val="30"/>
          <w:szCs w:val="30"/>
        </w:rPr>
        <w:t>XXXX股份有限公司换股实施结果、股份变动暨新增股份上市（合并方）公告</w:t>
      </w:r>
    </w:p>
    <w:p w14:paraId="532DDC99">
      <w:pPr>
        <w:adjustRightInd w:val="0"/>
        <w:snapToGrid w:val="0"/>
        <w:spacing w:line="600" w:lineRule="exact"/>
        <w:jc w:val="center"/>
        <w:rPr>
          <w:rFonts w:ascii="仿宋_GB2312" w:hAnsi="宋体" w:eastAsia="仿宋_GB2312"/>
          <w:bCs/>
          <w:sz w:val="30"/>
          <w:szCs w:val="30"/>
        </w:rPr>
      </w:pPr>
    </w:p>
    <w:p w14:paraId="645F1A86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adjustRightInd w:val="0"/>
        <w:snapToGrid w:val="0"/>
        <w:spacing w:line="600" w:lineRule="exact"/>
        <w:ind w:firstLine="600" w:firstLineChars="200"/>
        <w:rPr>
          <w:rFonts w:ascii="仿宋_GB2312" w:hAnsi="宋体" w:eastAsia="仿宋_GB2312"/>
          <w:color w:val="000000"/>
          <w:sz w:val="30"/>
          <w:szCs w:val="30"/>
        </w:rPr>
      </w:pPr>
      <w:r>
        <w:rPr>
          <w:rFonts w:hint="eastAsia" w:ascii="仿宋_GB2312" w:hAnsi="宋体" w:eastAsia="仿宋_GB2312"/>
          <w:color w:val="000000"/>
          <w:sz w:val="30"/>
          <w:szCs w:val="30"/>
        </w:rPr>
        <w:t>本公司董事会及全体董事保证本公告内容不存在任何虚假记载、误导性陈述或者重大遗漏，并对其内容的真实性、准确性和完整性依法承担法律责任。</w:t>
      </w:r>
    </w:p>
    <w:p w14:paraId="62668B93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adjustRightInd w:val="0"/>
        <w:snapToGrid w:val="0"/>
        <w:spacing w:line="600" w:lineRule="exact"/>
        <w:ind w:firstLine="600" w:firstLineChars="200"/>
        <w:rPr>
          <w:rFonts w:ascii="仿宋_GB2312" w:hAnsi="宋体" w:eastAsia="仿宋_GB2312"/>
          <w:color w:val="000000"/>
          <w:sz w:val="30"/>
          <w:szCs w:val="30"/>
        </w:rPr>
      </w:pPr>
      <w:r>
        <w:rPr>
          <w:rFonts w:hint="eastAsia" w:ascii="仿宋_GB2312" w:hAnsi="宋体" w:eastAsia="仿宋_GB2312"/>
          <w:color w:val="000000"/>
          <w:sz w:val="30"/>
          <w:szCs w:val="30"/>
        </w:rPr>
        <w:t>如有董事对临时公告内容的真实性、准确性和完整性无法保证或存在异议的，公司应当在公告中作特别提示。</w:t>
      </w:r>
    </w:p>
    <w:p w14:paraId="5FF6D480">
      <w:pPr>
        <w:adjustRightInd w:val="0"/>
        <w:snapToGrid w:val="0"/>
        <w:spacing w:line="600" w:lineRule="exact"/>
        <w:ind w:firstLine="480" w:firstLineChars="200"/>
        <w:rPr>
          <w:rFonts w:ascii="宋体" w:hAnsi="宋体" w:cs="Arial Unicode MS"/>
          <w:sz w:val="24"/>
        </w:rPr>
      </w:pPr>
    </w:p>
    <w:p w14:paraId="12864E93">
      <w:pPr>
        <w:adjustRightInd w:val="0"/>
        <w:snapToGrid w:val="0"/>
        <w:spacing w:line="600" w:lineRule="exact"/>
        <w:ind w:firstLine="420"/>
        <w:rPr>
          <w:rFonts w:ascii="仿宋_GB2312" w:hAnsi="宋体" w:eastAsia="仿宋_GB2312"/>
          <w:b/>
          <w:bCs/>
          <w:sz w:val="30"/>
          <w:szCs w:val="30"/>
        </w:rPr>
      </w:pPr>
      <w:r>
        <w:rPr>
          <w:rFonts w:hint="eastAsia" w:ascii="仿宋_GB2312" w:hAnsi="宋体" w:eastAsia="仿宋_GB2312"/>
          <w:b/>
          <w:bCs/>
          <w:sz w:val="30"/>
          <w:szCs w:val="30"/>
        </w:rPr>
        <w:t>重要内容提示：</w:t>
      </w:r>
    </w:p>
    <w:p w14:paraId="5D0CF155">
      <w:pPr>
        <w:numPr>
          <w:ilvl w:val="0"/>
          <w:numId w:val="1"/>
        </w:numPr>
        <w:tabs>
          <w:tab w:val="clear" w:pos="900"/>
        </w:tabs>
        <w:adjustRightInd w:val="0"/>
        <w:snapToGrid w:val="0"/>
        <w:spacing w:line="600" w:lineRule="exact"/>
        <w:ind w:left="0" w:firstLine="420" w:firstLineChars="140"/>
        <w:rPr>
          <w:rFonts w:ascii="仿宋_GB2312" w:hAnsi="宋体" w:eastAsia="仿宋_GB2312"/>
          <w:bCs/>
          <w:sz w:val="30"/>
          <w:szCs w:val="30"/>
        </w:rPr>
      </w:pPr>
      <w:r>
        <w:rPr>
          <w:rFonts w:hint="eastAsia" w:ascii="仿宋_GB2312" w:hAnsi="宋体" w:eastAsia="仿宋_GB2312"/>
          <w:bCs/>
          <w:sz w:val="30"/>
          <w:szCs w:val="30"/>
        </w:rPr>
        <w:t>本次新增股份共计XXX股。其中，无限售流通股XXX股，限售流通股XXX股。</w:t>
      </w:r>
    </w:p>
    <w:p w14:paraId="66CBC9E3">
      <w:pPr>
        <w:numPr>
          <w:ilvl w:val="0"/>
          <w:numId w:val="1"/>
        </w:numPr>
        <w:tabs>
          <w:tab w:val="clear" w:pos="900"/>
        </w:tabs>
        <w:adjustRightInd w:val="0"/>
        <w:snapToGrid w:val="0"/>
        <w:spacing w:line="600" w:lineRule="exact"/>
        <w:ind w:left="0" w:firstLine="420" w:firstLineChars="140"/>
        <w:rPr>
          <w:rFonts w:hint="eastAsia" w:ascii="仿宋_GB2312" w:hAnsi="宋体" w:eastAsia="仿宋_GB2312"/>
          <w:bCs/>
          <w:sz w:val="30"/>
          <w:szCs w:val="30"/>
        </w:rPr>
      </w:pPr>
      <w:r>
        <w:rPr>
          <w:rFonts w:hint="eastAsia" w:ascii="仿宋_GB2312" w:hAnsi="宋体" w:eastAsia="仿宋_GB2312"/>
          <w:bCs/>
          <w:sz w:val="30"/>
          <w:szCs w:val="30"/>
        </w:rPr>
        <w:t>本次新增无限售流通股上市流通日期为XXXX年XX月XX日，限售流通股上市流通日期为XXXX年XX月XX日。</w:t>
      </w:r>
    </w:p>
    <w:p w14:paraId="1A028B9D">
      <w:pPr>
        <w:adjustRightInd w:val="0"/>
        <w:snapToGrid w:val="0"/>
        <w:spacing w:line="600" w:lineRule="exact"/>
        <w:ind w:left="420"/>
        <w:rPr>
          <w:rFonts w:ascii="仿宋_GB2312" w:hAnsi="宋体" w:eastAsia="仿宋_GB2312"/>
          <w:bCs/>
          <w:sz w:val="30"/>
          <w:szCs w:val="30"/>
        </w:rPr>
      </w:pPr>
    </w:p>
    <w:p w14:paraId="7EC7FB01">
      <w:pPr>
        <w:widowControl/>
        <w:spacing w:line="600" w:lineRule="exact"/>
        <w:ind w:firstLine="643" w:firstLineChars="200"/>
        <w:rPr>
          <w:rFonts w:ascii="黑体" w:hAnsi="黑体" w:eastAsia="黑体" w:cs="宋体"/>
          <w:b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宋体"/>
          <w:b/>
          <w:color w:val="000000"/>
          <w:kern w:val="0"/>
          <w:sz w:val="32"/>
          <w:szCs w:val="32"/>
        </w:rPr>
        <w:t>一、简要介绍本次换股吸收合并的批准情况，以及完成后公司总股本的变化情况</w:t>
      </w:r>
    </w:p>
    <w:p w14:paraId="027B01B9">
      <w:pPr>
        <w:widowControl/>
        <w:spacing w:line="600" w:lineRule="exact"/>
        <w:ind w:firstLine="600" w:firstLineChars="200"/>
        <w:rPr>
          <w:rFonts w:ascii="仿宋_GB2312" w:hAnsi="宋体" w:eastAsia="仿宋_GB2312" w:cs="宋体"/>
          <w:color w:val="000000"/>
          <w:kern w:val="0"/>
          <w:sz w:val="30"/>
          <w:szCs w:val="30"/>
        </w:rPr>
      </w:pPr>
      <w:r>
        <w:rPr>
          <w:rFonts w:hint="eastAsia" w:ascii="仿宋_GB2312" w:hAnsi="宋体" w:eastAsia="仿宋_GB2312" w:cs="宋体"/>
          <w:color w:val="000000"/>
          <w:kern w:val="0"/>
          <w:sz w:val="30"/>
          <w:szCs w:val="30"/>
        </w:rPr>
        <w:t>XXXX股份有限公司换股吸收合并XXXX股份有限公司的申请已经中国证券监督管理委员会同意注册（文号：XXXX）并于XXXX年XX月XX日完成换股。本次换股吸收合并后，公司总股本增加XXXX股，变更为XXXX股。</w:t>
      </w:r>
    </w:p>
    <w:p w14:paraId="333801A2">
      <w:pPr>
        <w:widowControl/>
        <w:spacing w:line="600" w:lineRule="exact"/>
        <w:ind w:firstLine="600" w:firstLineChars="200"/>
        <w:rPr>
          <w:rFonts w:hint="eastAsia" w:ascii="仿宋_GB2312" w:hAnsi="宋体" w:eastAsia="仿宋_GB2312" w:cs="宋体"/>
          <w:color w:val="000000"/>
          <w:kern w:val="0"/>
          <w:sz w:val="30"/>
          <w:szCs w:val="30"/>
        </w:rPr>
      </w:pPr>
      <w:r>
        <w:rPr>
          <w:rFonts w:hint="eastAsia" w:ascii="仿宋_GB2312" w:hAnsi="宋体" w:eastAsia="仿宋_GB2312" w:cs="宋体"/>
          <w:color w:val="000000"/>
          <w:kern w:val="0"/>
          <w:sz w:val="30"/>
          <w:szCs w:val="30"/>
        </w:rPr>
        <w:t>用表格形式列示本次换股吸收合并前后公司股本</w:t>
      </w:r>
      <w:r>
        <w:rPr>
          <w:rFonts w:hint="eastAsia" w:ascii="仿宋_GB2312" w:hAnsi="宋体" w:eastAsia="仿宋_GB2312" w:cs="宋体"/>
          <w:color w:val="000000"/>
          <w:kern w:val="0"/>
          <w:sz w:val="30"/>
          <w:szCs w:val="30"/>
          <w:lang w:eastAsia="zh-CN"/>
        </w:rPr>
        <w:t>结构</w:t>
      </w:r>
      <w:r>
        <w:rPr>
          <w:rFonts w:hint="eastAsia" w:ascii="仿宋_GB2312" w:hAnsi="宋体" w:eastAsia="仿宋_GB2312" w:cs="宋体"/>
          <w:color w:val="000000"/>
          <w:kern w:val="0"/>
          <w:sz w:val="30"/>
          <w:szCs w:val="30"/>
        </w:rPr>
        <w:t>变化情况，如：</w:t>
      </w:r>
    </w:p>
    <w:tbl>
      <w:tblPr>
        <w:tblStyle w:val="8"/>
        <w:tblW w:w="885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34"/>
        <w:gridCol w:w="1517"/>
        <w:gridCol w:w="1800"/>
        <w:gridCol w:w="1433"/>
        <w:gridCol w:w="1667"/>
      </w:tblGrid>
      <w:tr w14:paraId="228679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434" w:type="dxa"/>
            <w:noWrap/>
            <w:vAlign w:val="center"/>
          </w:tcPr>
          <w:p w14:paraId="205C9608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1517" w:type="dxa"/>
            <w:noWrap/>
            <w:vAlign w:val="center"/>
          </w:tcPr>
          <w:p w14:paraId="03D84A46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变动前（股）</w:t>
            </w:r>
          </w:p>
        </w:tc>
        <w:tc>
          <w:tcPr>
            <w:tcW w:w="1800" w:type="dxa"/>
            <w:noWrap/>
            <w:vAlign w:val="center"/>
          </w:tcPr>
          <w:p w14:paraId="754133CD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新增股份（股）</w:t>
            </w:r>
          </w:p>
        </w:tc>
        <w:tc>
          <w:tcPr>
            <w:tcW w:w="1433" w:type="dxa"/>
            <w:noWrap w:val="0"/>
            <w:vAlign w:val="center"/>
          </w:tcPr>
          <w:p w14:paraId="3B131AE3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变动后（股）</w:t>
            </w:r>
          </w:p>
        </w:tc>
        <w:tc>
          <w:tcPr>
            <w:tcW w:w="1667" w:type="dxa"/>
            <w:noWrap/>
            <w:vAlign w:val="center"/>
          </w:tcPr>
          <w:p w14:paraId="6AC3C1AC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所占比例（%）</w:t>
            </w:r>
          </w:p>
        </w:tc>
      </w:tr>
      <w:tr w14:paraId="0AC9C6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434" w:type="dxa"/>
            <w:noWrap/>
            <w:vAlign w:val="center"/>
          </w:tcPr>
          <w:p w14:paraId="62FFAFC6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有限售条件的流通股</w:t>
            </w:r>
          </w:p>
        </w:tc>
        <w:tc>
          <w:tcPr>
            <w:tcW w:w="1517" w:type="dxa"/>
            <w:noWrap/>
            <w:vAlign w:val="center"/>
          </w:tcPr>
          <w:p w14:paraId="7B39E7FB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1800" w:type="dxa"/>
            <w:noWrap/>
            <w:vAlign w:val="center"/>
          </w:tcPr>
          <w:p w14:paraId="7433A00D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1433" w:type="dxa"/>
            <w:noWrap w:val="0"/>
            <w:vAlign w:val="center"/>
          </w:tcPr>
          <w:p w14:paraId="7A6307C1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1667" w:type="dxa"/>
            <w:noWrap/>
            <w:vAlign w:val="center"/>
          </w:tcPr>
          <w:p w14:paraId="06AEBCDE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</w:tr>
      <w:tr w14:paraId="48D17A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434" w:type="dxa"/>
            <w:noWrap/>
            <w:vAlign w:val="center"/>
          </w:tcPr>
          <w:p w14:paraId="119FC9B3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无限售条件的流通股</w:t>
            </w:r>
          </w:p>
        </w:tc>
        <w:tc>
          <w:tcPr>
            <w:tcW w:w="1517" w:type="dxa"/>
            <w:noWrap/>
            <w:vAlign w:val="center"/>
          </w:tcPr>
          <w:p w14:paraId="039D9C62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1800" w:type="dxa"/>
            <w:noWrap/>
            <w:vAlign w:val="center"/>
          </w:tcPr>
          <w:p w14:paraId="2F27B45A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1433" w:type="dxa"/>
            <w:noWrap w:val="0"/>
            <w:vAlign w:val="center"/>
          </w:tcPr>
          <w:p w14:paraId="15BC78AE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1667" w:type="dxa"/>
            <w:noWrap/>
            <w:vAlign w:val="center"/>
          </w:tcPr>
          <w:p w14:paraId="10788B9B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</w:tr>
      <w:tr w14:paraId="7C0EEF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434" w:type="dxa"/>
            <w:noWrap/>
            <w:vAlign w:val="center"/>
          </w:tcPr>
          <w:p w14:paraId="247C038E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合计</w:t>
            </w:r>
          </w:p>
        </w:tc>
        <w:tc>
          <w:tcPr>
            <w:tcW w:w="1517" w:type="dxa"/>
            <w:noWrap/>
            <w:vAlign w:val="center"/>
          </w:tcPr>
          <w:p w14:paraId="71B4087F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1800" w:type="dxa"/>
            <w:noWrap/>
            <w:vAlign w:val="center"/>
          </w:tcPr>
          <w:p w14:paraId="3A63C5AD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1433" w:type="dxa"/>
            <w:noWrap w:val="0"/>
            <w:vAlign w:val="center"/>
          </w:tcPr>
          <w:p w14:paraId="501199CE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1667" w:type="dxa"/>
            <w:noWrap/>
            <w:vAlign w:val="center"/>
          </w:tcPr>
          <w:p w14:paraId="3E0F5A4A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</w:tr>
    </w:tbl>
    <w:p w14:paraId="3AAC4E50">
      <w:pPr>
        <w:ind w:firstLine="0" w:firstLineChars="0"/>
        <w:jc w:val="both"/>
        <w:rPr>
          <w:rFonts w:ascii="仿宋_GB2312" w:hAnsi="宋体" w:eastAsia="仿宋_GB2312" w:cs="宋体"/>
          <w:color w:val="000000"/>
          <w:kern w:val="0"/>
          <w:sz w:val="24"/>
          <w:szCs w:val="30"/>
        </w:rPr>
      </w:pPr>
      <w:r>
        <w:rPr>
          <w:rFonts w:hint="eastAsia" w:ascii="仿宋_GB2312" w:hAnsi="宋体" w:eastAsia="仿宋_GB2312" w:cs="宋体"/>
          <w:i/>
          <w:kern w:val="0"/>
          <w:sz w:val="24"/>
          <w:szCs w:val="24"/>
        </w:rPr>
        <w:t>[注：若公司发行除A股外其他类别的股票（如H股），则需分股票类别列示有限售和无限售股份的变化情况。]</w:t>
      </w:r>
    </w:p>
    <w:p w14:paraId="58499414">
      <w:pPr>
        <w:adjustRightInd w:val="0"/>
        <w:snapToGrid w:val="0"/>
        <w:spacing w:line="600" w:lineRule="exact"/>
        <w:ind w:firstLine="0" w:firstLineChars="0"/>
        <w:rPr>
          <w:rFonts w:hint="eastAsia" w:ascii="仿宋_GB2312" w:hAnsi="宋体" w:eastAsia="仿宋_GB2312" w:cs="宋体"/>
          <w:i/>
          <w:kern w:val="0"/>
          <w:sz w:val="24"/>
          <w:szCs w:val="24"/>
        </w:rPr>
      </w:pPr>
    </w:p>
    <w:p w14:paraId="51F3F096">
      <w:pPr>
        <w:widowControl/>
        <w:spacing w:line="600" w:lineRule="exact"/>
        <w:ind w:firstLine="643" w:firstLineChars="200"/>
        <w:rPr>
          <w:rFonts w:ascii="黑体" w:hAnsi="黑体" w:eastAsia="黑体" w:cs="宋体"/>
          <w:b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宋体"/>
          <w:b/>
          <w:color w:val="000000"/>
          <w:kern w:val="0"/>
          <w:sz w:val="32"/>
          <w:szCs w:val="32"/>
        </w:rPr>
        <w:t>二、介绍新增股份的限售情况，包括新增股份的预计上市流通日期、</w:t>
      </w:r>
      <w:bookmarkStart w:id="2" w:name="OLE_LINK1"/>
      <w:r>
        <w:rPr>
          <w:rFonts w:hint="eastAsia" w:ascii="黑体" w:hAnsi="黑体" w:eastAsia="黑体" w:cs="宋体"/>
          <w:b/>
          <w:color w:val="000000"/>
          <w:kern w:val="0"/>
          <w:sz w:val="32"/>
          <w:szCs w:val="32"/>
        </w:rPr>
        <w:t>限售流通股解除限售的条件</w:t>
      </w:r>
      <w:bookmarkEnd w:id="2"/>
      <w:r>
        <w:rPr>
          <w:rFonts w:hint="eastAsia" w:ascii="黑体" w:hAnsi="黑体" w:eastAsia="黑体" w:cs="宋体"/>
          <w:b/>
          <w:color w:val="000000"/>
          <w:kern w:val="0"/>
          <w:sz w:val="32"/>
          <w:szCs w:val="32"/>
        </w:rPr>
        <w:t>等</w:t>
      </w:r>
    </w:p>
    <w:p w14:paraId="514577BD">
      <w:pPr>
        <w:widowControl/>
        <w:spacing w:line="600" w:lineRule="exact"/>
        <w:ind w:firstLine="600" w:firstLineChars="200"/>
        <w:rPr>
          <w:rFonts w:ascii="仿宋_GB2312" w:hAnsi="宋体" w:eastAsia="仿宋_GB2312" w:cs="宋体"/>
          <w:color w:val="000000"/>
          <w:kern w:val="0"/>
          <w:sz w:val="30"/>
          <w:szCs w:val="30"/>
        </w:rPr>
      </w:pPr>
      <w:r>
        <w:rPr>
          <w:rFonts w:hint="eastAsia" w:ascii="仿宋_GB2312" w:hAnsi="宋体" w:eastAsia="仿宋_GB2312" w:cs="宋体"/>
          <w:color w:val="000000"/>
          <w:kern w:val="0"/>
          <w:sz w:val="30"/>
          <w:szCs w:val="30"/>
        </w:rPr>
        <w:t>本次新增股份XXXX股，其中无限售流通股XXXX股，上市流通日期为XXXX年XX月XX日，限售流通股XXXX股，上市流通日期为XXXX年XX月XX日。</w:t>
      </w:r>
    </w:p>
    <w:p w14:paraId="4A2D99DC">
      <w:pPr>
        <w:widowControl/>
        <w:spacing w:line="600" w:lineRule="exact"/>
        <w:ind w:firstLine="600" w:firstLineChars="200"/>
        <w:rPr>
          <w:rFonts w:ascii="仿宋_GB2312" w:hAnsi="宋体" w:eastAsia="仿宋_GB2312" w:cs="宋体"/>
          <w:color w:val="000000"/>
          <w:kern w:val="0"/>
          <w:sz w:val="30"/>
          <w:szCs w:val="30"/>
        </w:rPr>
      </w:pPr>
      <w:r>
        <w:rPr>
          <w:rFonts w:hint="eastAsia" w:ascii="仿宋_GB2312" w:hAnsi="宋体" w:eastAsia="仿宋_GB2312" w:cs="宋体"/>
          <w:color w:val="000000"/>
          <w:kern w:val="0"/>
          <w:sz w:val="30"/>
          <w:szCs w:val="30"/>
        </w:rPr>
        <w:t>逐项列明限售流通股解除限售的条件。</w:t>
      </w:r>
    </w:p>
    <w:p w14:paraId="532D2694">
      <w:pPr>
        <w:adjustRightInd w:val="0"/>
        <w:snapToGrid w:val="0"/>
        <w:spacing w:line="600" w:lineRule="exact"/>
        <w:ind w:firstLine="480" w:firstLineChars="200"/>
        <w:rPr>
          <w:rFonts w:ascii="宋体" w:hAnsi="宋体"/>
          <w:color w:val="000000"/>
          <w:sz w:val="24"/>
        </w:rPr>
      </w:pPr>
    </w:p>
    <w:p w14:paraId="7FD30B8A">
      <w:pPr>
        <w:widowControl/>
        <w:spacing w:line="600" w:lineRule="exact"/>
        <w:ind w:firstLine="643" w:firstLineChars="200"/>
        <w:rPr>
          <w:rFonts w:ascii="黑体" w:hAnsi="黑体" w:eastAsia="黑体" w:cs="宋体"/>
          <w:b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宋体"/>
          <w:b/>
          <w:color w:val="000000"/>
          <w:kern w:val="0"/>
          <w:sz w:val="32"/>
          <w:szCs w:val="32"/>
        </w:rPr>
        <w:t>三、介绍资产过户情况、注册会计师出具的专项验资报告的结论性意见、股份登记情况，独立财务顾问和律师事务所对本次换股吸收合并的结论性意见</w:t>
      </w:r>
    </w:p>
    <w:p w14:paraId="44EEF766">
      <w:pPr>
        <w:adjustRightInd w:val="0"/>
        <w:snapToGrid w:val="0"/>
        <w:spacing w:line="600" w:lineRule="exact"/>
        <w:ind w:firstLine="482" w:firstLineChars="200"/>
        <w:rPr>
          <w:rFonts w:ascii="宋体" w:hAnsi="宋体"/>
          <w:b/>
          <w:color w:val="000000"/>
          <w:sz w:val="24"/>
        </w:rPr>
      </w:pPr>
    </w:p>
    <w:p w14:paraId="7B22C8F3">
      <w:pPr>
        <w:widowControl/>
        <w:adjustRightInd/>
        <w:snapToGrid/>
        <w:spacing w:line="600" w:lineRule="exact"/>
        <w:ind w:firstLine="643" w:firstLineChars="200"/>
        <w:rPr>
          <w:rFonts w:hint="eastAsia" w:ascii="黑体" w:hAnsi="黑体" w:eastAsia="黑体" w:cs="宋体"/>
          <w:b/>
          <w:bCs w:val="0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宋体"/>
          <w:b/>
          <w:bCs w:val="0"/>
          <w:color w:val="000000"/>
          <w:kern w:val="0"/>
          <w:sz w:val="32"/>
          <w:szCs w:val="32"/>
        </w:rPr>
        <w:t>四、用表格形式列示换股完成后，公司前十名股东及相关股东持股情况</w:t>
      </w:r>
    </w:p>
    <w:p w14:paraId="72D6192A">
      <w:pPr>
        <w:adjustRightInd w:val="0"/>
        <w:snapToGrid w:val="0"/>
        <w:spacing w:line="560" w:lineRule="exact"/>
        <w:ind w:firstLine="600" w:firstLineChars="200"/>
        <w:rPr>
          <w:rFonts w:ascii="仿宋" w:hAnsi="仿宋" w:eastAsia="仿宋_GB2312"/>
          <w:sz w:val="30"/>
          <w:szCs w:val="30"/>
        </w:rPr>
      </w:pPr>
      <w:r>
        <w:rPr>
          <w:rFonts w:hint="eastAsia" w:ascii="仿宋" w:hAnsi="仿宋" w:eastAsia="仿宋_GB2312"/>
          <w:sz w:val="30"/>
          <w:szCs w:val="30"/>
        </w:rPr>
        <w:t>（一）换股完成前后，公司前10名股东持股数量和持股比例变动情况。</w:t>
      </w:r>
    </w:p>
    <w:p w14:paraId="29CF79AE">
      <w:pPr>
        <w:adjustRightInd w:val="0"/>
        <w:snapToGrid w:val="0"/>
        <w:spacing w:line="560" w:lineRule="exact"/>
        <w:ind w:firstLine="600" w:firstLineChars="200"/>
        <w:rPr>
          <w:rFonts w:ascii="仿宋" w:hAnsi="仿宋" w:eastAsia="仿宋_GB2312"/>
          <w:sz w:val="30"/>
          <w:szCs w:val="30"/>
        </w:rPr>
      </w:pPr>
      <w:r>
        <w:rPr>
          <w:rFonts w:hint="eastAsia" w:ascii="仿宋" w:hAnsi="仿宋" w:eastAsia="仿宋_GB2312"/>
          <w:sz w:val="30"/>
          <w:szCs w:val="30"/>
        </w:rPr>
        <w:t>（二）换股前后公司相关股东持股变化（如适用）</w:t>
      </w:r>
    </w:p>
    <w:p w14:paraId="394A27C6">
      <w:pPr>
        <w:adjustRightInd w:val="0"/>
        <w:snapToGrid w:val="0"/>
        <w:spacing w:line="560" w:lineRule="exact"/>
        <w:ind w:firstLine="600" w:firstLineChars="200"/>
        <w:rPr>
          <w:rFonts w:ascii="仿宋" w:hAnsi="仿宋" w:eastAsia="仿宋_GB2312"/>
          <w:bCs/>
          <w:sz w:val="30"/>
          <w:szCs w:val="30"/>
        </w:rPr>
      </w:pPr>
      <w:r>
        <w:rPr>
          <w:rFonts w:hint="eastAsia" w:eastAsia="仿宋_GB2312"/>
          <w:color w:val="000000"/>
          <w:sz w:val="30"/>
          <w:szCs w:val="30"/>
        </w:rPr>
        <w:t>上市公司股本变动，可能导致公司</w:t>
      </w:r>
      <w:r>
        <w:rPr>
          <w:rFonts w:eastAsia="仿宋_GB2312"/>
          <w:color w:val="000000"/>
          <w:sz w:val="30"/>
          <w:szCs w:val="30"/>
        </w:rPr>
        <w:t>股东及其一致行动人拥有权益的股份比例</w:t>
      </w:r>
      <w:r>
        <w:rPr>
          <w:rFonts w:hint="eastAsia" w:eastAsia="仿宋_GB2312"/>
          <w:color w:val="000000"/>
          <w:sz w:val="30"/>
          <w:szCs w:val="30"/>
        </w:rPr>
        <w:t>触及</w:t>
      </w:r>
      <w:r>
        <w:rPr>
          <w:rFonts w:eastAsia="仿宋_GB2312"/>
          <w:color w:val="000000"/>
          <w:sz w:val="30"/>
          <w:szCs w:val="30"/>
        </w:rPr>
        <w:t>或者跨越5%及5%的整数倍，或者导致持股5%以上的</w:t>
      </w:r>
      <w:r>
        <w:rPr>
          <w:rFonts w:hint="eastAsia" w:eastAsia="仿宋_GB2312"/>
          <w:color w:val="000000"/>
          <w:sz w:val="30"/>
          <w:szCs w:val="30"/>
        </w:rPr>
        <w:t>股东</w:t>
      </w:r>
      <w:r>
        <w:rPr>
          <w:rFonts w:eastAsia="仿宋_GB2312"/>
          <w:color w:val="000000"/>
          <w:sz w:val="30"/>
          <w:szCs w:val="30"/>
        </w:rPr>
        <w:t>及其一致行动人拥有权益的股份比例</w:t>
      </w:r>
      <w:r>
        <w:rPr>
          <w:rFonts w:hint="eastAsia" w:eastAsia="仿宋_GB2312"/>
          <w:color w:val="000000"/>
          <w:sz w:val="30"/>
          <w:szCs w:val="30"/>
        </w:rPr>
        <w:t>触及</w:t>
      </w:r>
      <w:r>
        <w:rPr>
          <w:rFonts w:eastAsia="仿宋_GB2312"/>
          <w:color w:val="000000"/>
          <w:sz w:val="30"/>
          <w:szCs w:val="30"/>
        </w:rPr>
        <w:t>1%的整数倍</w:t>
      </w:r>
      <w:r>
        <w:rPr>
          <w:rFonts w:hint="eastAsia" w:eastAsia="仿宋_GB2312"/>
          <w:color w:val="000000"/>
          <w:sz w:val="30"/>
          <w:szCs w:val="30"/>
        </w:rPr>
        <w:t>。存在前述情况，公司应当</w:t>
      </w:r>
      <w:r>
        <w:rPr>
          <w:rFonts w:hint="eastAsia" w:ascii="仿宋" w:hAnsi="仿宋" w:eastAsia="仿宋_GB2312"/>
          <w:bCs/>
          <w:sz w:val="30"/>
          <w:szCs w:val="30"/>
        </w:rPr>
        <w:t>披露发行完成前后，上述股东及其一致行动人</w:t>
      </w:r>
      <w:r>
        <w:rPr>
          <w:rFonts w:hint="eastAsia" w:ascii="仿宋" w:hAnsi="仿宋" w:eastAsia="仿宋_GB2312"/>
          <w:sz w:val="30"/>
          <w:szCs w:val="30"/>
        </w:rPr>
        <w:t>持股数量和持股比例变动</w:t>
      </w:r>
      <w:r>
        <w:rPr>
          <w:rFonts w:hint="eastAsia" w:ascii="仿宋" w:hAnsi="仿宋" w:eastAsia="仿宋_GB2312"/>
          <w:bCs/>
          <w:sz w:val="30"/>
          <w:szCs w:val="30"/>
        </w:rPr>
        <w:t>情况。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830"/>
        <w:gridCol w:w="1418"/>
        <w:gridCol w:w="1417"/>
        <w:gridCol w:w="1248"/>
        <w:gridCol w:w="1438"/>
      </w:tblGrid>
      <w:tr w14:paraId="7764A2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830" w:type="dxa"/>
            <w:shd w:val="clear" w:color="auto" w:fill="FFFFFF"/>
            <w:noWrap w:val="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3FD928CD">
            <w:pPr>
              <w:adjustRightInd w:val="0"/>
              <w:snapToGrid w:val="0"/>
              <w:spacing w:line="360" w:lineRule="auto"/>
              <w:jc w:val="center"/>
              <w:rPr>
                <w:rFonts w:ascii="仿宋_GB2312" w:hAnsi="仿宋" w:eastAsia="仿宋_GB2312"/>
                <w:sz w:val="21"/>
                <w:szCs w:val="21"/>
              </w:rPr>
            </w:pPr>
            <w:bookmarkStart w:id="3" w:name="_Hlk189844299"/>
            <w:bookmarkStart w:id="4" w:name="_Hlk189846806"/>
            <w:bookmarkStart w:id="5" w:name="OLE_LINK4"/>
            <w:r>
              <w:rPr>
                <w:rFonts w:hint="eastAsia" w:ascii="仿宋_GB2312" w:hAnsi="仿宋" w:eastAsia="仿宋_GB2312"/>
                <w:sz w:val="21"/>
                <w:szCs w:val="21"/>
              </w:rPr>
              <w:t>股东名称</w:t>
            </w:r>
          </w:p>
        </w:tc>
        <w:tc>
          <w:tcPr>
            <w:tcW w:w="1418" w:type="dxa"/>
            <w:shd w:val="clear" w:color="auto" w:fill="FFFFFF"/>
            <w:noWrap w:val="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476AA379">
            <w:pPr>
              <w:adjustRightInd w:val="0"/>
              <w:snapToGrid w:val="0"/>
              <w:spacing w:line="360" w:lineRule="auto"/>
              <w:jc w:val="center"/>
              <w:rPr>
                <w:rFonts w:ascii="仿宋_GB2312" w:hAnsi="楷体" w:eastAsia="仿宋_GB2312" w:cs="楷体"/>
                <w:szCs w:val="21"/>
              </w:rPr>
            </w:pPr>
            <w:r>
              <w:rPr>
                <w:rFonts w:hint="eastAsia" w:ascii="仿宋_GB2312" w:hAnsi="楷体" w:eastAsia="仿宋_GB2312" w:cs="楷体"/>
                <w:szCs w:val="21"/>
              </w:rPr>
              <w:t>变动前持股数量（股）</w:t>
            </w:r>
          </w:p>
        </w:tc>
        <w:tc>
          <w:tcPr>
            <w:tcW w:w="1417" w:type="dxa"/>
            <w:shd w:val="clear" w:color="auto" w:fill="FFFFFF"/>
            <w:noWrap w:val="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1730F1A1">
            <w:pPr>
              <w:adjustRightInd w:val="0"/>
              <w:snapToGrid w:val="0"/>
              <w:spacing w:line="360" w:lineRule="auto"/>
              <w:jc w:val="center"/>
              <w:rPr>
                <w:rFonts w:ascii="仿宋_GB2312" w:hAnsi="楷体" w:eastAsia="仿宋_GB2312" w:cs="楷体"/>
                <w:szCs w:val="21"/>
              </w:rPr>
            </w:pPr>
            <w:r>
              <w:rPr>
                <w:rFonts w:hint="eastAsia" w:ascii="仿宋_GB2312" w:hAnsi="楷体" w:eastAsia="仿宋_GB2312" w:cs="楷体"/>
                <w:szCs w:val="21"/>
              </w:rPr>
              <w:t>变动前持股比例（%）</w:t>
            </w:r>
          </w:p>
        </w:tc>
        <w:tc>
          <w:tcPr>
            <w:tcW w:w="1248" w:type="dxa"/>
            <w:shd w:val="clear" w:color="auto" w:fill="FFFFFF"/>
            <w:noWrap w:val="0"/>
            <w:vAlign w:val="top"/>
          </w:tcPr>
          <w:p w14:paraId="3026CFE0">
            <w:pPr>
              <w:adjustRightInd w:val="0"/>
              <w:snapToGrid w:val="0"/>
              <w:spacing w:line="360" w:lineRule="auto"/>
              <w:jc w:val="center"/>
              <w:rPr>
                <w:rFonts w:ascii="仿宋_GB2312" w:hAnsi="楷体" w:eastAsia="仿宋_GB2312" w:cs="楷体"/>
                <w:szCs w:val="21"/>
              </w:rPr>
            </w:pPr>
            <w:r>
              <w:rPr>
                <w:rFonts w:hint="eastAsia" w:ascii="仿宋_GB2312" w:hAnsi="楷体" w:eastAsia="仿宋_GB2312" w:cs="楷体"/>
                <w:szCs w:val="21"/>
              </w:rPr>
              <w:t>变动后持股数量（股）</w:t>
            </w:r>
          </w:p>
        </w:tc>
        <w:tc>
          <w:tcPr>
            <w:tcW w:w="0" w:type="auto"/>
            <w:shd w:val="clear" w:color="auto" w:fill="FFFFFF"/>
            <w:noWrap w:val="0"/>
            <w:vAlign w:val="top"/>
          </w:tcPr>
          <w:p w14:paraId="084890CA">
            <w:pPr>
              <w:adjustRightInd w:val="0"/>
              <w:snapToGrid w:val="0"/>
              <w:spacing w:line="360" w:lineRule="auto"/>
              <w:jc w:val="center"/>
              <w:rPr>
                <w:rFonts w:ascii="仿宋_GB2312" w:hAnsi="楷体" w:eastAsia="仿宋_GB2312" w:cs="楷体"/>
                <w:szCs w:val="21"/>
              </w:rPr>
            </w:pPr>
            <w:r>
              <w:rPr>
                <w:rFonts w:hint="eastAsia" w:ascii="仿宋_GB2312" w:hAnsi="楷体" w:eastAsia="仿宋_GB2312" w:cs="楷体"/>
                <w:szCs w:val="21"/>
              </w:rPr>
              <w:t>变动后持股比例（%）</w:t>
            </w:r>
          </w:p>
        </w:tc>
      </w:tr>
      <w:bookmarkEnd w:id="3"/>
      <w:tr w14:paraId="7E9F54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830" w:type="dxa"/>
            <w:shd w:val="clear" w:color="auto" w:fill="FFFFFF"/>
            <w:noWrap w:val="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78E5DE43">
            <w:pPr>
              <w:adjustRightInd w:val="0"/>
              <w:snapToGrid w:val="0"/>
              <w:spacing w:line="360" w:lineRule="auto"/>
              <w:jc w:val="left"/>
              <w:rPr>
                <w:rFonts w:ascii="仿宋_GB2312" w:hAnsi="楷体" w:eastAsia="仿宋_GB2312" w:cs="楷体"/>
                <w:szCs w:val="21"/>
              </w:rPr>
            </w:pPr>
            <w:r>
              <w:rPr>
                <w:rFonts w:hint="eastAsia" w:ascii="仿宋_GB2312" w:hAnsi="楷体" w:eastAsia="仿宋_GB2312" w:cs="楷体"/>
                <w:szCs w:val="21"/>
              </w:rPr>
              <w:t>股东A及其</w:t>
            </w:r>
            <w:bookmarkStart w:id="6" w:name="OLE_LINK3"/>
            <w:r>
              <w:rPr>
                <w:rFonts w:hint="eastAsia" w:ascii="仿宋_GB2312" w:hAnsi="楷体" w:eastAsia="仿宋_GB2312" w:cs="楷体"/>
                <w:szCs w:val="21"/>
              </w:rPr>
              <w:t>一致行动人</w:t>
            </w:r>
            <w:bookmarkEnd w:id="6"/>
            <w:r>
              <w:rPr>
                <w:rFonts w:hint="eastAsia" w:ascii="仿宋_GB2312" w:hAnsi="楷体" w:eastAsia="仿宋_GB2312" w:cs="楷体"/>
                <w:szCs w:val="21"/>
              </w:rPr>
              <w:t>（合并计算）</w:t>
            </w:r>
          </w:p>
        </w:tc>
        <w:tc>
          <w:tcPr>
            <w:tcW w:w="1418" w:type="dxa"/>
            <w:shd w:val="clear" w:color="auto" w:fill="FFFFFF"/>
            <w:noWrap w:val="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78CB9453">
            <w:pPr>
              <w:adjustRightInd w:val="0"/>
              <w:snapToGrid w:val="0"/>
              <w:spacing w:line="360" w:lineRule="auto"/>
              <w:jc w:val="center"/>
              <w:rPr>
                <w:rFonts w:ascii="仿宋_GB2312" w:hAnsi="楷体" w:eastAsia="仿宋_GB2312" w:cs="楷体"/>
                <w:szCs w:val="21"/>
              </w:rPr>
            </w:pPr>
          </w:p>
        </w:tc>
        <w:tc>
          <w:tcPr>
            <w:tcW w:w="1417" w:type="dxa"/>
            <w:shd w:val="clear" w:color="auto" w:fill="FFFFFF"/>
            <w:noWrap w:val="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322272BD">
            <w:pPr>
              <w:adjustRightInd w:val="0"/>
              <w:snapToGrid w:val="0"/>
              <w:spacing w:line="360" w:lineRule="auto"/>
              <w:jc w:val="center"/>
              <w:rPr>
                <w:rFonts w:ascii="仿宋_GB2312" w:hAnsi="楷体" w:eastAsia="仿宋_GB2312" w:cs="楷体"/>
                <w:szCs w:val="21"/>
              </w:rPr>
            </w:pPr>
          </w:p>
        </w:tc>
        <w:tc>
          <w:tcPr>
            <w:tcW w:w="1248" w:type="dxa"/>
            <w:shd w:val="clear" w:color="auto" w:fill="FFFFFF"/>
            <w:noWrap w:val="0"/>
            <w:vAlign w:val="top"/>
          </w:tcPr>
          <w:p w14:paraId="19EC53B4">
            <w:pPr>
              <w:adjustRightInd w:val="0"/>
              <w:snapToGrid w:val="0"/>
              <w:spacing w:line="360" w:lineRule="auto"/>
              <w:jc w:val="center"/>
              <w:rPr>
                <w:rFonts w:ascii="仿宋_GB2312" w:hAnsi="楷体" w:eastAsia="仿宋_GB2312" w:cs="楷体"/>
                <w:szCs w:val="21"/>
              </w:rPr>
            </w:pPr>
          </w:p>
        </w:tc>
        <w:tc>
          <w:tcPr>
            <w:tcW w:w="0" w:type="auto"/>
            <w:shd w:val="clear" w:color="auto" w:fill="FFFFFF"/>
            <w:noWrap w:val="0"/>
            <w:vAlign w:val="top"/>
          </w:tcPr>
          <w:p w14:paraId="79F93C5F">
            <w:pPr>
              <w:adjustRightInd w:val="0"/>
              <w:snapToGrid w:val="0"/>
              <w:spacing w:line="360" w:lineRule="auto"/>
              <w:jc w:val="center"/>
              <w:rPr>
                <w:rFonts w:ascii="仿宋_GB2312" w:hAnsi="楷体" w:eastAsia="仿宋_GB2312" w:cs="楷体"/>
                <w:szCs w:val="21"/>
              </w:rPr>
            </w:pPr>
          </w:p>
        </w:tc>
      </w:tr>
      <w:tr w14:paraId="28046F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830" w:type="dxa"/>
            <w:shd w:val="clear" w:color="auto" w:fill="FFFFFF"/>
            <w:noWrap w:val="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6CE9CF0C">
            <w:pPr>
              <w:adjustRightInd w:val="0"/>
              <w:snapToGrid w:val="0"/>
              <w:spacing w:line="360" w:lineRule="auto"/>
              <w:jc w:val="left"/>
              <w:rPr>
                <w:rFonts w:ascii="仿宋_GB2312" w:hAnsi="楷体" w:eastAsia="仿宋_GB2312" w:cs="楷体"/>
                <w:szCs w:val="21"/>
              </w:rPr>
            </w:pPr>
            <w:r>
              <w:rPr>
                <w:rFonts w:hint="eastAsia" w:ascii="仿宋_GB2312" w:hAnsi="楷体" w:eastAsia="仿宋_GB2312" w:cs="楷体"/>
                <w:szCs w:val="21"/>
              </w:rPr>
              <w:t>股东A</w:t>
            </w:r>
          </w:p>
        </w:tc>
        <w:tc>
          <w:tcPr>
            <w:tcW w:w="1418" w:type="dxa"/>
            <w:shd w:val="clear" w:color="auto" w:fill="FFFFFF"/>
            <w:noWrap w:val="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0F9B29F6">
            <w:pPr>
              <w:adjustRightInd w:val="0"/>
              <w:snapToGrid w:val="0"/>
              <w:spacing w:line="360" w:lineRule="auto"/>
              <w:jc w:val="center"/>
              <w:rPr>
                <w:rFonts w:ascii="仿宋_GB2312" w:hAnsi="楷体" w:eastAsia="仿宋_GB2312" w:cs="楷体"/>
                <w:szCs w:val="21"/>
              </w:rPr>
            </w:pPr>
          </w:p>
        </w:tc>
        <w:tc>
          <w:tcPr>
            <w:tcW w:w="1417" w:type="dxa"/>
            <w:shd w:val="clear" w:color="auto" w:fill="FFFFFF"/>
            <w:noWrap w:val="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057A6C86">
            <w:pPr>
              <w:adjustRightInd w:val="0"/>
              <w:snapToGrid w:val="0"/>
              <w:spacing w:line="360" w:lineRule="auto"/>
              <w:jc w:val="center"/>
              <w:rPr>
                <w:rFonts w:ascii="仿宋_GB2312" w:hAnsi="楷体" w:eastAsia="仿宋_GB2312" w:cs="楷体"/>
                <w:szCs w:val="21"/>
              </w:rPr>
            </w:pPr>
          </w:p>
        </w:tc>
        <w:tc>
          <w:tcPr>
            <w:tcW w:w="1248" w:type="dxa"/>
            <w:shd w:val="clear" w:color="auto" w:fill="FFFFFF"/>
            <w:noWrap w:val="0"/>
            <w:vAlign w:val="top"/>
          </w:tcPr>
          <w:p w14:paraId="6347E605">
            <w:pPr>
              <w:adjustRightInd w:val="0"/>
              <w:snapToGrid w:val="0"/>
              <w:spacing w:line="360" w:lineRule="auto"/>
              <w:jc w:val="center"/>
              <w:rPr>
                <w:rFonts w:ascii="仿宋_GB2312" w:hAnsi="楷体" w:eastAsia="仿宋_GB2312" w:cs="楷体"/>
                <w:szCs w:val="21"/>
              </w:rPr>
            </w:pPr>
          </w:p>
        </w:tc>
        <w:tc>
          <w:tcPr>
            <w:tcW w:w="0" w:type="auto"/>
            <w:shd w:val="clear" w:color="auto" w:fill="FFFFFF"/>
            <w:noWrap w:val="0"/>
            <w:vAlign w:val="top"/>
          </w:tcPr>
          <w:p w14:paraId="390AB8CB">
            <w:pPr>
              <w:adjustRightInd w:val="0"/>
              <w:snapToGrid w:val="0"/>
              <w:spacing w:line="360" w:lineRule="auto"/>
              <w:jc w:val="center"/>
              <w:rPr>
                <w:rFonts w:ascii="仿宋_GB2312" w:hAnsi="楷体" w:eastAsia="仿宋_GB2312" w:cs="楷体"/>
                <w:szCs w:val="21"/>
              </w:rPr>
            </w:pPr>
          </w:p>
        </w:tc>
      </w:tr>
      <w:tr w14:paraId="405584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830" w:type="dxa"/>
            <w:shd w:val="clear" w:color="auto" w:fill="FFFFFF"/>
            <w:noWrap w:val="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75809254">
            <w:pPr>
              <w:adjustRightInd w:val="0"/>
              <w:snapToGrid w:val="0"/>
              <w:spacing w:line="360" w:lineRule="auto"/>
              <w:jc w:val="left"/>
              <w:rPr>
                <w:rFonts w:ascii="仿宋_GB2312" w:hAnsi="楷体" w:eastAsia="仿宋_GB2312" w:cs="楷体"/>
                <w:szCs w:val="21"/>
              </w:rPr>
            </w:pPr>
            <w:bookmarkStart w:id="7" w:name="OLE_LINK2"/>
            <w:r>
              <w:rPr>
                <w:rFonts w:hint="eastAsia" w:ascii="仿宋_GB2312" w:hAnsi="楷体" w:eastAsia="仿宋_GB2312" w:cs="楷体"/>
                <w:szCs w:val="21"/>
              </w:rPr>
              <w:t>一致行动人1</w:t>
            </w:r>
            <w:bookmarkEnd w:id="7"/>
          </w:p>
        </w:tc>
        <w:tc>
          <w:tcPr>
            <w:tcW w:w="1418" w:type="dxa"/>
            <w:shd w:val="clear" w:color="auto" w:fill="FFFFFF"/>
            <w:noWrap w:val="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04A377B1">
            <w:pPr>
              <w:adjustRightInd w:val="0"/>
              <w:snapToGrid w:val="0"/>
              <w:spacing w:line="360" w:lineRule="auto"/>
              <w:jc w:val="center"/>
              <w:rPr>
                <w:rFonts w:ascii="仿宋_GB2312" w:hAnsi="楷体" w:eastAsia="仿宋_GB2312" w:cs="楷体"/>
                <w:szCs w:val="21"/>
              </w:rPr>
            </w:pPr>
          </w:p>
        </w:tc>
        <w:tc>
          <w:tcPr>
            <w:tcW w:w="1417" w:type="dxa"/>
            <w:shd w:val="clear" w:color="auto" w:fill="FFFFFF"/>
            <w:noWrap w:val="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6A8E0E51">
            <w:pPr>
              <w:adjustRightInd w:val="0"/>
              <w:snapToGrid w:val="0"/>
              <w:spacing w:line="360" w:lineRule="auto"/>
              <w:jc w:val="center"/>
              <w:rPr>
                <w:rFonts w:ascii="仿宋_GB2312" w:hAnsi="楷体" w:eastAsia="仿宋_GB2312" w:cs="楷体"/>
                <w:szCs w:val="21"/>
              </w:rPr>
            </w:pPr>
          </w:p>
        </w:tc>
        <w:tc>
          <w:tcPr>
            <w:tcW w:w="1248" w:type="dxa"/>
            <w:shd w:val="clear" w:color="auto" w:fill="FFFFFF"/>
            <w:noWrap w:val="0"/>
            <w:vAlign w:val="top"/>
          </w:tcPr>
          <w:p w14:paraId="1459EFFA">
            <w:pPr>
              <w:adjustRightInd w:val="0"/>
              <w:snapToGrid w:val="0"/>
              <w:spacing w:line="360" w:lineRule="auto"/>
              <w:jc w:val="center"/>
              <w:rPr>
                <w:rFonts w:ascii="仿宋_GB2312" w:hAnsi="楷体" w:eastAsia="仿宋_GB2312" w:cs="楷体"/>
                <w:szCs w:val="21"/>
              </w:rPr>
            </w:pPr>
          </w:p>
        </w:tc>
        <w:tc>
          <w:tcPr>
            <w:tcW w:w="0" w:type="auto"/>
            <w:shd w:val="clear" w:color="auto" w:fill="FFFFFF"/>
            <w:noWrap w:val="0"/>
            <w:vAlign w:val="top"/>
          </w:tcPr>
          <w:p w14:paraId="58698EC6">
            <w:pPr>
              <w:adjustRightInd w:val="0"/>
              <w:snapToGrid w:val="0"/>
              <w:spacing w:line="360" w:lineRule="auto"/>
              <w:jc w:val="center"/>
              <w:rPr>
                <w:rFonts w:ascii="仿宋_GB2312" w:hAnsi="楷体" w:eastAsia="仿宋_GB2312" w:cs="楷体"/>
                <w:szCs w:val="21"/>
              </w:rPr>
            </w:pPr>
          </w:p>
        </w:tc>
      </w:tr>
      <w:tr w14:paraId="335508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830" w:type="dxa"/>
            <w:shd w:val="clear" w:color="auto" w:fill="FFFFFF"/>
            <w:noWrap w:val="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4E5F2D07">
            <w:pPr>
              <w:adjustRightInd w:val="0"/>
              <w:snapToGrid w:val="0"/>
              <w:spacing w:line="360" w:lineRule="auto"/>
              <w:jc w:val="left"/>
              <w:rPr>
                <w:rFonts w:ascii="仿宋_GB2312" w:hAnsi="楷体" w:eastAsia="仿宋_GB2312" w:cs="楷体"/>
                <w:szCs w:val="21"/>
              </w:rPr>
            </w:pPr>
            <w:r>
              <w:rPr>
                <w:rFonts w:hint="eastAsia" w:ascii="仿宋_GB2312" w:hAnsi="楷体" w:eastAsia="仿宋_GB2312" w:cs="楷体"/>
                <w:szCs w:val="21"/>
              </w:rPr>
              <w:t>一致行动人2</w:t>
            </w:r>
          </w:p>
        </w:tc>
        <w:tc>
          <w:tcPr>
            <w:tcW w:w="1418" w:type="dxa"/>
            <w:shd w:val="clear" w:color="auto" w:fill="FFFFFF"/>
            <w:noWrap w:val="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5B9B6C17">
            <w:pPr>
              <w:adjustRightInd w:val="0"/>
              <w:snapToGrid w:val="0"/>
              <w:spacing w:line="360" w:lineRule="auto"/>
              <w:jc w:val="center"/>
              <w:rPr>
                <w:rFonts w:ascii="仿宋_GB2312" w:hAnsi="楷体" w:eastAsia="仿宋_GB2312" w:cs="楷体"/>
                <w:szCs w:val="21"/>
              </w:rPr>
            </w:pPr>
          </w:p>
        </w:tc>
        <w:tc>
          <w:tcPr>
            <w:tcW w:w="1417" w:type="dxa"/>
            <w:shd w:val="clear" w:color="auto" w:fill="FFFFFF"/>
            <w:noWrap w:val="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5A5ABC47">
            <w:pPr>
              <w:adjustRightInd w:val="0"/>
              <w:snapToGrid w:val="0"/>
              <w:spacing w:line="360" w:lineRule="auto"/>
              <w:jc w:val="center"/>
              <w:rPr>
                <w:rFonts w:ascii="仿宋_GB2312" w:hAnsi="楷体" w:eastAsia="仿宋_GB2312" w:cs="楷体"/>
                <w:szCs w:val="21"/>
              </w:rPr>
            </w:pPr>
          </w:p>
        </w:tc>
        <w:tc>
          <w:tcPr>
            <w:tcW w:w="1248" w:type="dxa"/>
            <w:shd w:val="clear" w:color="auto" w:fill="FFFFFF"/>
            <w:noWrap w:val="0"/>
            <w:vAlign w:val="top"/>
          </w:tcPr>
          <w:p w14:paraId="7D1F406A">
            <w:pPr>
              <w:adjustRightInd w:val="0"/>
              <w:snapToGrid w:val="0"/>
              <w:spacing w:line="360" w:lineRule="auto"/>
              <w:jc w:val="center"/>
              <w:rPr>
                <w:rFonts w:ascii="仿宋_GB2312" w:hAnsi="楷体" w:eastAsia="仿宋_GB2312" w:cs="楷体"/>
                <w:szCs w:val="21"/>
              </w:rPr>
            </w:pPr>
          </w:p>
        </w:tc>
        <w:tc>
          <w:tcPr>
            <w:tcW w:w="0" w:type="auto"/>
            <w:shd w:val="clear" w:color="auto" w:fill="FFFFFF"/>
            <w:noWrap w:val="0"/>
            <w:vAlign w:val="top"/>
          </w:tcPr>
          <w:p w14:paraId="58CE2C79">
            <w:pPr>
              <w:adjustRightInd w:val="0"/>
              <w:snapToGrid w:val="0"/>
              <w:spacing w:line="360" w:lineRule="auto"/>
              <w:jc w:val="center"/>
              <w:rPr>
                <w:rFonts w:ascii="仿宋_GB2312" w:hAnsi="楷体" w:eastAsia="仿宋_GB2312" w:cs="楷体"/>
                <w:szCs w:val="21"/>
              </w:rPr>
            </w:pPr>
          </w:p>
        </w:tc>
      </w:tr>
      <w:tr w14:paraId="215207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830" w:type="dxa"/>
            <w:shd w:val="clear" w:color="auto" w:fill="FFFFFF"/>
            <w:noWrap w:val="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0D559CF3">
            <w:pPr>
              <w:adjustRightInd w:val="0"/>
              <w:snapToGrid w:val="0"/>
              <w:spacing w:line="360" w:lineRule="auto"/>
              <w:jc w:val="left"/>
              <w:rPr>
                <w:rFonts w:ascii="仿宋_GB2312" w:hAnsi="楷体" w:eastAsia="仿宋_GB2312" w:cs="楷体"/>
                <w:szCs w:val="21"/>
              </w:rPr>
            </w:pPr>
            <w:r>
              <w:rPr>
                <w:rFonts w:hint="eastAsia" w:ascii="仿宋_GB2312" w:hAnsi="楷体" w:eastAsia="仿宋_GB2312" w:cs="楷体"/>
                <w:szCs w:val="21"/>
              </w:rPr>
              <w:t>股东B</w:t>
            </w:r>
          </w:p>
        </w:tc>
        <w:tc>
          <w:tcPr>
            <w:tcW w:w="1418" w:type="dxa"/>
            <w:shd w:val="clear" w:color="auto" w:fill="FFFFFF"/>
            <w:noWrap w:val="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61F90605">
            <w:pPr>
              <w:adjustRightInd w:val="0"/>
              <w:snapToGrid w:val="0"/>
              <w:spacing w:line="360" w:lineRule="auto"/>
              <w:jc w:val="center"/>
              <w:rPr>
                <w:rFonts w:ascii="仿宋_GB2312" w:hAnsi="楷体" w:eastAsia="仿宋_GB2312" w:cs="楷体"/>
                <w:szCs w:val="21"/>
              </w:rPr>
            </w:pPr>
          </w:p>
        </w:tc>
        <w:tc>
          <w:tcPr>
            <w:tcW w:w="1417" w:type="dxa"/>
            <w:shd w:val="clear" w:color="auto" w:fill="FFFFFF"/>
            <w:noWrap w:val="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453B4B57">
            <w:pPr>
              <w:adjustRightInd w:val="0"/>
              <w:snapToGrid w:val="0"/>
              <w:spacing w:line="360" w:lineRule="auto"/>
              <w:jc w:val="center"/>
              <w:rPr>
                <w:rFonts w:ascii="仿宋_GB2312" w:hAnsi="楷体" w:eastAsia="仿宋_GB2312" w:cs="楷体"/>
                <w:szCs w:val="21"/>
              </w:rPr>
            </w:pPr>
          </w:p>
        </w:tc>
        <w:tc>
          <w:tcPr>
            <w:tcW w:w="1248" w:type="dxa"/>
            <w:shd w:val="clear" w:color="auto" w:fill="FFFFFF"/>
            <w:noWrap w:val="0"/>
            <w:vAlign w:val="top"/>
          </w:tcPr>
          <w:p w14:paraId="6248DDCB">
            <w:pPr>
              <w:adjustRightInd w:val="0"/>
              <w:snapToGrid w:val="0"/>
              <w:spacing w:line="360" w:lineRule="auto"/>
              <w:jc w:val="center"/>
              <w:rPr>
                <w:rFonts w:ascii="仿宋_GB2312" w:hAnsi="楷体" w:eastAsia="仿宋_GB2312" w:cs="楷体"/>
                <w:szCs w:val="21"/>
              </w:rPr>
            </w:pPr>
          </w:p>
        </w:tc>
        <w:tc>
          <w:tcPr>
            <w:tcW w:w="0" w:type="auto"/>
            <w:shd w:val="clear" w:color="auto" w:fill="FFFFFF"/>
            <w:noWrap w:val="0"/>
            <w:vAlign w:val="top"/>
          </w:tcPr>
          <w:p w14:paraId="18B27E5A">
            <w:pPr>
              <w:adjustRightInd w:val="0"/>
              <w:snapToGrid w:val="0"/>
              <w:spacing w:line="360" w:lineRule="auto"/>
              <w:jc w:val="center"/>
              <w:rPr>
                <w:rFonts w:ascii="仿宋_GB2312" w:hAnsi="楷体" w:eastAsia="仿宋_GB2312" w:cs="楷体"/>
                <w:szCs w:val="21"/>
              </w:rPr>
            </w:pPr>
          </w:p>
        </w:tc>
      </w:tr>
      <w:bookmarkEnd w:id="4"/>
    </w:tbl>
    <w:p w14:paraId="525F1C83">
      <w:pPr>
        <w:widowControl/>
        <w:ind w:firstLine="420" w:firstLineChars="200"/>
        <w:rPr>
          <w:rFonts w:ascii="仿宋_GB2312" w:hAnsi="宋体" w:eastAsia="仿宋_GB2312" w:cs="宋体"/>
          <w:color w:val="000000"/>
          <w:kern w:val="0"/>
          <w:sz w:val="24"/>
        </w:rPr>
      </w:pPr>
      <w:r>
        <w:rPr>
          <w:rFonts w:hint="eastAsia" w:ascii="仿宋_GB2312" w:hAnsi="楷体" w:eastAsia="仿宋_GB2312" w:cs="楷体"/>
          <w:szCs w:val="20"/>
        </w:rPr>
        <w:t>注：</w:t>
      </w:r>
      <w:r>
        <w:rPr>
          <w:rFonts w:hint="eastAsia" w:ascii="仿宋_GB2312" w:hAnsi="楷体" w:eastAsia="仿宋_GB2312" w:cs="楷体"/>
        </w:rPr>
        <w:t>股东如有一致行动人参照股东A进行披露，先合并计算持股</w:t>
      </w:r>
      <w:r>
        <w:rPr>
          <w:rFonts w:hint="eastAsia" w:ascii="仿宋_GB2312" w:hAnsi="楷体" w:eastAsia="仿宋_GB2312" w:cs="楷体"/>
          <w:lang w:eastAsia="zh-CN"/>
        </w:rPr>
        <w:t>列示</w:t>
      </w:r>
      <w:r>
        <w:rPr>
          <w:rFonts w:hint="eastAsia" w:ascii="仿宋_GB2312" w:hAnsi="楷体" w:eastAsia="仿宋_GB2312" w:cs="楷体"/>
        </w:rPr>
        <w:t>，后单独列示；股东如无一致行动人参照股东B进行披露</w:t>
      </w:r>
      <w:r>
        <w:rPr>
          <w:rFonts w:hint="eastAsia" w:ascii="仿宋_GB2312" w:hAnsi="宋体" w:eastAsia="仿宋_GB2312" w:cs="宋体"/>
          <w:color w:val="000000"/>
          <w:kern w:val="0"/>
          <w:sz w:val="24"/>
        </w:rPr>
        <w:t>。</w:t>
      </w:r>
    </w:p>
    <w:bookmarkEnd w:id="5"/>
    <w:p w14:paraId="547BCAE3">
      <w:pPr>
        <w:widowControl/>
        <w:spacing w:line="600" w:lineRule="exact"/>
        <w:ind w:firstLine="480" w:firstLineChars="200"/>
        <w:rPr>
          <w:rFonts w:hint="eastAsia" w:ascii="宋体" w:hAnsi="宋体"/>
          <w:color w:val="000000"/>
          <w:sz w:val="24"/>
        </w:rPr>
      </w:pPr>
    </w:p>
    <w:p w14:paraId="4D9E8CFA">
      <w:pPr>
        <w:widowControl/>
        <w:spacing w:line="600" w:lineRule="exact"/>
        <w:ind w:firstLine="643" w:firstLineChars="200"/>
        <w:rPr>
          <w:rFonts w:ascii="黑体" w:hAnsi="黑体" w:eastAsia="黑体" w:cs="宋体"/>
          <w:b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宋体"/>
          <w:b/>
          <w:color w:val="000000"/>
          <w:kern w:val="0"/>
          <w:sz w:val="32"/>
          <w:szCs w:val="32"/>
        </w:rPr>
        <w:t>五、介绍本次换股吸收合并相关各方的其他承诺情况</w:t>
      </w:r>
    </w:p>
    <w:p w14:paraId="3738952A">
      <w:pPr>
        <w:widowControl/>
        <w:spacing w:line="600" w:lineRule="exact"/>
        <w:ind w:firstLine="600" w:firstLineChars="200"/>
        <w:rPr>
          <w:rFonts w:ascii="仿宋_GB2312" w:hAnsi="宋体" w:eastAsia="仿宋_GB2312" w:cs="宋体"/>
          <w:color w:val="000000"/>
          <w:kern w:val="0"/>
          <w:sz w:val="30"/>
          <w:szCs w:val="30"/>
        </w:rPr>
      </w:pPr>
      <w:r>
        <w:rPr>
          <w:rFonts w:hint="eastAsia" w:ascii="仿宋_GB2312" w:hAnsi="宋体" w:eastAsia="仿宋_GB2312" w:cs="宋体"/>
          <w:color w:val="000000"/>
          <w:kern w:val="0"/>
          <w:sz w:val="30"/>
          <w:szCs w:val="30"/>
        </w:rPr>
        <w:t>特此公告。</w:t>
      </w:r>
    </w:p>
    <w:p w14:paraId="3AFCDF5E">
      <w:pPr>
        <w:widowControl/>
        <w:spacing w:line="600" w:lineRule="exact"/>
        <w:ind w:firstLine="600" w:firstLineChars="200"/>
        <w:rPr>
          <w:rFonts w:ascii="仿宋_GB2312" w:hAnsi="宋体" w:eastAsia="仿宋_GB2312" w:cs="宋体"/>
          <w:color w:val="000000"/>
          <w:kern w:val="0"/>
          <w:sz w:val="30"/>
          <w:szCs w:val="30"/>
        </w:rPr>
      </w:pPr>
    </w:p>
    <w:p w14:paraId="2B6A00F1">
      <w:pPr>
        <w:widowControl/>
        <w:spacing w:line="600" w:lineRule="exact"/>
        <w:ind w:firstLine="600" w:firstLineChars="200"/>
        <w:jc w:val="right"/>
        <w:rPr>
          <w:rFonts w:ascii="仿宋_GB2312" w:hAnsi="宋体" w:eastAsia="仿宋_GB2312" w:cs="宋体"/>
          <w:color w:val="000000"/>
          <w:kern w:val="0"/>
          <w:sz w:val="30"/>
          <w:szCs w:val="30"/>
        </w:rPr>
      </w:pPr>
      <w:r>
        <w:rPr>
          <w:rFonts w:hint="eastAsia" w:ascii="仿宋_GB2312" w:hAnsi="宋体" w:eastAsia="仿宋_GB2312" w:cs="宋体"/>
          <w:color w:val="000000"/>
          <w:kern w:val="0"/>
          <w:sz w:val="30"/>
          <w:szCs w:val="30"/>
        </w:rPr>
        <w:t>XXXX股份有限公司董事会</w:t>
      </w:r>
    </w:p>
    <w:p w14:paraId="65BCA7FD">
      <w:pPr>
        <w:widowControl/>
        <w:spacing w:line="600" w:lineRule="exact"/>
        <w:ind w:firstLine="600" w:firstLineChars="200"/>
        <w:jc w:val="right"/>
        <w:rPr>
          <w:rFonts w:ascii="仿宋_GB2312" w:hAnsi="宋体" w:eastAsia="仿宋_GB2312" w:cs="宋体"/>
          <w:color w:val="000000"/>
          <w:kern w:val="0"/>
          <w:sz w:val="30"/>
          <w:szCs w:val="30"/>
        </w:rPr>
      </w:pPr>
      <w:r>
        <w:rPr>
          <w:rFonts w:hint="eastAsia" w:ascii="仿宋_GB2312" w:hAnsi="宋体" w:eastAsia="仿宋_GB2312" w:cs="宋体"/>
          <w:color w:val="000000"/>
          <w:kern w:val="0"/>
          <w:sz w:val="30"/>
          <w:szCs w:val="30"/>
        </w:rPr>
        <w:t>年  月  日</w:t>
      </w:r>
    </w:p>
    <w:p w14:paraId="5A459CA5">
      <w:pPr>
        <w:widowControl/>
        <w:spacing w:line="600" w:lineRule="exact"/>
        <w:ind w:firstLine="600" w:firstLineChars="200"/>
        <w:rPr>
          <w:rFonts w:ascii="仿宋_GB2312" w:hAnsi="宋体" w:eastAsia="仿宋_GB2312" w:cs="宋体"/>
          <w:color w:val="000000"/>
          <w:kern w:val="0"/>
          <w:sz w:val="30"/>
          <w:szCs w:val="30"/>
        </w:rPr>
      </w:pPr>
    </w:p>
    <w:p w14:paraId="2F696E8D">
      <w:pPr>
        <w:pStyle w:val="17"/>
        <w:widowControl/>
        <w:numPr>
          <w:ilvl w:val="0"/>
          <w:numId w:val="2"/>
        </w:numPr>
        <w:spacing w:line="600" w:lineRule="exact"/>
        <w:ind w:left="0" w:firstLine="602"/>
        <w:rPr>
          <w:rFonts w:ascii="仿宋_GB2312" w:hAnsi="宋体" w:eastAsia="仿宋_GB2312" w:cs="宋体"/>
          <w:b/>
          <w:color w:val="000000"/>
          <w:kern w:val="0"/>
          <w:sz w:val="30"/>
          <w:szCs w:val="30"/>
        </w:rPr>
      </w:pPr>
      <w:r>
        <w:rPr>
          <w:rFonts w:hint="eastAsia" w:ascii="仿宋_GB2312" w:hAnsi="宋体" w:eastAsia="仿宋_GB2312" w:cs="宋体"/>
          <w:b/>
          <w:color w:val="000000"/>
          <w:kern w:val="0"/>
          <w:sz w:val="30"/>
          <w:szCs w:val="30"/>
        </w:rPr>
        <w:t xml:space="preserve"> 报备文件</w:t>
      </w:r>
    </w:p>
    <w:p w14:paraId="01F384B0">
      <w:pPr>
        <w:widowControl/>
        <w:spacing w:line="600" w:lineRule="exact"/>
        <w:ind w:firstLine="600" w:firstLineChars="200"/>
        <w:rPr>
          <w:rFonts w:ascii="仿宋_GB2312" w:hAnsi="宋体" w:eastAsia="仿宋_GB2312" w:cs="宋体"/>
          <w:color w:val="000000"/>
          <w:kern w:val="0"/>
          <w:sz w:val="30"/>
          <w:szCs w:val="30"/>
        </w:rPr>
      </w:pPr>
      <w:bookmarkStart w:id="8" w:name="_GoBack"/>
      <w:bookmarkEnd w:id="8"/>
      <w:r>
        <w:rPr>
          <w:rFonts w:hint="eastAsia" w:ascii="仿宋_GB2312" w:hAnsi="宋体" w:eastAsia="仿宋_GB2312" w:cs="宋体"/>
          <w:color w:val="000000"/>
          <w:kern w:val="0"/>
          <w:sz w:val="30"/>
          <w:szCs w:val="30"/>
        </w:rPr>
        <w:t>（</w:t>
      </w:r>
      <w:r>
        <w:rPr>
          <w:rFonts w:hint="eastAsia" w:ascii="仿宋_GB2312" w:hAnsi="宋体" w:eastAsia="仿宋_GB2312" w:cs="宋体"/>
          <w:color w:val="000000"/>
          <w:kern w:val="0"/>
          <w:sz w:val="30"/>
          <w:szCs w:val="30"/>
          <w:lang w:eastAsia="zh-CN"/>
        </w:rPr>
        <w:t>一</w:t>
      </w:r>
      <w:r>
        <w:rPr>
          <w:rFonts w:hint="eastAsia" w:ascii="仿宋_GB2312" w:hAnsi="宋体" w:eastAsia="仿宋_GB2312" w:cs="宋体"/>
          <w:color w:val="000000"/>
          <w:kern w:val="0"/>
          <w:sz w:val="30"/>
          <w:szCs w:val="30"/>
        </w:rPr>
        <w:t>）中国证券登记结算有限责任公司上海分公司出具的《证券变更登记证明》</w:t>
      </w:r>
    </w:p>
    <w:p w14:paraId="503AD3D3">
      <w:pPr>
        <w:widowControl/>
        <w:spacing w:line="600" w:lineRule="exact"/>
        <w:ind w:firstLine="600" w:firstLineChars="200"/>
        <w:rPr>
          <w:rFonts w:ascii="仿宋_GB2312" w:hAnsi="宋体" w:eastAsia="仿宋_GB2312" w:cs="宋体"/>
          <w:color w:val="000000"/>
          <w:kern w:val="0"/>
          <w:sz w:val="30"/>
          <w:szCs w:val="30"/>
        </w:rPr>
      </w:pPr>
      <w:r>
        <w:rPr>
          <w:rFonts w:hint="eastAsia" w:ascii="仿宋_GB2312" w:hAnsi="宋体" w:eastAsia="仿宋_GB2312" w:cs="宋体"/>
          <w:color w:val="000000"/>
          <w:kern w:val="0"/>
          <w:sz w:val="30"/>
          <w:szCs w:val="30"/>
        </w:rPr>
        <w:t>（</w:t>
      </w:r>
      <w:r>
        <w:rPr>
          <w:rFonts w:hint="eastAsia" w:ascii="仿宋_GB2312" w:hAnsi="宋体" w:eastAsia="仿宋_GB2312" w:cs="宋体"/>
          <w:color w:val="000000"/>
          <w:kern w:val="0"/>
          <w:sz w:val="30"/>
          <w:szCs w:val="30"/>
          <w:lang w:eastAsia="zh-CN"/>
        </w:rPr>
        <w:t>二</w:t>
      </w:r>
      <w:r>
        <w:rPr>
          <w:rFonts w:hint="eastAsia" w:ascii="仿宋_GB2312" w:hAnsi="宋体" w:eastAsia="仿宋_GB2312" w:cs="宋体"/>
          <w:color w:val="000000"/>
          <w:kern w:val="0"/>
          <w:sz w:val="30"/>
          <w:szCs w:val="30"/>
        </w:rPr>
        <w:t>）会计师事务所出具的验资报告</w:t>
      </w:r>
    </w:p>
    <w:p w14:paraId="1C5629B0">
      <w:pPr>
        <w:widowControl/>
        <w:spacing w:line="600" w:lineRule="exact"/>
        <w:ind w:firstLine="600" w:firstLineChars="200"/>
        <w:rPr>
          <w:rFonts w:ascii="仿宋_GB2312" w:hAnsi="宋体" w:eastAsia="仿宋_GB2312" w:cs="宋体"/>
          <w:color w:val="000000"/>
          <w:kern w:val="0"/>
          <w:sz w:val="30"/>
          <w:szCs w:val="30"/>
        </w:rPr>
      </w:pPr>
      <w:r>
        <w:rPr>
          <w:rFonts w:hint="eastAsia" w:ascii="仿宋_GB2312" w:hAnsi="宋体" w:eastAsia="仿宋_GB2312" w:cs="宋体"/>
          <w:color w:val="000000"/>
          <w:kern w:val="0"/>
          <w:sz w:val="30"/>
          <w:szCs w:val="30"/>
        </w:rPr>
        <w:t>（</w:t>
      </w:r>
      <w:r>
        <w:rPr>
          <w:rFonts w:hint="eastAsia" w:ascii="仿宋_GB2312" w:hAnsi="宋体" w:eastAsia="仿宋_GB2312" w:cs="宋体"/>
          <w:color w:val="000000"/>
          <w:kern w:val="0"/>
          <w:sz w:val="30"/>
          <w:szCs w:val="30"/>
          <w:lang w:eastAsia="zh-CN"/>
        </w:rPr>
        <w:t>三</w:t>
      </w:r>
      <w:r>
        <w:rPr>
          <w:rFonts w:hint="eastAsia" w:ascii="仿宋_GB2312" w:hAnsi="宋体" w:eastAsia="仿宋_GB2312" w:cs="宋体"/>
          <w:color w:val="000000"/>
          <w:kern w:val="0"/>
          <w:sz w:val="30"/>
          <w:szCs w:val="30"/>
        </w:rPr>
        <w:t>）独立财务顾问出具的换股吸收合并实施情况核查意见</w:t>
      </w:r>
    </w:p>
    <w:p w14:paraId="691A0E4E">
      <w:pPr>
        <w:widowControl/>
        <w:spacing w:line="600" w:lineRule="exact"/>
        <w:ind w:firstLine="600" w:firstLineChars="200"/>
        <w:rPr>
          <w:rFonts w:ascii="仿宋_GB2312" w:hAnsi="宋体" w:eastAsia="仿宋_GB2312" w:cs="宋体"/>
          <w:color w:val="000000"/>
          <w:kern w:val="0"/>
          <w:sz w:val="30"/>
          <w:szCs w:val="30"/>
        </w:rPr>
      </w:pPr>
      <w:r>
        <w:rPr>
          <w:rFonts w:hint="eastAsia" w:ascii="仿宋_GB2312" w:hAnsi="宋体" w:eastAsia="仿宋_GB2312" w:cs="宋体"/>
          <w:color w:val="000000"/>
          <w:kern w:val="0"/>
          <w:sz w:val="30"/>
          <w:szCs w:val="30"/>
        </w:rPr>
        <w:t>（</w:t>
      </w:r>
      <w:r>
        <w:rPr>
          <w:rFonts w:hint="eastAsia" w:ascii="仿宋_GB2312" w:hAnsi="宋体" w:eastAsia="仿宋_GB2312" w:cs="宋体"/>
          <w:color w:val="000000"/>
          <w:kern w:val="0"/>
          <w:sz w:val="30"/>
          <w:szCs w:val="30"/>
          <w:lang w:eastAsia="zh-CN"/>
        </w:rPr>
        <w:t>四</w:t>
      </w:r>
      <w:r>
        <w:rPr>
          <w:rFonts w:hint="eastAsia" w:ascii="仿宋_GB2312" w:hAnsi="宋体" w:eastAsia="仿宋_GB2312" w:cs="宋体"/>
          <w:color w:val="000000"/>
          <w:kern w:val="0"/>
          <w:sz w:val="30"/>
          <w:szCs w:val="30"/>
        </w:rPr>
        <w:t>）律师事务所出具的换股吸收合并实施情况法律意见书</w:t>
      </w:r>
    </w:p>
    <w:p w14:paraId="698AFCDF">
      <w:pPr>
        <w:widowControl/>
        <w:spacing w:line="600" w:lineRule="exact"/>
        <w:ind w:firstLine="600" w:firstLineChars="200"/>
        <w:rPr>
          <w:rFonts w:hint="eastAsia" w:ascii="仿宋_GB2312" w:hAnsi="宋体" w:eastAsia="仿宋_GB2312" w:cs="宋体"/>
          <w:color w:val="000000"/>
          <w:kern w:val="0"/>
          <w:sz w:val="30"/>
          <w:szCs w:val="30"/>
          <w:lang w:val="en-US" w:eastAsia="zh-CN"/>
        </w:rPr>
      </w:pPr>
      <w:r>
        <w:rPr>
          <w:rFonts w:hint="eastAsia" w:ascii="仿宋_GB2312" w:hAnsi="宋体" w:eastAsia="仿宋_GB2312" w:cs="宋体"/>
          <w:color w:val="000000"/>
          <w:kern w:val="0"/>
          <w:sz w:val="30"/>
          <w:szCs w:val="30"/>
          <w:lang w:val="en-US" w:eastAsia="zh-CN"/>
        </w:rPr>
        <w:t xml:space="preserve"> 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E42724">
    <w:pPr>
      <w:pStyle w:val="4"/>
      <w:jc w:val="center"/>
      <w:rPr>
        <w:sz w:val="21"/>
        <w:szCs w:val="21"/>
      </w:rPr>
    </w:pPr>
    <w:r>
      <w:rPr>
        <w:sz w:val="21"/>
        <w:szCs w:val="21"/>
      </w:rPr>
      <w:fldChar w:fldCharType="begin"/>
    </w:r>
    <w:r>
      <w:rPr>
        <w:sz w:val="21"/>
        <w:szCs w:val="21"/>
      </w:rPr>
      <w:instrText xml:space="preserve"> PAGE   \* MERGEFORMAT </w:instrText>
    </w:r>
    <w:r>
      <w:rPr>
        <w:sz w:val="21"/>
        <w:szCs w:val="21"/>
      </w:rPr>
      <w:fldChar w:fldCharType="separate"/>
    </w:r>
    <w:r>
      <w:rPr>
        <w:sz w:val="21"/>
        <w:szCs w:val="21"/>
        <w:lang w:val="zh-CN"/>
      </w:rPr>
      <w:t>3</w:t>
    </w:r>
    <w:r>
      <w:rPr>
        <w:sz w:val="21"/>
        <w:szCs w:val="21"/>
      </w:rPr>
      <w:fldChar w:fldCharType="end"/>
    </w:r>
  </w:p>
  <w:p w14:paraId="44C6E050">
    <w:pPr>
      <w:pStyle w:val="4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8030EAA"/>
    <w:multiLevelType w:val="multilevel"/>
    <w:tmpl w:val="38030EAA"/>
    <w:lvl w:ilvl="0" w:tentative="0">
      <w:start w:val="1"/>
      <w:numFmt w:val="bullet"/>
      <w:lvlText w:val=""/>
      <w:lvlJc w:val="left"/>
      <w:pPr>
        <w:tabs>
          <w:tab w:val="left" w:pos="900"/>
        </w:tabs>
        <w:ind w:left="90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"/>
      <w:lvlJc w:val="left"/>
      <w:pPr>
        <w:tabs>
          <w:tab w:val="left" w:pos="1320"/>
        </w:tabs>
        <w:ind w:left="132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74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216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58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300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42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84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4260" w:hanging="420"/>
      </w:pPr>
      <w:rPr>
        <w:rFonts w:hint="default" w:ascii="Wingdings" w:hAnsi="Wingdings"/>
      </w:rPr>
    </w:lvl>
  </w:abstractNum>
  <w:abstractNum w:abstractNumId="1">
    <w:nsid w:val="68943B92"/>
    <w:multiLevelType w:val="multilevel"/>
    <w:tmpl w:val="68943B92"/>
    <w:lvl w:ilvl="0" w:tentative="0">
      <w:start w:val="1"/>
      <w:numFmt w:val="bullet"/>
      <w:lvlText w:val=""/>
      <w:lvlJc w:val="left"/>
      <w:pPr>
        <w:ind w:left="10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14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8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22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7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31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5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9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4380" w:hanging="42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trackRevisions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8C6"/>
    <w:rsid w:val="00000D8F"/>
    <w:rsid w:val="00001D01"/>
    <w:rsid w:val="00004DD7"/>
    <w:rsid w:val="00006419"/>
    <w:rsid w:val="00011EAF"/>
    <w:rsid w:val="00052BE9"/>
    <w:rsid w:val="00064CC2"/>
    <w:rsid w:val="000822E8"/>
    <w:rsid w:val="000A1DA1"/>
    <w:rsid w:val="000A5BCD"/>
    <w:rsid w:val="000B1822"/>
    <w:rsid w:val="000E70B3"/>
    <w:rsid w:val="001078BE"/>
    <w:rsid w:val="00112D62"/>
    <w:rsid w:val="001C2593"/>
    <w:rsid w:val="001D1AA8"/>
    <w:rsid w:val="002173D7"/>
    <w:rsid w:val="002E3E31"/>
    <w:rsid w:val="002F756E"/>
    <w:rsid w:val="003160CA"/>
    <w:rsid w:val="00322CC2"/>
    <w:rsid w:val="0033001B"/>
    <w:rsid w:val="003707E9"/>
    <w:rsid w:val="00374218"/>
    <w:rsid w:val="003A5D4A"/>
    <w:rsid w:val="003B1302"/>
    <w:rsid w:val="003B49D0"/>
    <w:rsid w:val="003D2EB6"/>
    <w:rsid w:val="003E119D"/>
    <w:rsid w:val="004032FF"/>
    <w:rsid w:val="00445EB8"/>
    <w:rsid w:val="004E3226"/>
    <w:rsid w:val="004F4038"/>
    <w:rsid w:val="00534E40"/>
    <w:rsid w:val="00547389"/>
    <w:rsid w:val="005A61A3"/>
    <w:rsid w:val="005B377A"/>
    <w:rsid w:val="005E1CDC"/>
    <w:rsid w:val="006A5E16"/>
    <w:rsid w:val="006B1D63"/>
    <w:rsid w:val="006B3637"/>
    <w:rsid w:val="00746628"/>
    <w:rsid w:val="0077297F"/>
    <w:rsid w:val="00775BE9"/>
    <w:rsid w:val="00792201"/>
    <w:rsid w:val="007F4A09"/>
    <w:rsid w:val="007F7997"/>
    <w:rsid w:val="00840C32"/>
    <w:rsid w:val="00851A61"/>
    <w:rsid w:val="008766FA"/>
    <w:rsid w:val="008769D4"/>
    <w:rsid w:val="008A1E23"/>
    <w:rsid w:val="008C6EF9"/>
    <w:rsid w:val="008D60FF"/>
    <w:rsid w:val="008D7529"/>
    <w:rsid w:val="008F7320"/>
    <w:rsid w:val="0090028B"/>
    <w:rsid w:val="009338AB"/>
    <w:rsid w:val="0093535D"/>
    <w:rsid w:val="00956CC2"/>
    <w:rsid w:val="0099203B"/>
    <w:rsid w:val="009939FE"/>
    <w:rsid w:val="009A5C38"/>
    <w:rsid w:val="009F269A"/>
    <w:rsid w:val="009F60A3"/>
    <w:rsid w:val="00A01933"/>
    <w:rsid w:val="00A05DEE"/>
    <w:rsid w:val="00A32567"/>
    <w:rsid w:val="00A60680"/>
    <w:rsid w:val="00AA155C"/>
    <w:rsid w:val="00AB26F4"/>
    <w:rsid w:val="00AC71BE"/>
    <w:rsid w:val="00AD4CBF"/>
    <w:rsid w:val="00AF7BB7"/>
    <w:rsid w:val="00B0573A"/>
    <w:rsid w:val="00B21D0E"/>
    <w:rsid w:val="00B638C6"/>
    <w:rsid w:val="00BE1E79"/>
    <w:rsid w:val="00C0074C"/>
    <w:rsid w:val="00C3099D"/>
    <w:rsid w:val="00C401E5"/>
    <w:rsid w:val="00C60D0A"/>
    <w:rsid w:val="00C926D3"/>
    <w:rsid w:val="00D16BB9"/>
    <w:rsid w:val="00D8013F"/>
    <w:rsid w:val="00DA32CC"/>
    <w:rsid w:val="00DD6933"/>
    <w:rsid w:val="00E31C4C"/>
    <w:rsid w:val="00E51DCB"/>
    <w:rsid w:val="00E6592F"/>
    <w:rsid w:val="00E845E4"/>
    <w:rsid w:val="00EB109A"/>
    <w:rsid w:val="00EB6BBE"/>
    <w:rsid w:val="00EC1746"/>
    <w:rsid w:val="00ED345A"/>
    <w:rsid w:val="00F02546"/>
    <w:rsid w:val="00F25D6D"/>
    <w:rsid w:val="00F90D70"/>
    <w:rsid w:val="00F92E1B"/>
    <w:rsid w:val="00FA05FA"/>
    <w:rsid w:val="00FF487B"/>
    <w:rsid w:val="01B24556"/>
    <w:rsid w:val="0AF67B8B"/>
    <w:rsid w:val="0FD00499"/>
    <w:rsid w:val="1B3C0AD5"/>
    <w:rsid w:val="3839052C"/>
    <w:rsid w:val="384277F9"/>
    <w:rsid w:val="4DBF31BA"/>
    <w:rsid w:val="5A9D2B17"/>
    <w:rsid w:val="708C17E3"/>
    <w:rsid w:val="76E65457"/>
    <w:rsid w:val="7DD46B8D"/>
    <w:rsid w:val="7DF3449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qFormat="1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unhideWhenUsed/>
    <w:qFormat/>
    <w:uiPriority w:val="1"/>
  </w:style>
  <w:style w:type="table" w:default="1" w:styleId="8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1"/>
    <w:unhideWhenUsed/>
    <w:qFormat/>
    <w:uiPriority w:val="99"/>
    <w:pPr>
      <w:jc w:val="left"/>
    </w:pPr>
  </w:style>
  <w:style w:type="paragraph" w:styleId="3">
    <w:name w:val="Balloon Text"/>
    <w:basedOn w:val="1"/>
    <w:link w:val="12"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Title"/>
    <w:basedOn w:val="1"/>
    <w:next w:val="1"/>
    <w:link w:val="15"/>
    <w:qFormat/>
    <w:uiPriority w:val="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paragraph" w:styleId="7">
    <w:name w:val="annotation subject"/>
    <w:basedOn w:val="2"/>
    <w:next w:val="2"/>
    <w:link w:val="16"/>
    <w:unhideWhenUsed/>
    <w:qFormat/>
    <w:uiPriority w:val="99"/>
    <w:rPr>
      <w:b/>
      <w:bCs/>
    </w:rPr>
  </w:style>
  <w:style w:type="character" w:styleId="10">
    <w:name w:val="annotation reference"/>
    <w:basedOn w:val="9"/>
    <w:unhideWhenUsed/>
    <w:qFormat/>
    <w:uiPriority w:val="99"/>
    <w:rPr>
      <w:sz w:val="21"/>
      <w:szCs w:val="21"/>
    </w:rPr>
  </w:style>
  <w:style w:type="character" w:customStyle="1" w:styleId="11">
    <w:name w:val="批注文字 Char"/>
    <w:basedOn w:val="9"/>
    <w:link w:val="2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12">
    <w:name w:val="批注框文本 Char"/>
    <w:basedOn w:val="9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页脚 Char"/>
    <w:basedOn w:val="9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4">
    <w:name w:val="页眉 Char"/>
    <w:basedOn w:val="9"/>
    <w:link w:val="5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5">
    <w:name w:val="标题 Char"/>
    <w:basedOn w:val="9"/>
    <w:link w:val="6"/>
    <w:qFormat/>
    <w:uiPriority w:val="0"/>
    <w:rPr>
      <w:rFonts w:ascii="Cambria" w:hAnsi="Cambria" w:eastAsia="宋体" w:cs="Times New Roman"/>
      <w:b/>
      <w:bCs/>
      <w:sz w:val="32"/>
      <w:szCs w:val="32"/>
    </w:rPr>
  </w:style>
  <w:style w:type="character" w:customStyle="1" w:styleId="16">
    <w:name w:val="批注主题 Char"/>
    <w:basedOn w:val="11"/>
    <w:link w:val="7"/>
    <w:semiHidden/>
    <w:qFormat/>
    <w:uiPriority w:val="99"/>
    <w:rPr>
      <w:b/>
      <w:bCs/>
    </w:rPr>
  </w:style>
  <w:style w:type="paragraph" w:styleId="17">
    <w:name w:val="List Paragraph"/>
    <w:basedOn w:val="1"/>
    <w:qFormat/>
    <w:uiPriority w:val="34"/>
    <w:pPr>
      <w:ind w:firstLine="420" w:firstLineChars="200"/>
    </w:pPr>
  </w:style>
  <w:style w:type="paragraph" w:customStyle="1" w:styleId="18">
    <w:name w:val="_Style 17"/>
    <w:semiHidden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235</Words>
  <Characters>1345</Characters>
  <Lines>11</Lines>
  <Paragraphs>3</Paragraphs>
  <TotalTime>3</TotalTime>
  <ScaleCrop>false</ScaleCrop>
  <LinksUpToDate>false</LinksUpToDate>
  <CharactersWithSpaces>1577</CharactersWithSpaces>
  <Application>WPS Office_12.8.2.21555_F1E327BC-269C-435d-A152-05C5408002CA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2019-04-05T08:42:00Z</dcterms:created>
  <dc:creator>操龙飞</dc:creator>
  <cp:lastModifiedBy>yjqin</cp:lastModifiedBy>
  <dcterms:modified xsi:type="dcterms:W3CDTF">2025-08-22T02:31:24Z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2052-12.8.2.21555</vt:lpwstr>
  </property>
  <property fmtid="{D5CDD505-2E9C-101B-9397-08002B2CF9AE}" pid="3" name="ICV">
    <vt:lpwstr>F5D1EEA65E0741648C8F2D2DAEBFBCA9</vt:lpwstr>
  </property>
</Properties>
</file>