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b/>
          <w:bCs/>
          <w:lang w:val="zh-CN"/>
        </w:rPr>
        <w:id w:val="344537719"/>
        <w:docPartObj>
          <w:docPartGallery w:val="Table of Contents"/>
          <w:docPartUnique/>
        </w:docPartObj>
      </w:sdtPr>
      <w:sdtEndPr>
        <w:rPr>
          <w:rFonts w:hint="eastAsia" w:ascii="仿宋_GB2312" w:eastAsia="仿宋_GB2312"/>
          <w:b w:val="0"/>
          <w:bCs w:val="0"/>
          <w:sz w:val="30"/>
          <w:szCs w:val="30"/>
          <w:lang w:val="en-US"/>
        </w:rPr>
      </w:sdtEndPr>
      <w:sdtContent>
        <w:p w14:paraId="19DABC4C">
          <w:pPr>
            <w:widowControl/>
            <w:tabs>
              <w:tab w:val="left" w:pos="310"/>
            </w:tabs>
            <w:outlineLvl w:val="0"/>
            <w:rPr>
              <w:b/>
              <w:bCs/>
              <w:lang w:val="zh-CN"/>
            </w:rPr>
          </w:pPr>
          <w:bookmarkStart w:id="0" w:name="_Toc101644640"/>
          <w:bookmarkStart w:id="1" w:name="_Toc108521803"/>
          <w:bookmarkStart w:id="2" w:name="_Toc108480085"/>
          <w:bookmarkStart w:id="3" w:name="_Toc108525201"/>
          <w:bookmarkStart w:id="4" w:name="_Toc340839652"/>
          <w:bookmarkStart w:id="5" w:name="_Toc50034097"/>
          <w:r>
            <w:rPr>
              <w:rFonts w:hint="eastAsia"/>
              <w:b/>
              <w:bCs/>
              <w:lang w:val="zh-CN"/>
            </w:rPr>
            <w:tab/>
          </w:r>
        </w:p>
        <w:p w14:paraId="40771603">
          <w:pPr>
            <w:widowControl/>
            <w:spacing w:line="480" w:lineRule="exact"/>
            <w:jc w:val="center"/>
            <w:outlineLvl w:val="0"/>
            <w:rPr>
              <w:rFonts w:ascii="黑体" w:hAnsi="黑体" w:eastAsia="黑体" w:cs="Times New Roman"/>
              <w:b/>
              <w:bCs/>
              <w:kern w:val="44"/>
              <w:sz w:val="36"/>
              <w:szCs w:val="36"/>
            </w:rPr>
          </w:pPr>
          <w:r>
            <w:rPr>
              <w:rFonts w:hint="eastAsia" w:ascii="黑体" w:hAnsi="黑体" w:eastAsia="黑体" w:cs="Times New Roman"/>
              <w:b/>
              <w:bCs/>
              <w:kern w:val="44"/>
              <w:sz w:val="36"/>
              <w:szCs w:val="36"/>
            </w:rPr>
            <w:t>第四十一号 上市公司可转换公司债券相关公告</w:t>
          </w:r>
          <w:bookmarkEnd w:id="0"/>
          <w:bookmarkEnd w:id="1"/>
          <w:bookmarkEnd w:id="2"/>
          <w:bookmarkEnd w:id="3"/>
        </w:p>
        <w:p w14:paraId="5D0BDCBB">
          <w:pPr>
            <w:pStyle w:val="13"/>
            <w:spacing w:line="480" w:lineRule="exact"/>
            <w:rPr>
              <w:rFonts w:ascii="仿宋_GB2312" w:hAnsi="黑体"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TOC \o "1-3" \h \z \u </w:instrText>
          </w:r>
          <w:r>
            <w:rPr>
              <w:rFonts w:hint="eastAsia" w:ascii="仿宋_GB2312" w:eastAsia="仿宋_GB2312"/>
              <w:sz w:val="30"/>
              <w:szCs w:val="30"/>
            </w:rPr>
            <w:fldChar w:fldCharType="separate"/>
          </w:r>
          <w:r>
            <w:rPr>
              <w:rFonts w:hint="eastAsia" w:ascii="仿宋_GB2312" w:eastAsia="仿宋_GB2312"/>
            </w:rPr>
            <w:t xml:space="preserve"> </w:t>
          </w:r>
        </w:p>
        <w:p w14:paraId="5C03FF3A">
          <w:pPr>
            <w:pStyle w:val="14"/>
            <w:spacing w:line="480" w:lineRule="exact"/>
            <w:rPr>
              <w:rFonts w:ascii="仿宋_GB2312" w:hAnsi="黑体" w:cstheme="minorBidi"/>
              <w:b w:val="0"/>
              <w:bCs w:val="0"/>
              <w:kern w:val="2"/>
            </w:rPr>
          </w:pPr>
          <w:r>
            <w:fldChar w:fldCharType="begin"/>
          </w:r>
          <w:r>
            <w:instrText xml:space="preserve"> HYPERLINK \l "_Toc108525202" </w:instrText>
          </w:r>
          <w:r>
            <w:fldChar w:fldCharType="separate"/>
          </w:r>
          <w:r>
            <w:rPr>
              <w:rStyle w:val="20"/>
              <w:rFonts w:hint="eastAsia" w:ascii="仿宋_GB2312" w:hAnsi="黑体" w:cs="Times New Roman"/>
              <w:kern w:val="44"/>
            </w:rPr>
            <w:t>一、可转债转股</w:t>
          </w:r>
          <w:r>
            <w:rPr>
              <w:rStyle w:val="20"/>
              <w:rFonts w:hint="eastAsia" w:ascii="仿宋_GB2312" w:hAnsi="黑体" w:cs="Times New Roman"/>
              <w:kern w:val="44"/>
            </w:rPr>
            <w:fldChar w:fldCharType="end"/>
          </w:r>
        </w:p>
        <w:p w14:paraId="163A92BA">
          <w:pPr>
            <w:pStyle w:val="8"/>
            <w:spacing w:line="480" w:lineRule="exact"/>
            <w:rPr>
              <w:rFonts w:ascii="仿宋_GB2312" w:hAnsi="黑体" w:eastAsia="仿宋_GB2312"/>
              <w:sz w:val="30"/>
              <w:szCs w:val="30"/>
            </w:rPr>
          </w:pPr>
          <w:r>
            <w:rPr>
              <w:rFonts w:hint="eastAsia"/>
            </w:rPr>
            <w:fldChar w:fldCharType="begin"/>
          </w:r>
          <w:r>
            <w:instrText xml:space="preserve"> HYPERLINK \l "_Toc108525203" </w:instrText>
          </w:r>
          <w:r>
            <w:rPr>
              <w:rFonts w:hint="eastAsia"/>
            </w:rPr>
            <w:fldChar w:fldCharType="separate"/>
          </w:r>
          <w:r>
            <w:rPr>
              <w:rStyle w:val="20"/>
              <w:rFonts w:hint="eastAsia" w:ascii="仿宋_GB2312" w:hAnsi="黑体" w:eastAsia="仿宋_GB2312"/>
              <w:sz w:val="30"/>
              <w:szCs w:val="30"/>
            </w:rPr>
            <w:t>1.上市公司可转债开始转股公告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_Toc108525203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680A69E5">
          <w:pPr>
            <w:pStyle w:val="8"/>
            <w:spacing w:line="480" w:lineRule="exact"/>
            <w:rPr>
              <w:rFonts w:ascii="仿宋_GB2312" w:hAnsi="黑体" w:eastAsia="仿宋_GB2312"/>
              <w:sz w:val="30"/>
              <w:szCs w:val="30"/>
            </w:rPr>
          </w:pPr>
          <w:r>
            <w:rPr>
              <w:rFonts w:hint="eastAsia"/>
            </w:rPr>
            <w:fldChar w:fldCharType="begin"/>
          </w:r>
          <w:r>
            <w:instrText xml:space="preserve"> HYPERLINK \l "_Toc108525204" </w:instrText>
          </w:r>
          <w:r>
            <w:rPr>
              <w:rFonts w:hint="eastAsia"/>
            </w:rPr>
            <w:fldChar w:fldCharType="separate"/>
          </w:r>
          <w:r>
            <w:rPr>
              <w:rStyle w:val="20"/>
              <w:rFonts w:hint="eastAsia" w:ascii="仿宋_GB2312" w:hAnsi="黑体" w:eastAsia="仿宋_GB2312"/>
              <w:sz w:val="30"/>
              <w:szCs w:val="30"/>
            </w:rPr>
            <w:t>2.上市公司可转债转股结果暨股份变动公告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_Toc108525204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48442E4B">
          <w:pPr>
            <w:pStyle w:val="8"/>
            <w:spacing w:line="480" w:lineRule="exact"/>
            <w:rPr>
              <w:rFonts w:ascii="仿宋_GB2312" w:hAnsi="黑体" w:eastAsia="仿宋_GB2312"/>
              <w:sz w:val="30"/>
              <w:szCs w:val="30"/>
            </w:rPr>
          </w:pPr>
          <w:r>
            <w:rPr>
              <w:rFonts w:hint="eastAsia"/>
            </w:rPr>
            <w:fldChar w:fldCharType="begin"/>
          </w:r>
          <w:r>
            <w:instrText xml:space="preserve"> HYPERLINK \l "_Toc108525205" </w:instrText>
          </w:r>
          <w:r>
            <w:rPr>
              <w:rFonts w:hint="eastAsia"/>
            </w:rPr>
            <w:fldChar w:fldCharType="separate"/>
          </w:r>
          <w:r>
            <w:rPr>
              <w:rStyle w:val="20"/>
              <w:rFonts w:hint="eastAsia" w:ascii="仿宋_GB2312" w:hAnsi="黑体" w:eastAsia="仿宋_GB2312"/>
              <w:sz w:val="30"/>
              <w:szCs w:val="30"/>
            </w:rPr>
            <w:t>3.上市公司可转债预计满足转股价格修正条件的提示性公告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_Toc108525205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11</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260AADC2">
          <w:pPr>
            <w:pStyle w:val="8"/>
            <w:spacing w:line="480" w:lineRule="exact"/>
            <w:rPr>
              <w:rFonts w:ascii="仿宋_GB2312" w:hAnsi="黑体" w:eastAsia="仿宋_GB2312"/>
              <w:sz w:val="30"/>
              <w:szCs w:val="30"/>
            </w:rPr>
          </w:pPr>
          <w:r>
            <w:rPr>
              <w:rFonts w:hint="eastAsia"/>
            </w:rPr>
            <w:fldChar w:fldCharType="begin"/>
          </w:r>
          <w:r>
            <w:instrText xml:space="preserve"> HYPERLINK \l "_Toc108525206" </w:instrText>
          </w:r>
          <w:r>
            <w:rPr>
              <w:rFonts w:hint="eastAsia"/>
            </w:rPr>
            <w:fldChar w:fldCharType="separate"/>
          </w:r>
          <w:r>
            <w:rPr>
              <w:rStyle w:val="20"/>
              <w:rFonts w:hint="eastAsia" w:ascii="仿宋_GB2312" w:hAnsi="黑体" w:eastAsia="仿宋_GB2312"/>
              <w:sz w:val="30"/>
              <w:szCs w:val="30"/>
            </w:rPr>
            <w:t>4.上市公司可转债转股价格调整/修正公告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_Toc108525206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13</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5032964A">
          <w:pPr>
            <w:pStyle w:val="8"/>
            <w:spacing w:line="480" w:lineRule="exact"/>
            <w:rPr>
              <w:rFonts w:ascii="仿宋_GB2312" w:hAnsi="黑体" w:eastAsia="仿宋_GB2312"/>
              <w:sz w:val="30"/>
              <w:szCs w:val="30"/>
            </w:rPr>
          </w:pPr>
          <w:r>
            <w:rPr>
              <w:rFonts w:hint="eastAsia"/>
            </w:rPr>
            <w:fldChar w:fldCharType="begin"/>
          </w:r>
          <w:r>
            <w:instrText xml:space="preserve"> HYPERLINK \l "_Toc108525207" </w:instrText>
          </w:r>
          <w:r>
            <w:rPr>
              <w:rFonts w:hint="eastAsia"/>
            </w:rPr>
            <w:fldChar w:fldCharType="separate"/>
          </w:r>
          <w:r>
            <w:rPr>
              <w:rStyle w:val="20"/>
              <w:rFonts w:hint="eastAsia" w:ascii="仿宋_GB2312" w:hAnsi="黑体" w:eastAsia="仿宋_GB2312"/>
              <w:sz w:val="30"/>
              <w:szCs w:val="30"/>
            </w:rPr>
            <w:t>5.上市公司实施权益分派时停止转股的提示性公告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_Toc108525207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16</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35F1F0F1">
          <w:pPr>
            <w:pStyle w:val="14"/>
            <w:spacing w:line="480" w:lineRule="exact"/>
            <w:rPr>
              <w:rFonts w:ascii="仿宋_GB2312" w:hAnsi="黑体" w:cstheme="minorBidi"/>
              <w:b w:val="0"/>
              <w:bCs w:val="0"/>
              <w:kern w:val="2"/>
            </w:rPr>
          </w:pPr>
          <w:r>
            <w:fldChar w:fldCharType="begin"/>
          </w:r>
          <w:r>
            <w:instrText xml:space="preserve"> HYPERLINK \l "_Toc108525208" </w:instrText>
          </w:r>
          <w:r>
            <w:fldChar w:fldCharType="separate"/>
          </w:r>
          <w:r>
            <w:rPr>
              <w:rStyle w:val="20"/>
              <w:rFonts w:hint="eastAsia" w:ascii="仿宋_GB2312" w:hAnsi="黑体"/>
            </w:rPr>
            <w:t>二、可转债回售</w:t>
          </w:r>
          <w:r>
            <w:rPr>
              <w:rStyle w:val="20"/>
              <w:rFonts w:hint="eastAsia" w:ascii="仿宋_GB2312" w:hAnsi="黑体"/>
            </w:rPr>
            <w:fldChar w:fldCharType="end"/>
          </w:r>
        </w:p>
        <w:p w14:paraId="7BCC3CBA">
          <w:pPr>
            <w:pStyle w:val="8"/>
            <w:spacing w:line="480" w:lineRule="exact"/>
            <w:rPr>
              <w:rFonts w:ascii="仿宋_GB2312" w:hAnsi="黑体" w:eastAsia="仿宋_GB2312"/>
              <w:sz w:val="30"/>
              <w:szCs w:val="30"/>
            </w:rPr>
          </w:pPr>
          <w:r>
            <w:rPr>
              <w:rFonts w:hint="eastAsia"/>
            </w:rPr>
            <w:fldChar w:fldCharType="begin"/>
          </w:r>
          <w:r>
            <w:instrText xml:space="preserve"> HYPERLINK \l "_Toc108525209" </w:instrText>
          </w:r>
          <w:r>
            <w:rPr>
              <w:rFonts w:hint="eastAsia"/>
            </w:rPr>
            <w:fldChar w:fldCharType="separate"/>
          </w:r>
          <w:r>
            <w:rPr>
              <w:rStyle w:val="20"/>
              <w:rFonts w:hint="eastAsia" w:ascii="仿宋_GB2312" w:hAnsi="黑体" w:eastAsia="仿宋_GB2312"/>
              <w:sz w:val="30"/>
              <w:szCs w:val="30"/>
            </w:rPr>
            <w:t>6.上市公司可转债回售公告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_Toc108525209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18</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14771435">
          <w:pPr>
            <w:pStyle w:val="8"/>
            <w:spacing w:line="480" w:lineRule="exact"/>
            <w:rPr>
              <w:rFonts w:ascii="仿宋_GB2312" w:hAnsi="黑体" w:eastAsia="仿宋_GB2312"/>
              <w:sz w:val="30"/>
              <w:szCs w:val="30"/>
            </w:rPr>
          </w:pPr>
          <w:r>
            <w:rPr>
              <w:rFonts w:hint="eastAsia"/>
            </w:rPr>
            <w:fldChar w:fldCharType="begin"/>
          </w:r>
          <w:r>
            <w:instrText xml:space="preserve"> HYPERLINK \l "_Toc108525210" </w:instrText>
          </w:r>
          <w:r>
            <w:rPr>
              <w:rFonts w:hint="eastAsia"/>
            </w:rPr>
            <w:fldChar w:fldCharType="separate"/>
          </w:r>
          <w:r>
            <w:rPr>
              <w:rStyle w:val="20"/>
              <w:rFonts w:hint="eastAsia" w:ascii="仿宋_GB2312" w:hAnsi="黑体" w:eastAsia="仿宋_GB2312"/>
              <w:sz w:val="30"/>
              <w:szCs w:val="30"/>
            </w:rPr>
            <w:t>7.上市公司可转债回售结果公告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_Toc108525210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3563DFD2">
          <w:pPr>
            <w:pStyle w:val="14"/>
            <w:spacing w:line="480" w:lineRule="exact"/>
            <w:rPr>
              <w:rFonts w:ascii="仿宋_GB2312" w:hAnsi="黑体" w:cstheme="minorBidi"/>
              <w:b w:val="0"/>
              <w:bCs w:val="0"/>
              <w:kern w:val="2"/>
            </w:rPr>
          </w:pPr>
          <w:r>
            <w:fldChar w:fldCharType="begin"/>
          </w:r>
          <w:r>
            <w:instrText xml:space="preserve"> HYPERLINK \l "_Toc108525211" </w:instrText>
          </w:r>
          <w:r>
            <w:fldChar w:fldCharType="separate"/>
          </w:r>
          <w:r>
            <w:rPr>
              <w:rStyle w:val="20"/>
              <w:rFonts w:hint="eastAsia" w:ascii="仿宋_GB2312" w:hAnsi="黑体"/>
            </w:rPr>
            <w:t>三、可转债赎回</w:t>
          </w:r>
          <w:r>
            <w:rPr>
              <w:rStyle w:val="20"/>
              <w:rFonts w:hint="eastAsia" w:ascii="仿宋_GB2312" w:hAnsi="黑体"/>
            </w:rPr>
            <w:fldChar w:fldCharType="end"/>
          </w:r>
        </w:p>
        <w:p w14:paraId="114608DD">
          <w:pPr>
            <w:pStyle w:val="8"/>
            <w:spacing w:line="480" w:lineRule="exact"/>
            <w:rPr>
              <w:rFonts w:ascii="仿宋_GB2312" w:hAnsi="黑体" w:eastAsia="仿宋_GB2312"/>
              <w:sz w:val="30"/>
              <w:szCs w:val="30"/>
            </w:rPr>
          </w:pPr>
          <w:r>
            <w:rPr>
              <w:rFonts w:hint="eastAsia"/>
            </w:rPr>
            <w:fldChar w:fldCharType="begin"/>
          </w:r>
          <w:r>
            <w:instrText xml:space="preserve"> HYPERLINK \l "_Toc108525212" </w:instrText>
          </w:r>
          <w:r>
            <w:rPr>
              <w:rFonts w:hint="eastAsia"/>
            </w:rPr>
            <w:fldChar w:fldCharType="separate"/>
          </w:r>
          <w:r>
            <w:rPr>
              <w:rStyle w:val="20"/>
              <w:rFonts w:hint="eastAsia" w:ascii="仿宋_GB2312" w:hAnsi="黑体" w:eastAsia="仿宋_GB2312"/>
              <w:sz w:val="30"/>
              <w:szCs w:val="30"/>
            </w:rPr>
            <w:t>8.上市公司可转债预计满足赎回条件的提示性公告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_Toc108525212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19809D9B">
          <w:pPr>
            <w:pStyle w:val="8"/>
            <w:spacing w:line="480" w:lineRule="exact"/>
            <w:rPr>
              <w:rFonts w:ascii="仿宋_GB2312" w:hAnsi="黑体" w:eastAsia="仿宋_GB2312"/>
              <w:sz w:val="30"/>
              <w:szCs w:val="30"/>
            </w:rPr>
          </w:pPr>
          <w:r>
            <w:rPr>
              <w:rFonts w:hint="eastAsia"/>
            </w:rPr>
            <w:fldChar w:fldCharType="begin"/>
          </w:r>
          <w:r>
            <w:instrText xml:space="preserve"> HYPERLINK \l "_Toc108525213" </w:instrText>
          </w:r>
          <w:r>
            <w:rPr>
              <w:rFonts w:hint="eastAsia"/>
            </w:rPr>
            <w:fldChar w:fldCharType="separate"/>
          </w:r>
          <w:r>
            <w:rPr>
              <w:rStyle w:val="20"/>
              <w:rFonts w:hint="eastAsia" w:ascii="仿宋_GB2312" w:hAnsi="黑体" w:eastAsia="仿宋_GB2312"/>
              <w:sz w:val="30"/>
              <w:szCs w:val="30"/>
            </w:rPr>
            <w:t>9.上市公司可转债提前赎回/不赎回的公告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_Toc108525213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27</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2C32F720">
          <w:pPr>
            <w:pStyle w:val="8"/>
            <w:spacing w:line="480" w:lineRule="exact"/>
            <w:rPr>
              <w:rFonts w:ascii="仿宋_GB2312" w:hAnsi="黑体" w:eastAsia="仿宋_GB2312"/>
              <w:sz w:val="30"/>
              <w:szCs w:val="30"/>
            </w:rPr>
          </w:pPr>
          <w:r>
            <w:rPr>
              <w:rFonts w:hint="eastAsia"/>
            </w:rPr>
            <w:fldChar w:fldCharType="begin"/>
          </w:r>
          <w:r>
            <w:instrText xml:space="preserve"> HYPERLINK \l "_Toc108525214" </w:instrText>
          </w:r>
          <w:r>
            <w:rPr>
              <w:rFonts w:hint="eastAsia"/>
            </w:rPr>
            <w:fldChar w:fldCharType="separate"/>
          </w:r>
          <w:r>
            <w:rPr>
              <w:rStyle w:val="20"/>
              <w:rFonts w:hint="eastAsia" w:ascii="仿宋_GB2312" w:hAnsi="黑体" w:eastAsia="仿宋_GB2312"/>
              <w:sz w:val="30"/>
              <w:szCs w:val="30"/>
            </w:rPr>
            <w:t>10.上市公司可转债赎回（暨摘牌）实施公告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_Toc108525214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30</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59E40ECC">
          <w:pPr>
            <w:pStyle w:val="8"/>
            <w:spacing w:line="480" w:lineRule="exact"/>
            <w:rPr>
              <w:rFonts w:ascii="仿宋_GB2312" w:hAnsi="黑体" w:eastAsia="仿宋_GB2312"/>
              <w:sz w:val="30"/>
              <w:szCs w:val="30"/>
            </w:rPr>
          </w:pPr>
          <w:r>
            <w:rPr>
              <w:rFonts w:hint="eastAsia"/>
            </w:rPr>
            <w:fldChar w:fldCharType="begin"/>
          </w:r>
          <w:r>
            <w:instrText xml:space="preserve"> HYPERLINK \l "_Toc108525215" </w:instrText>
          </w:r>
          <w:r>
            <w:rPr>
              <w:rFonts w:hint="eastAsia"/>
            </w:rPr>
            <w:fldChar w:fldCharType="separate"/>
          </w:r>
          <w:r>
            <w:rPr>
              <w:rStyle w:val="20"/>
              <w:rFonts w:hint="eastAsia" w:ascii="仿宋_GB2312" w:hAnsi="黑体" w:eastAsia="仿宋_GB2312"/>
              <w:sz w:val="30"/>
              <w:szCs w:val="30"/>
            </w:rPr>
            <w:t>11.上市公司可转债赎回结果暨股份变动公告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_Toc108525215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35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41CB765A">
          <w:pPr>
            <w:pStyle w:val="14"/>
            <w:spacing w:line="480" w:lineRule="exact"/>
            <w:rPr>
              <w:rFonts w:ascii="仿宋_GB2312" w:hAnsi="黑体" w:cstheme="minorBidi"/>
              <w:b w:val="0"/>
              <w:bCs w:val="0"/>
              <w:kern w:val="2"/>
            </w:rPr>
          </w:pPr>
          <w:r>
            <w:fldChar w:fldCharType="begin"/>
          </w:r>
          <w:r>
            <w:instrText xml:space="preserve"> HYPERLINK \l "_Toc108525216" </w:instrText>
          </w:r>
          <w:r>
            <w:fldChar w:fldCharType="separate"/>
          </w:r>
          <w:r>
            <w:rPr>
              <w:rStyle w:val="20"/>
              <w:rFonts w:hint="eastAsia" w:ascii="仿宋_GB2312" w:hAnsi="黑体"/>
            </w:rPr>
            <w:t>四、可转债交易异常波动和风险提示</w:t>
          </w:r>
          <w:r>
            <w:rPr>
              <w:rStyle w:val="20"/>
              <w:rFonts w:hint="eastAsia" w:ascii="仿宋_GB2312" w:hAnsi="黑体"/>
            </w:rPr>
            <w:fldChar w:fldCharType="end"/>
          </w:r>
        </w:p>
        <w:p w14:paraId="6CA3B8D3">
          <w:pPr>
            <w:pStyle w:val="8"/>
            <w:spacing w:line="480" w:lineRule="exact"/>
            <w:rPr>
              <w:rFonts w:ascii="仿宋_GB2312" w:hAnsi="黑体" w:eastAsia="仿宋_GB2312"/>
              <w:sz w:val="30"/>
              <w:szCs w:val="30"/>
            </w:rPr>
          </w:pPr>
          <w:r>
            <w:rPr>
              <w:rFonts w:hint="eastAsia"/>
            </w:rPr>
            <w:fldChar w:fldCharType="begin"/>
          </w:r>
          <w:r>
            <w:instrText xml:space="preserve"> HYPERLINK \l "_Toc108525217" </w:instrText>
          </w:r>
          <w:r>
            <w:rPr>
              <w:rFonts w:hint="eastAsia"/>
            </w:rPr>
            <w:fldChar w:fldCharType="separate"/>
          </w:r>
          <w:r>
            <w:rPr>
              <w:rStyle w:val="20"/>
              <w:rFonts w:hint="eastAsia" w:ascii="仿宋_GB2312" w:hAnsi="黑体" w:eastAsia="仿宋_GB2312"/>
              <w:sz w:val="30"/>
              <w:szCs w:val="30"/>
            </w:rPr>
            <w:t>12.上市公司可转债交易（严重）异常波动/风险提示公告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_Toc108525217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39</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5BB610AD">
          <w:pPr>
            <w:pStyle w:val="14"/>
            <w:spacing w:line="480" w:lineRule="exact"/>
            <w:rPr>
              <w:rFonts w:ascii="仿宋_GB2312" w:hAnsi="黑体" w:cstheme="minorBidi"/>
              <w:b w:val="0"/>
              <w:bCs w:val="0"/>
              <w:kern w:val="2"/>
            </w:rPr>
          </w:pPr>
          <w:r>
            <w:fldChar w:fldCharType="begin"/>
          </w:r>
          <w:r>
            <w:instrText xml:space="preserve"> HYPERLINK \l "_Toc108525218" </w:instrText>
          </w:r>
          <w:r>
            <w:fldChar w:fldCharType="separate"/>
          </w:r>
          <w:r>
            <w:rPr>
              <w:rStyle w:val="20"/>
              <w:rFonts w:hint="eastAsia" w:ascii="仿宋_GB2312" w:hAnsi="黑体"/>
            </w:rPr>
            <w:t>五、可转债付息、到期兑付暨摘牌</w:t>
          </w:r>
          <w:r>
            <w:rPr>
              <w:rStyle w:val="20"/>
              <w:rFonts w:hint="eastAsia" w:ascii="仿宋_GB2312" w:hAnsi="黑体"/>
            </w:rPr>
            <w:fldChar w:fldCharType="end"/>
          </w:r>
        </w:p>
        <w:p w14:paraId="66E08B24">
          <w:pPr>
            <w:pStyle w:val="8"/>
            <w:spacing w:line="480" w:lineRule="exact"/>
            <w:rPr>
              <w:rFonts w:ascii="仿宋_GB2312" w:hAnsi="黑体" w:eastAsia="仿宋_GB2312"/>
              <w:sz w:val="30"/>
              <w:szCs w:val="30"/>
            </w:rPr>
          </w:pPr>
          <w:r>
            <w:rPr>
              <w:rFonts w:hint="eastAsia"/>
            </w:rPr>
            <w:fldChar w:fldCharType="begin"/>
          </w:r>
          <w:r>
            <w:instrText xml:space="preserve"> HYPERLINK \l "_Toc108525219" </w:instrText>
          </w:r>
          <w:r>
            <w:rPr>
              <w:rFonts w:hint="eastAsia"/>
            </w:rPr>
            <w:fldChar w:fldCharType="separate"/>
          </w:r>
          <w:r>
            <w:rPr>
              <w:rStyle w:val="20"/>
              <w:rFonts w:hint="eastAsia" w:ascii="仿宋_GB2312" w:hAnsi="黑体" w:eastAsia="仿宋_GB2312"/>
              <w:sz w:val="30"/>
              <w:szCs w:val="30"/>
            </w:rPr>
            <w:t>13.上市公司可转债付息公告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_Toc108525219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45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0D1D82FC">
          <w:pPr>
            <w:pStyle w:val="8"/>
            <w:spacing w:line="480" w:lineRule="exact"/>
            <w:rPr>
              <w:rFonts w:ascii="仿宋_GB2312" w:hAnsi="黑体" w:eastAsia="仿宋_GB2312"/>
              <w:sz w:val="30"/>
              <w:szCs w:val="30"/>
            </w:rPr>
          </w:pPr>
          <w:r>
            <w:rPr>
              <w:rFonts w:hint="eastAsia"/>
            </w:rPr>
            <w:fldChar w:fldCharType="begin"/>
          </w:r>
          <w:r>
            <w:instrText xml:space="preserve"> HYPERLINK \l "_Toc108525220" </w:instrText>
          </w:r>
          <w:r>
            <w:rPr>
              <w:rFonts w:hint="eastAsia"/>
            </w:rPr>
            <w:fldChar w:fldCharType="separate"/>
          </w:r>
          <w:r>
            <w:rPr>
              <w:rStyle w:val="20"/>
              <w:rFonts w:hint="eastAsia" w:ascii="仿宋_GB2312" w:hAnsi="黑体" w:eastAsia="仿宋_GB2312"/>
              <w:sz w:val="30"/>
              <w:szCs w:val="30"/>
            </w:rPr>
            <w:t>14.上市公司可转债到期兑付暨摘牌公告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_Toc108525220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48</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6B09DBD9">
          <w:pPr>
            <w:pStyle w:val="14"/>
            <w:spacing w:line="480" w:lineRule="exact"/>
            <w:rPr>
              <w:rFonts w:ascii="仿宋_GB2312" w:hAnsi="黑体" w:cstheme="minorBidi"/>
              <w:b w:val="0"/>
              <w:bCs w:val="0"/>
              <w:kern w:val="2"/>
            </w:rPr>
          </w:pPr>
          <w:r>
            <w:fldChar w:fldCharType="begin"/>
          </w:r>
          <w:r>
            <w:instrText xml:space="preserve"> HYPERLINK \l "_Toc108525221" </w:instrText>
          </w:r>
          <w:r>
            <w:fldChar w:fldCharType="separate"/>
          </w:r>
          <w:r>
            <w:rPr>
              <w:rStyle w:val="20"/>
              <w:rFonts w:hint="eastAsia" w:ascii="仿宋_GB2312" w:hAnsi="黑体"/>
            </w:rPr>
            <w:t>六、可转债停止交易</w:t>
          </w:r>
          <w:r>
            <w:rPr>
              <w:rStyle w:val="20"/>
              <w:rFonts w:hint="eastAsia" w:ascii="仿宋_GB2312" w:hAnsi="黑体"/>
            </w:rPr>
            <w:fldChar w:fldCharType="end"/>
          </w:r>
        </w:p>
        <w:p w14:paraId="29736DA7">
          <w:pPr>
            <w:pStyle w:val="8"/>
            <w:spacing w:line="480" w:lineRule="exact"/>
            <w:rPr>
              <w:rFonts w:ascii="仿宋_GB2312" w:hAnsi="黑体" w:eastAsia="仿宋_GB2312"/>
              <w:sz w:val="30"/>
              <w:szCs w:val="30"/>
            </w:rPr>
          </w:pPr>
          <w:r>
            <w:rPr>
              <w:rFonts w:hint="eastAsia"/>
            </w:rPr>
            <w:fldChar w:fldCharType="begin"/>
          </w:r>
          <w:r>
            <w:instrText xml:space="preserve"> HYPERLINK \l "_Toc108525222" </w:instrText>
          </w:r>
          <w:r>
            <w:rPr>
              <w:rFonts w:hint="eastAsia"/>
            </w:rPr>
            <w:fldChar w:fldCharType="separate"/>
          </w:r>
          <w:r>
            <w:rPr>
              <w:rStyle w:val="20"/>
              <w:rFonts w:hint="eastAsia" w:ascii="仿宋_GB2312" w:hAnsi="黑体" w:eastAsia="仿宋_GB2312"/>
              <w:sz w:val="30"/>
              <w:szCs w:val="30"/>
            </w:rPr>
            <w:t>15.上市公司可转债停止交易公告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_Toc108525222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52</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48A41F0F">
          <w:pPr>
            <w:pStyle w:val="14"/>
            <w:spacing w:line="480" w:lineRule="exact"/>
            <w:rPr>
              <w:rFonts w:ascii="仿宋_GB2312" w:hAnsi="黑体" w:cstheme="minorBidi"/>
              <w:b w:val="0"/>
              <w:bCs w:val="0"/>
              <w:kern w:val="2"/>
            </w:rPr>
          </w:pPr>
          <w:r>
            <w:fldChar w:fldCharType="begin"/>
          </w:r>
          <w:r>
            <w:instrText xml:space="preserve"> HYPERLINK \l "_Toc108525223" </w:instrText>
          </w:r>
          <w:r>
            <w:fldChar w:fldCharType="separate"/>
          </w:r>
          <w:r>
            <w:rPr>
              <w:rStyle w:val="20"/>
              <w:rFonts w:hint="eastAsia" w:ascii="仿宋_GB2312" w:hAnsi="黑体"/>
            </w:rPr>
            <w:t>七、可转债评级调整</w:t>
          </w:r>
          <w:r>
            <w:rPr>
              <w:rStyle w:val="20"/>
              <w:rFonts w:hint="eastAsia" w:ascii="仿宋_GB2312" w:hAnsi="黑体"/>
            </w:rPr>
            <w:fldChar w:fldCharType="end"/>
          </w:r>
        </w:p>
        <w:p w14:paraId="1CBE1799">
          <w:pPr>
            <w:pStyle w:val="8"/>
            <w:spacing w:line="480" w:lineRule="exact"/>
            <w:rPr>
              <w:rFonts w:ascii="仿宋_GB2312" w:eastAsia="仿宋_GB2312"/>
            </w:rPr>
          </w:pPr>
          <w:r>
            <w:rPr>
              <w:rFonts w:hint="eastAsia"/>
            </w:rPr>
            <w:fldChar w:fldCharType="begin"/>
          </w:r>
          <w:r>
            <w:instrText xml:space="preserve"> HYPERLINK \l "_Toc108525224" </w:instrText>
          </w:r>
          <w:r>
            <w:rPr>
              <w:rFonts w:hint="eastAsia"/>
            </w:rPr>
            <w:fldChar w:fldCharType="separate"/>
          </w:r>
          <w:r>
            <w:rPr>
              <w:rStyle w:val="20"/>
              <w:rFonts w:hint="eastAsia" w:ascii="仿宋_GB2312" w:hAnsi="黑体" w:eastAsia="仿宋_GB2312"/>
              <w:sz w:val="30"/>
              <w:szCs w:val="30"/>
            </w:rPr>
            <w:t>16.上市公司可转债评级调整公告</w:t>
          </w:r>
          <w:r>
            <w:rPr>
              <w:rFonts w:hint="eastAsia" w:ascii="仿宋_GB2312" w:hAnsi="黑体" w:eastAsia="仿宋_GB2312"/>
              <w:sz w:val="30"/>
              <w:szCs w:val="30"/>
            </w:rPr>
            <w:tab/>
          </w:r>
          <w:r>
            <w:rPr>
              <w:rFonts w:hint="eastAsia" w:ascii="仿宋_GB2312" w:hAnsi="黑体" w:eastAsia="仿宋_GB2312"/>
              <w:sz w:val="30"/>
              <w:szCs w:val="30"/>
            </w:rPr>
            <w:fldChar w:fldCharType="begin"/>
          </w:r>
          <w:r>
            <w:rPr>
              <w:rFonts w:hint="eastAsia" w:ascii="仿宋_GB2312" w:hAnsi="黑体" w:eastAsia="仿宋_GB2312"/>
              <w:sz w:val="30"/>
              <w:szCs w:val="30"/>
            </w:rPr>
            <w:instrText xml:space="preserve"> PAGEREF _Toc108525224 \h </w:instrText>
          </w:r>
          <w:r>
            <w:rPr>
              <w:rFonts w:hint="eastAsia" w:ascii="仿宋_GB2312" w:hAnsi="黑体" w:eastAsia="仿宋_GB2312"/>
              <w:sz w:val="30"/>
              <w:szCs w:val="30"/>
            </w:rPr>
            <w:fldChar w:fldCharType="separate"/>
          </w:r>
          <w:r>
            <w:rPr>
              <w:rFonts w:hint="eastAsia" w:ascii="仿宋_GB2312" w:hAnsi="黑体" w:eastAsia="仿宋_GB2312"/>
              <w:sz w:val="30"/>
              <w:szCs w:val="30"/>
            </w:rPr>
            <w:t>55</w:t>
          </w:r>
          <w:r>
            <w:rPr>
              <w:rFonts w:hint="eastAsia" w:ascii="仿宋_GB2312" w:hAnsi="黑体" w:eastAsia="仿宋_GB2312"/>
              <w:sz w:val="30"/>
              <w:szCs w:val="30"/>
            </w:rPr>
            <w:fldChar w:fldCharType="end"/>
          </w:r>
          <w:r>
            <w:rPr>
              <w:rFonts w:hint="eastAsia" w:ascii="仿宋_GB2312" w:hAnsi="黑体" w:eastAsia="仿宋_GB2312"/>
              <w:sz w:val="30"/>
              <w:szCs w:val="30"/>
            </w:rPr>
            <w:fldChar w:fldCharType="end"/>
          </w:r>
        </w:p>
        <w:p w14:paraId="77F31E6B">
          <w:pPr>
            <w:spacing w:line="480" w:lineRule="exact"/>
            <w:rPr>
              <w:rFonts w:ascii="仿宋_GB2312" w:eastAsia="仿宋_GB2312"/>
              <w:sz w:val="30"/>
              <w:szCs w:val="30"/>
            </w:rPr>
          </w:pPr>
          <w:r>
            <w:rPr>
              <w:rFonts w:hint="eastAsia" w:ascii="仿宋_GB2312" w:eastAsia="仿宋_GB2312"/>
              <w:sz w:val="30"/>
              <w:szCs w:val="30"/>
            </w:rPr>
            <w:fldChar w:fldCharType="end"/>
          </w:r>
        </w:p>
      </w:sdtContent>
    </w:sdt>
    <w:p w14:paraId="04D8C663">
      <w:pPr>
        <w:widowControl/>
        <w:jc w:val="left"/>
        <w:outlineLvl w:val="1"/>
        <w:rPr>
          <w:rFonts w:ascii="黑体" w:hAnsi="黑体" w:eastAsia="黑体" w:cs="Times New Roman"/>
          <w:bCs/>
          <w:kern w:val="44"/>
          <w:sz w:val="32"/>
          <w:szCs w:val="32"/>
        </w:rPr>
      </w:pPr>
      <w:bookmarkStart w:id="6" w:name="_Toc108525202"/>
      <w:r>
        <w:rPr>
          <w:rFonts w:hint="eastAsia" w:ascii="黑体" w:hAnsi="黑体" w:eastAsia="黑体" w:cs="Times New Roman"/>
          <w:b/>
          <w:bCs/>
          <w:kern w:val="44"/>
          <w:sz w:val="32"/>
          <w:szCs w:val="32"/>
        </w:rPr>
        <w:t>一、可转债转股</w:t>
      </w:r>
      <w:bookmarkEnd w:id="6"/>
    </w:p>
    <w:p w14:paraId="245A4AEB">
      <w:pPr>
        <w:pStyle w:val="4"/>
        <w:rPr>
          <w:sz w:val="32"/>
          <w:szCs w:val="32"/>
        </w:rPr>
      </w:pPr>
      <w:bookmarkStart w:id="7" w:name="_Toc108525203"/>
      <w:r>
        <w:rPr>
          <w:rFonts w:hint="eastAsia"/>
          <w:sz w:val="32"/>
          <w:szCs w:val="32"/>
        </w:rPr>
        <w:t>1</w:t>
      </w:r>
      <w:r>
        <w:rPr>
          <w:sz w:val="32"/>
          <w:szCs w:val="32"/>
        </w:rPr>
        <w:t>.</w:t>
      </w:r>
      <w:r>
        <w:rPr>
          <w:rFonts w:hint="eastAsia"/>
          <w:sz w:val="32"/>
          <w:szCs w:val="32"/>
        </w:rPr>
        <w:t>上市公司可转债开始转股公告</w:t>
      </w:r>
      <w:bookmarkEnd w:id="4"/>
      <w:bookmarkEnd w:id="5"/>
      <w:bookmarkEnd w:id="7"/>
    </w:p>
    <w:p w14:paraId="315AABFA"/>
    <w:p w14:paraId="0CC71D4B">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286E7D0F">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bookmarkStart w:id="69" w:name="_GoBack"/>
      <w:bookmarkEnd w:id="69"/>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036FFDC7">
      <w:pPr>
        <w:widowControl/>
        <w:adjustRightInd w:val="0"/>
        <w:snapToGrid w:val="0"/>
        <w:spacing w:line="560" w:lineRule="exact"/>
        <w:ind w:firstLine="600" w:firstLineChars="200"/>
        <w:rPr>
          <w:rFonts w:ascii="仿宋" w:hAnsi="仿宋" w:eastAsia="仿宋_GB2312" w:cs="宋体"/>
          <w:color w:val="000000"/>
          <w:kern w:val="0"/>
          <w:sz w:val="30"/>
          <w:szCs w:val="30"/>
        </w:rPr>
      </w:pPr>
    </w:p>
    <w:p w14:paraId="73925441">
      <w:pPr>
        <w:widowControl/>
        <w:adjustRightInd w:val="0"/>
        <w:snapToGrid w:val="0"/>
        <w:spacing w:line="560" w:lineRule="exact"/>
        <w:jc w:val="center"/>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XXXX股份有限公司关于“XX转债”开始转股的公告</w:t>
      </w:r>
    </w:p>
    <w:p w14:paraId="19708E3F">
      <w:pPr>
        <w:widowControl/>
        <w:adjustRightInd w:val="0"/>
        <w:snapToGrid w:val="0"/>
        <w:spacing w:line="560" w:lineRule="exact"/>
        <w:ind w:firstLine="600" w:firstLineChars="200"/>
        <w:rPr>
          <w:rFonts w:ascii="仿宋" w:hAnsi="仿宋" w:eastAsia="仿宋_GB2312"/>
          <w:sz w:val="30"/>
          <w:szCs w:val="30"/>
        </w:rPr>
      </w:pPr>
    </w:p>
    <w:p w14:paraId="5EEB912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1AF16D3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0CDEA354">
      <w:pPr>
        <w:widowControl/>
        <w:adjustRightInd w:val="0"/>
        <w:snapToGrid w:val="0"/>
        <w:spacing w:line="560" w:lineRule="exact"/>
        <w:ind w:firstLine="600" w:firstLineChars="200"/>
        <w:rPr>
          <w:rFonts w:ascii="仿宋" w:hAnsi="仿宋" w:eastAsia="仿宋_GB2312" w:cs="宋体"/>
          <w:kern w:val="0"/>
          <w:sz w:val="30"/>
          <w:szCs w:val="30"/>
        </w:rPr>
      </w:pPr>
    </w:p>
    <w:p w14:paraId="5F6F9F86">
      <w:pPr>
        <w:widowControl/>
        <w:adjustRightInd w:val="0"/>
        <w:snapToGrid w:val="0"/>
        <w:spacing w:line="560" w:lineRule="exact"/>
        <w:ind w:firstLine="602" w:firstLineChars="200"/>
        <w:rPr>
          <w:rFonts w:ascii="仿宋" w:hAnsi="仿宋" w:eastAsia="仿宋_GB2312" w:cs="宋体"/>
          <w:b/>
          <w:kern w:val="0"/>
          <w:sz w:val="30"/>
          <w:szCs w:val="30"/>
        </w:rPr>
      </w:pPr>
      <w:r>
        <w:rPr>
          <w:rFonts w:ascii="仿宋" w:hAnsi="仿宋" w:eastAsia="仿宋_GB2312" w:cs="宋体"/>
          <w:b/>
          <w:kern w:val="0"/>
          <w:sz w:val="30"/>
          <w:szCs w:val="30"/>
        </w:rPr>
        <w:t>重要</w:t>
      </w:r>
      <w:r>
        <w:rPr>
          <w:rFonts w:hint="eastAsia" w:ascii="仿宋" w:hAnsi="仿宋" w:eastAsia="仿宋_GB2312" w:cs="宋体"/>
          <w:b/>
          <w:kern w:val="0"/>
          <w:sz w:val="30"/>
          <w:szCs w:val="30"/>
        </w:rPr>
        <w:t>内容</w:t>
      </w:r>
      <w:r>
        <w:rPr>
          <w:rFonts w:ascii="仿宋" w:hAnsi="仿宋" w:eastAsia="仿宋_GB2312" w:cs="宋体"/>
          <w:b/>
          <w:kern w:val="0"/>
          <w:sz w:val="30"/>
          <w:szCs w:val="30"/>
        </w:rPr>
        <w:t>提示：</w:t>
      </w:r>
    </w:p>
    <w:p w14:paraId="30FA6FE8">
      <w:pPr>
        <w:widowControl/>
        <w:numPr>
          <w:ilvl w:val="0"/>
          <w:numId w:val="1"/>
        </w:numPr>
        <w:adjustRightInd w:val="0"/>
        <w:snapToGrid w:val="0"/>
        <w:spacing w:line="560" w:lineRule="exact"/>
        <w:ind w:firstLine="9" w:firstLineChars="3"/>
        <w:rPr>
          <w:rFonts w:ascii="仿宋" w:hAnsi="仿宋" w:eastAsia="仿宋_GB2312" w:cs="宋体"/>
          <w:kern w:val="0"/>
          <w:sz w:val="30"/>
          <w:szCs w:val="30"/>
        </w:rPr>
      </w:pPr>
      <w:r>
        <w:rPr>
          <w:rFonts w:ascii="仿宋" w:hAnsi="仿宋" w:eastAsia="仿宋_GB2312" w:cs="宋体"/>
          <w:kern w:val="0"/>
          <w:sz w:val="30"/>
          <w:szCs w:val="30"/>
        </w:rPr>
        <w:t>转股价格：</w:t>
      </w:r>
      <w:r>
        <w:rPr>
          <w:rFonts w:hint="eastAsia" w:ascii="仿宋" w:hAnsi="仿宋" w:eastAsia="仿宋_GB2312" w:cs="宋体"/>
          <w:kern w:val="0"/>
          <w:sz w:val="30"/>
          <w:szCs w:val="30"/>
        </w:rPr>
        <w:t>XX</w:t>
      </w:r>
      <w:r>
        <w:rPr>
          <w:rFonts w:ascii="仿宋" w:hAnsi="仿宋" w:eastAsia="仿宋_GB2312" w:cs="宋体"/>
          <w:kern w:val="0"/>
          <w:sz w:val="30"/>
          <w:szCs w:val="30"/>
        </w:rPr>
        <w:t>元</w:t>
      </w:r>
      <w:r>
        <w:rPr>
          <w:rFonts w:hint="eastAsia" w:ascii="仿宋" w:hAnsi="仿宋" w:eastAsia="仿宋_GB2312" w:cs="宋体"/>
          <w:kern w:val="0"/>
          <w:sz w:val="30"/>
          <w:szCs w:val="30"/>
        </w:rPr>
        <w:t>/股</w:t>
      </w:r>
    </w:p>
    <w:p w14:paraId="3FD4F65B">
      <w:pPr>
        <w:widowControl/>
        <w:numPr>
          <w:ilvl w:val="0"/>
          <w:numId w:val="1"/>
        </w:numPr>
        <w:adjustRightInd w:val="0"/>
        <w:snapToGrid w:val="0"/>
        <w:spacing w:line="560" w:lineRule="exact"/>
        <w:ind w:firstLine="9" w:firstLineChars="3"/>
        <w:rPr>
          <w:rFonts w:ascii="仿宋" w:hAnsi="仿宋" w:eastAsia="仿宋_GB2312" w:cs="宋体"/>
          <w:kern w:val="0"/>
          <w:sz w:val="30"/>
          <w:szCs w:val="30"/>
        </w:rPr>
      </w:pPr>
      <w:r>
        <w:rPr>
          <w:rFonts w:ascii="仿宋" w:hAnsi="仿宋" w:eastAsia="仿宋_GB2312" w:cs="宋体"/>
          <w:kern w:val="0"/>
          <w:sz w:val="30"/>
          <w:szCs w:val="30"/>
        </w:rPr>
        <w:t>转股</w:t>
      </w:r>
      <w:r>
        <w:rPr>
          <w:rFonts w:hint="eastAsia" w:ascii="仿宋" w:hAnsi="仿宋" w:eastAsia="仿宋_GB2312" w:cs="宋体"/>
          <w:kern w:val="0"/>
          <w:sz w:val="30"/>
          <w:szCs w:val="30"/>
        </w:rPr>
        <w:t>期</w:t>
      </w:r>
      <w:r>
        <w:rPr>
          <w:rFonts w:ascii="仿宋" w:hAnsi="仿宋" w:eastAsia="仿宋_GB2312" w:cs="宋体"/>
          <w:kern w:val="0"/>
          <w:sz w:val="30"/>
          <w:szCs w:val="30"/>
        </w:rPr>
        <w:t>起止日</w:t>
      </w:r>
      <w:r>
        <w:rPr>
          <w:rFonts w:hint="eastAsia" w:ascii="仿宋" w:hAnsi="仿宋" w:eastAsia="仿宋_GB2312" w:cs="宋体"/>
          <w:kern w:val="0"/>
          <w:sz w:val="30"/>
          <w:szCs w:val="30"/>
        </w:rPr>
        <w:t>期</w:t>
      </w:r>
      <w:r>
        <w:rPr>
          <w:rFonts w:ascii="仿宋" w:hAnsi="仿宋" w:eastAsia="仿宋_GB2312" w:cs="宋体"/>
          <w:kern w:val="0"/>
          <w:sz w:val="30"/>
          <w:szCs w:val="30"/>
        </w:rPr>
        <w:t>：</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日至</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w:t>
      </w:r>
    </w:p>
    <w:p w14:paraId="3C54678C">
      <w:pPr>
        <w:widowControl/>
        <w:adjustRightInd w:val="0"/>
        <w:snapToGrid w:val="0"/>
        <w:spacing w:line="560" w:lineRule="exact"/>
        <w:ind w:firstLine="600" w:firstLineChars="200"/>
        <w:rPr>
          <w:rFonts w:ascii="仿宋" w:hAnsi="仿宋" w:eastAsia="仿宋_GB2312" w:cs="宋体"/>
          <w:kern w:val="0"/>
          <w:sz w:val="30"/>
          <w:szCs w:val="30"/>
        </w:rPr>
      </w:pPr>
    </w:p>
    <w:p w14:paraId="0EB48D37">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4E352419">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（一）可转债获中国证监会注册发行基本情况，</w:t>
      </w:r>
      <w:r>
        <w:rPr>
          <w:rFonts w:hint="eastAsia" w:ascii="仿宋" w:hAnsi="仿宋" w:eastAsia="仿宋_GB2312"/>
          <w:sz w:val="30"/>
          <w:szCs w:val="30"/>
        </w:rPr>
        <w:t>包括</w:t>
      </w:r>
      <w:r>
        <w:rPr>
          <w:rFonts w:hint="eastAsia" w:ascii="仿宋_GB2312" w:hAnsi="仿宋_GB2312" w:eastAsia="仿宋_GB2312" w:cs="仿宋_GB2312"/>
          <w:sz w:val="30"/>
          <w:szCs w:val="30"/>
        </w:rPr>
        <w:t>同意注册的决定及文号</w:t>
      </w:r>
      <w:r>
        <w:rPr>
          <w:rFonts w:hint="eastAsia" w:ascii="仿宋" w:hAnsi="仿宋" w:eastAsia="仿宋_GB2312"/>
          <w:sz w:val="30"/>
          <w:szCs w:val="30"/>
        </w:rPr>
        <w:t>、发行数量、面值、发行总额等</w:t>
      </w:r>
      <w:r>
        <w:rPr>
          <w:rFonts w:hint="eastAsia" w:ascii="仿宋" w:hAnsi="仿宋" w:eastAsia="仿宋_GB2312" w:cs="宋体"/>
          <w:kern w:val="0"/>
          <w:sz w:val="30"/>
          <w:szCs w:val="30"/>
        </w:rPr>
        <w:t>。</w:t>
      </w:r>
    </w:p>
    <w:p w14:paraId="384AE5C1">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（二）可转债在上海证券交易所挂牌上市的基本情况，包括</w:t>
      </w:r>
      <w:r>
        <w:rPr>
          <w:rFonts w:hint="eastAsia" w:ascii="仿宋_GB2312" w:hAnsi="仿宋_GB2312" w:eastAsia="仿宋_GB2312" w:cs="仿宋_GB2312"/>
          <w:sz w:val="30"/>
          <w:szCs w:val="30"/>
        </w:rPr>
        <w:t>注册文号</w:t>
      </w:r>
      <w:r>
        <w:rPr>
          <w:rFonts w:hint="eastAsia" w:ascii="仿宋" w:hAnsi="仿宋" w:eastAsia="仿宋_GB2312" w:cs="宋体"/>
          <w:kern w:val="0"/>
          <w:sz w:val="30"/>
          <w:szCs w:val="30"/>
        </w:rPr>
        <w:t>、上市日期、可转债交易代码、可转债简称等。</w:t>
      </w:r>
    </w:p>
    <w:p w14:paraId="191D7548">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（三）根据有关规定和公司《可转换公司债券募集说明书》的约定，公司该次发行的“XX转债”自XXXX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年XX月XX日起可转换为本公司股份。</w:t>
      </w:r>
    </w:p>
    <w:p w14:paraId="65F1608F">
      <w:pPr>
        <w:autoSpaceDE w:val="0"/>
        <w:autoSpaceDN w:val="0"/>
        <w:adjustRightInd w:val="0"/>
        <w:snapToGrid w:val="0"/>
        <w:spacing w:line="560" w:lineRule="exact"/>
        <w:ind w:firstLine="600" w:firstLineChars="200"/>
        <w:rPr>
          <w:rFonts w:ascii="仿宋" w:hAnsi="仿宋" w:eastAsia="仿宋_GB2312" w:cs="宋体"/>
          <w:kern w:val="0"/>
          <w:sz w:val="30"/>
          <w:szCs w:val="30"/>
        </w:rPr>
      </w:pPr>
    </w:p>
    <w:p w14:paraId="34EDE981">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w:t>
      </w:r>
      <w:r>
        <w:rPr>
          <w:rFonts w:ascii="黑体" w:hAnsi="黑体" w:eastAsia="黑体" w:cs="宋体"/>
          <w:b/>
          <w:bCs/>
          <w:kern w:val="0"/>
          <w:sz w:val="30"/>
          <w:szCs w:val="30"/>
        </w:rPr>
        <w:t>、</w:t>
      </w:r>
      <w:r>
        <w:rPr>
          <w:rFonts w:hint="eastAsia" w:ascii="黑体" w:hAnsi="黑体" w:eastAsia="黑体" w:cs="宋体"/>
          <w:b/>
          <w:bCs/>
          <w:kern w:val="0"/>
          <w:sz w:val="30"/>
          <w:szCs w:val="30"/>
        </w:rPr>
        <w:t>XX</w:t>
      </w:r>
      <w:r>
        <w:rPr>
          <w:rFonts w:ascii="黑体" w:hAnsi="黑体" w:eastAsia="黑体" w:cs="宋体"/>
          <w:b/>
          <w:bCs/>
          <w:kern w:val="0"/>
          <w:sz w:val="30"/>
          <w:szCs w:val="30"/>
        </w:rPr>
        <w:t>转债</w:t>
      </w:r>
      <w:r>
        <w:rPr>
          <w:rFonts w:hint="eastAsia" w:ascii="黑体" w:hAnsi="黑体" w:eastAsia="黑体" w:cs="宋体"/>
          <w:b/>
          <w:bCs/>
          <w:kern w:val="0"/>
          <w:sz w:val="30"/>
          <w:szCs w:val="30"/>
        </w:rPr>
        <w:t>转股的相关条款</w:t>
      </w:r>
    </w:p>
    <w:p w14:paraId="064CD5EA">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w:t>
      </w:r>
      <w:r>
        <w:rPr>
          <w:rFonts w:ascii="仿宋" w:hAnsi="仿宋" w:eastAsia="仿宋_GB2312" w:cs="宋体"/>
          <w:kern w:val="0"/>
          <w:sz w:val="30"/>
          <w:szCs w:val="30"/>
        </w:rPr>
        <w:t xml:space="preserve">发行规模： </w:t>
      </w:r>
    </w:p>
    <w:p w14:paraId="5E1BBA10">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 xml:space="preserve">票面金额： </w:t>
      </w:r>
    </w:p>
    <w:p w14:paraId="4CEED2BF">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票面利率：</w:t>
      </w:r>
    </w:p>
    <w:p w14:paraId="6EF5D69D">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（四）</w:t>
      </w:r>
      <w:r>
        <w:rPr>
          <w:rFonts w:ascii="仿宋" w:hAnsi="仿宋" w:eastAsia="仿宋_GB2312" w:cs="宋体"/>
          <w:kern w:val="0"/>
          <w:sz w:val="30"/>
          <w:szCs w:val="30"/>
        </w:rPr>
        <w:t>债券期限：</w:t>
      </w:r>
      <w:r>
        <w:rPr>
          <w:rFonts w:hint="eastAsia" w:ascii="仿宋" w:hAnsi="仿宋" w:eastAsia="仿宋_GB2312" w:cs="宋体"/>
          <w:kern w:val="0"/>
          <w:sz w:val="30"/>
          <w:szCs w:val="30"/>
        </w:rPr>
        <w:t>X</w:t>
      </w:r>
      <w:r>
        <w:rPr>
          <w:rFonts w:ascii="仿宋" w:hAnsi="仿宋" w:eastAsia="仿宋_GB2312" w:cs="宋体"/>
          <w:kern w:val="0"/>
          <w:sz w:val="30"/>
          <w:szCs w:val="30"/>
        </w:rPr>
        <w:t>年，自</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日起，至</w:t>
      </w:r>
      <w:r>
        <w:rPr>
          <w:rFonts w:hint="eastAsia" w:ascii="仿宋" w:hAnsi="仿宋" w:eastAsia="仿宋_GB2312" w:cs="宋体"/>
          <w:kern w:val="0"/>
          <w:sz w:val="30"/>
          <w:szCs w:val="30"/>
        </w:rPr>
        <w:t>XXXX</w:t>
      </w:r>
      <w:r>
        <w:rPr>
          <w:rFonts w:ascii="仿宋" w:hAnsi="仿宋" w:eastAsia="仿宋_GB2312" w:cs="宋体"/>
          <w:kern w:val="0"/>
          <w:sz w:val="30"/>
          <w:szCs w:val="30"/>
        </w:rPr>
        <w:t>年</w:t>
      </w:r>
      <w:r>
        <w:rPr>
          <w:rFonts w:hint="eastAsia" w:ascii="仿宋" w:hAnsi="仿宋" w:eastAsia="仿宋_GB2312" w:cs="宋体"/>
          <w:kern w:val="0"/>
          <w:sz w:val="30"/>
          <w:szCs w:val="30"/>
        </w:rPr>
        <w:t>XX</w:t>
      </w:r>
      <w:r>
        <w:rPr>
          <w:rFonts w:ascii="仿宋" w:hAnsi="仿宋" w:eastAsia="仿宋_GB2312" w:cs="宋体"/>
          <w:kern w:val="0"/>
          <w:sz w:val="30"/>
          <w:szCs w:val="30"/>
        </w:rPr>
        <w:t>月</w:t>
      </w:r>
      <w:r>
        <w:rPr>
          <w:rFonts w:hint="eastAsia" w:ascii="仿宋" w:hAnsi="仿宋" w:eastAsia="仿宋_GB2312" w:cs="宋体"/>
          <w:kern w:val="0"/>
          <w:sz w:val="30"/>
          <w:szCs w:val="30"/>
        </w:rPr>
        <w:t>XX</w:t>
      </w:r>
      <w:r>
        <w:rPr>
          <w:rFonts w:ascii="仿宋" w:hAnsi="仿宋" w:eastAsia="仿宋_GB2312" w:cs="宋体"/>
          <w:kern w:val="0"/>
          <w:sz w:val="30"/>
          <w:szCs w:val="30"/>
        </w:rPr>
        <w:t>日止；</w:t>
      </w:r>
    </w:p>
    <w:p w14:paraId="48DC1FEE">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（五）转股期起止</w:t>
      </w:r>
      <w:r>
        <w:rPr>
          <w:rFonts w:ascii="仿宋" w:hAnsi="仿宋" w:eastAsia="仿宋_GB2312" w:cs="宋体"/>
          <w:kern w:val="0"/>
          <w:sz w:val="30"/>
          <w:szCs w:val="30"/>
        </w:rPr>
        <w:t>日</w:t>
      </w:r>
      <w:r>
        <w:rPr>
          <w:rFonts w:hint="eastAsia" w:ascii="仿宋" w:hAnsi="仿宋" w:eastAsia="仿宋_GB2312" w:cs="宋体"/>
          <w:kern w:val="0"/>
          <w:sz w:val="30"/>
          <w:szCs w:val="30"/>
        </w:rPr>
        <w:t>期：XXXX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月XX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日至XXXX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年XX</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月XX日。</w:t>
      </w:r>
    </w:p>
    <w:p w14:paraId="091BDCD5">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（六）转股价格：</w:t>
      </w:r>
    </w:p>
    <w:p w14:paraId="18EA9F88">
      <w:pPr>
        <w:widowControl/>
        <w:adjustRightInd w:val="0"/>
        <w:snapToGrid w:val="0"/>
        <w:spacing w:line="560" w:lineRule="exact"/>
        <w:ind w:firstLine="600" w:firstLineChars="200"/>
        <w:rPr>
          <w:rFonts w:ascii="仿宋" w:hAnsi="仿宋" w:eastAsia="仿宋_GB2312" w:cs="宋体"/>
          <w:kern w:val="0"/>
          <w:sz w:val="30"/>
          <w:szCs w:val="30"/>
        </w:rPr>
      </w:pPr>
    </w:p>
    <w:p w14:paraId="75838C1C">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w:t>
      </w:r>
      <w:r>
        <w:rPr>
          <w:rFonts w:ascii="黑体" w:hAnsi="黑体" w:eastAsia="黑体" w:cs="宋体"/>
          <w:b/>
          <w:bCs/>
          <w:kern w:val="0"/>
          <w:sz w:val="30"/>
          <w:szCs w:val="30"/>
        </w:rPr>
        <w:t>、转股</w:t>
      </w:r>
      <w:r>
        <w:rPr>
          <w:rFonts w:hint="eastAsia" w:ascii="黑体" w:hAnsi="黑体" w:eastAsia="黑体" w:cs="宋体"/>
          <w:b/>
          <w:bCs/>
          <w:kern w:val="0"/>
          <w:sz w:val="30"/>
          <w:szCs w:val="30"/>
        </w:rPr>
        <w:t>申报的有关事项</w:t>
      </w:r>
    </w:p>
    <w:p w14:paraId="39987819">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（一）转股申报</w:t>
      </w:r>
      <w:r>
        <w:rPr>
          <w:rFonts w:ascii="仿宋" w:hAnsi="仿宋" w:eastAsia="仿宋_GB2312" w:cs="宋体"/>
          <w:kern w:val="0"/>
          <w:sz w:val="30"/>
          <w:szCs w:val="30"/>
        </w:rPr>
        <w:t>程序</w:t>
      </w:r>
    </w:p>
    <w:p w14:paraId="52ADA3B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1、转股申报应按照上海证券交易所的有关规定，通过上海证券交易所交易系统以报盘方式进行。</w:t>
      </w:r>
    </w:p>
    <w:p w14:paraId="518B4F48">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2、持有人可以将自己账户内的XX转债全部或部分申请转为本公司股票。</w:t>
      </w:r>
    </w:p>
    <w:p w14:paraId="6DBFFEC4">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3、可转债转股申报单位为手，一手为1000元面额，转换成股份的最小单位为一股；同一交易日内多次申报转股的，将合并计算转股数量。转股时不足转换</w:t>
      </w:r>
      <w:r>
        <w:rPr>
          <w:rFonts w:ascii="仿宋" w:hAnsi="仿宋" w:eastAsia="仿宋_GB2312" w:cs="宋体"/>
          <w:kern w:val="0"/>
          <w:sz w:val="30"/>
          <w:szCs w:val="30"/>
        </w:rPr>
        <w:t>1</w:t>
      </w:r>
      <w:r>
        <w:rPr>
          <w:rFonts w:hint="eastAsia" w:ascii="仿宋" w:hAnsi="仿宋" w:eastAsia="仿宋_GB2312" w:cs="宋体"/>
          <w:kern w:val="0"/>
          <w:sz w:val="30"/>
          <w:szCs w:val="30"/>
        </w:rPr>
        <w:t>股的可转债部分，本公司将于转股申报日的次一个交易日通过中国证券登记结算有限责任公司上海分公司进行资金兑付。</w:t>
      </w:r>
    </w:p>
    <w:p w14:paraId="3998EE67">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4、可转债转股申报方向为卖出，价格为100元，转股申报一经确认不能撤单。</w:t>
      </w:r>
    </w:p>
    <w:p w14:paraId="355E64DF">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5、可转债买卖申报优先于转股申报。对于超出当日清算后可转债余额的申报，按实际可转债数量(即当日余额)计算转换股份。</w:t>
      </w:r>
    </w:p>
    <w:p w14:paraId="248F03B7">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转股</w:t>
      </w:r>
      <w:r>
        <w:rPr>
          <w:rFonts w:hint="eastAsia" w:ascii="仿宋" w:hAnsi="仿宋" w:eastAsia="仿宋_GB2312" w:cs="宋体"/>
          <w:kern w:val="0"/>
          <w:sz w:val="30"/>
          <w:szCs w:val="30"/>
        </w:rPr>
        <w:t>申报</w:t>
      </w:r>
      <w:r>
        <w:rPr>
          <w:rFonts w:ascii="仿宋" w:hAnsi="仿宋" w:eastAsia="仿宋_GB2312" w:cs="宋体"/>
          <w:kern w:val="0"/>
          <w:sz w:val="30"/>
          <w:szCs w:val="30"/>
        </w:rPr>
        <w:t>时间</w:t>
      </w:r>
    </w:p>
    <w:p w14:paraId="5F3CBE81">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持有人可在转股期内（即XXXX年XX月XX日至XXXX年XX月XX日）上海证券交易所交易日的正常交易时间申报转股，但下述时间除外：</w:t>
      </w:r>
    </w:p>
    <w:p w14:paraId="08C668F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1</w:t>
      </w:r>
      <w:r>
        <w:rPr>
          <w:rFonts w:hint="eastAsia" w:ascii="仿宋" w:hAnsi="仿宋" w:eastAsia="仿宋_GB2312" w:cs="宋体"/>
          <w:kern w:val="0"/>
          <w:sz w:val="30"/>
          <w:szCs w:val="30"/>
        </w:rPr>
        <w:t>、XX转债停止交易前的可转债停牌时间；</w:t>
      </w:r>
    </w:p>
    <w:p w14:paraId="3B834439">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2</w:t>
      </w:r>
      <w:r>
        <w:rPr>
          <w:rFonts w:hint="eastAsia" w:ascii="仿宋" w:hAnsi="仿宋" w:eastAsia="仿宋_GB2312" w:cs="宋体"/>
          <w:kern w:val="0"/>
          <w:sz w:val="30"/>
          <w:szCs w:val="30"/>
        </w:rPr>
        <w:t>、本公司股票停牌时间；</w:t>
      </w:r>
    </w:p>
    <w:p w14:paraId="4939A353">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ascii="仿宋" w:hAnsi="仿宋" w:eastAsia="仿宋_GB2312" w:cs="宋体"/>
          <w:kern w:val="0"/>
          <w:sz w:val="30"/>
          <w:szCs w:val="30"/>
        </w:rPr>
        <w:t>3</w:t>
      </w:r>
      <w:r>
        <w:rPr>
          <w:rFonts w:hint="eastAsia" w:ascii="仿宋" w:hAnsi="仿宋" w:eastAsia="仿宋_GB2312" w:cs="宋体"/>
          <w:kern w:val="0"/>
          <w:sz w:val="30"/>
          <w:szCs w:val="30"/>
        </w:rPr>
        <w:t>、按有关规定，本公司申请停止转股的期间。</w:t>
      </w:r>
    </w:p>
    <w:p w14:paraId="0CC22633">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转债的冻结及注销</w:t>
      </w:r>
    </w:p>
    <w:p w14:paraId="3B7466B8">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中国证券登记结算有限责任公司上海分公司对转股申请确认有效后，将记减（冻结并注销）可转债持有人的转债余额，同时记增可转债持有人相应的股份数额，完成变更登记</w:t>
      </w:r>
      <w:r>
        <w:rPr>
          <w:rFonts w:ascii="仿宋" w:hAnsi="仿宋" w:eastAsia="仿宋_GB2312" w:cs="宋体"/>
          <w:kern w:val="0"/>
          <w:sz w:val="30"/>
          <w:szCs w:val="30"/>
        </w:rPr>
        <w:t>。</w:t>
      </w:r>
    </w:p>
    <w:p w14:paraId="480B9EF3">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（四）可转债</w:t>
      </w:r>
      <w:r>
        <w:rPr>
          <w:rFonts w:ascii="仿宋" w:hAnsi="仿宋" w:eastAsia="仿宋_GB2312" w:cs="宋体"/>
          <w:kern w:val="0"/>
          <w:sz w:val="30"/>
          <w:szCs w:val="30"/>
        </w:rPr>
        <w:t>转股</w:t>
      </w:r>
      <w:r>
        <w:rPr>
          <w:rFonts w:hint="eastAsia" w:ascii="仿宋" w:hAnsi="仿宋" w:eastAsia="仿宋_GB2312" w:cs="宋体"/>
          <w:kern w:val="0"/>
          <w:sz w:val="30"/>
          <w:szCs w:val="30"/>
        </w:rPr>
        <w:t>新增</w:t>
      </w:r>
      <w:r>
        <w:rPr>
          <w:rFonts w:ascii="仿宋" w:hAnsi="仿宋" w:eastAsia="仿宋_GB2312" w:cs="宋体"/>
          <w:kern w:val="0"/>
          <w:sz w:val="30"/>
          <w:szCs w:val="30"/>
        </w:rPr>
        <w:t>股份</w:t>
      </w:r>
      <w:r>
        <w:rPr>
          <w:rFonts w:hint="eastAsia" w:ascii="仿宋" w:hAnsi="仿宋" w:eastAsia="仿宋_GB2312" w:cs="宋体"/>
          <w:kern w:val="0"/>
          <w:sz w:val="30"/>
          <w:szCs w:val="30"/>
        </w:rPr>
        <w:t>的上市交易和</w:t>
      </w:r>
      <w:r>
        <w:rPr>
          <w:rFonts w:ascii="仿宋" w:hAnsi="仿宋" w:eastAsia="仿宋_GB2312" w:cs="宋体"/>
          <w:kern w:val="0"/>
          <w:sz w:val="30"/>
          <w:szCs w:val="30"/>
        </w:rPr>
        <w:t>所享有的权益</w:t>
      </w:r>
    </w:p>
    <w:p w14:paraId="4F95C7C8">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当日买进的可转债当日可申请转股。无限售条件可转债转股新增股份，可于转股申报后次一个交易日上市流通。可转债</w:t>
      </w:r>
      <w:r>
        <w:rPr>
          <w:rFonts w:ascii="仿宋" w:hAnsi="仿宋" w:eastAsia="仿宋_GB2312" w:cs="宋体"/>
          <w:kern w:val="0"/>
          <w:sz w:val="30"/>
          <w:szCs w:val="30"/>
        </w:rPr>
        <w:t>转股</w:t>
      </w:r>
      <w:r>
        <w:rPr>
          <w:rFonts w:hint="eastAsia" w:ascii="仿宋" w:hAnsi="仿宋" w:eastAsia="仿宋_GB2312" w:cs="宋体"/>
          <w:kern w:val="0"/>
          <w:sz w:val="30"/>
          <w:szCs w:val="30"/>
        </w:rPr>
        <w:t>新增</w:t>
      </w:r>
      <w:r>
        <w:rPr>
          <w:rFonts w:ascii="仿宋" w:hAnsi="仿宋" w:eastAsia="仿宋_GB2312" w:cs="宋体"/>
          <w:kern w:val="0"/>
          <w:sz w:val="30"/>
          <w:szCs w:val="30"/>
        </w:rPr>
        <w:t>股份</w:t>
      </w:r>
      <w:r>
        <w:rPr>
          <w:rFonts w:hint="eastAsia" w:ascii="仿宋" w:hAnsi="仿宋" w:eastAsia="仿宋_GB2312" w:cs="宋体"/>
          <w:kern w:val="0"/>
          <w:sz w:val="30"/>
          <w:szCs w:val="30"/>
        </w:rPr>
        <w:t>享有与原股份同等的权益</w:t>
      </w:r>
      <w:r>
        <w:rPr>
          <w:rFonts w:ascii="仿宋" w:hAnsi="仿宋" w:eastAsia="仿宋_GB2312" w:cs="宋体"/>
          <w:kern w:val="0"/>
          <w:sz w:val="30"/>
          <w:szCs w:val="30"/>
        </w:rPr>
        <w:t>。</w:t>
      </w:r>
    </w:p>
    <w:p w14:paraId="203D2944">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（五）</w:t>
      </w:r>
      <w:r>
        <w:rPr>
          <w:rFonts w:ascii="仿宋" w:hAnsi="仿宋" w:eastAsia="仿宋_GB2312" w:cs="宋体"/>
          <w:kern w:val="0"/>
          <w:sz w:val="30"/>
          <w:szCs w:val="30"/>
        </w:rPr>
        <w:t>转股过程中的有关税费</w:t>
      </w:r>
    </w:p>
    <w:p w14:paraId="368AD885">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可转债转股过程中如发生有关税费，由纳税义务人自行负担</w:t>
      </w:r>
      <w:r>
        <w:rPr>
          <w:rFonts w:ascii="仿宋" w:hAnsi="仿宋" w:eastAsia="仿宋_GB2312" w:cs="宋体"/>
          <w:kern w:val="0"/>
          <w:sz w:val="30"/>
          <w:szCs w:val="30"/>
        </w:rPr>
        <w:t>。</w:t>
      </w:r>
    </w:p>
    <w:p w14:paraId="29551ECE">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（六）转换年度利息的归属</w:t>
      </w:r>
    </w:p>
    <w:p w14:paraId="75D5A586">
      <w:pPr>
        <w:autoSpaceDE w:val="0"/>
        <w:autoSpaceDN w:val="0"/>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XX转债采用每年付息X次的付息方式，计息起始日为本可转债发行首日，即XXXX年XX月XX日。在付息债权登记日前（包括付息债权登记日）转换成股份的可转债不享受当期及以后计息年度利息。</w:t>
      </w:r>
    </w:p>
    <w:p w14:paraId="6F70D85E">
      <w:pPr>
        <w:autoSpaceDE w:val="0"/>
        <w:autoSpaceDN w:val="0"/>
        <w:adjustRightInd w:val="0"/>
        <w:snapToGrid w:val="0"/>
        <w:spacing w:line="560" w:lineRule="exact"/>
        <w:ind w:firstLine="600" w:firstLineChars="200"/>
        <w:rPr>
          <w:rFonts w:ascii="仿宋" w:hAnsi="仿宋" w:eastAsia="仿宋_GB2312" w:cs="宋体"/>
          <w:kern w:val="0"/>
          <w:sz w:val="30"/>
          <w:szCs w:val="30"/>
        </w:rPr>
      </w:pPr>
    </w:p>
    <w:p w14:paraId="37156610">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四</w:t>
      </w:r>
      <w:r>
        <w:rPr>
          <w:rFonts w:ascii="黑体" w:hAnsi="黑体" w:eastAsia="黑体" w:cs="宋体"/>
          <w:b/>
          <w:bCs/>
          <w:kern w:val="0"/>
          <w:sz w:val="30"/>
          <w:szCs w:val="30"/>
        </w:rPr>
        <w:t>、</w:t>
      </w:r>
      <w:r>
        <w:rPr>
          <w:rFonts w:hint="eastAsia" w:ascii="黑体" w:hAnsi="黑体" w:eastAsia="黑体" w:cs="宋体"/>
          <w:b/>
          <w:bCs/>
          <w:kern w:val="0"/>
          <w:sz w:val="30"/>
          <w:szCs w:val="30"/>
        </w:rPr>
        <w:t>可转债</w:t>
      </w:r>
      <w:r>
        <w:rPr>
          <w:rFonts w:ascii="黑体" w:hAnsi="黑体" w:eastAsia="黑体" w:cs="宋体"/>
          <w:b/>
          <w:bCs/>
          <w:kern w:val="0"/>
          <w:sz w:val="30"/>
          <w:szCs w:val="30"/>
        </w:rPr>
        <w:t>转股价格</w:t>
      </w:r>
      <w:r>
        <w:rPr>
          <w:rFonts w:hint="eastAsia" w:ascii="黑体" w:hAnsi="黑体" w:eastAsia="黑体" w:cs="宋体"/>
          <w:b/>
          <w:bCs/>
          <w:kern w:val="0"/>
          <w:sz w:val="30"/>
          <w:szCs w:val="30"/>
        </w:rPr>
        <w:t>的</w:t>
      </w:r>
      <w:r>
        <w:rPr>
          <w:rFonts w:ascii="黑体" w:hAnsi="黑体" w:eastAsia="黑体" w:cs="宋体"/>
          <w:b/>
          <w:bCs/>
          <w:kern w:val="0"/>
          <w:sz w:val="30"/>
          <w:szCs w:val="30"/>
        </w:rPr>
        <w:t>调整</w:t>
      </w:r>
    </w:p>
    <w:p w14:paraId="011BF528">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（一）</w:t>
      </w:r>
      <w:r>
        <w:rPr>
          <w:rFonts w:ascii="仿宋" w:hAnsi="仿宋" w:eastAsia="仿宋_GB2312" w:cs="宋体"/>
          <w:kern w:val="0"/>
          <w:sz w:val="30"/>
          <w:szCs w:val="30"/>
        </w:rPr>
        <w:t>初始转股价格</w:t>
      </w:r>
      <w:r>
        <w:rPr>
          <w:rFonts w:hint="eastAsia" w:ascii="仿宋" w:hAnsi="仿宋" w:eastAsia="仿宋_GB2312" w:cs="宋体"/>
          <w:kern w:val="0"/>
          <w:sz w:val="30"/>
          <w:szCs w:val="30"/>
        </w:rPr>
        <w:t>和最新转股价格</w:t>
      </w:r>
    </w:p>
    <w:p w14:paraId="272F228F">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可转债的初始转股价格和最新转股价格。</w:t>
      </w:r>
    </w:p>
    <w:p w14:paraId="230E9D31">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如开始转股前转股价格已经发生了调整，说明转股价格调整的具体情况。</w:t>
      </w:r>
    </w:p>
    <w:p w14:paraId="18ECB6CA">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（二）</w:t>
      </w:r>
      <w:r>
        <w:rPr>
          <w:rFonts w:ascii="仿宋" w:hAnsi="仿宋" w:eastAsia="仿宋_GB2312" w:cs="宋体"/>
          <w:kern w:val="0"/>
          <w:sz w:val="30"/>
          <w:szCs w:val="30"/>
        </w:rPr>
        <w:t>转股价格的调整方法及计算公式</w:t>
      </w:r>
    </w:p>
    <w:p w14:paraId="597FD34E">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应披露在可转债</w:t>
      </w:r>
      <w:r>
        <w:rPr>
          <w:rFonts w:ascii="仿宋" w:hAnsi="仿宋" w:eastAsia="仿宋_GB2312" w:cs="宋体"/>
          <w:kern w:val="0"/>
          <w:sz w:val="30"/>
          <w:szCs w:val="30"/>
        </w:rPr>
        <w:t>存续期内，当发生</w:t>
      </w:r>
      <w:r>
        <w:rPr>
          <w:rFonts w:hint="eastAsia" w:ascii="仿宋" w:hAnsi="仿宋" w:eastAsia="仿宋_GB2312" w:cs="宋体"/>
          <w:kern w:val="0"/>
          <w:sz w:val="30"/>
          <w:szCs w:val="30"/>
        </w:rPr>
        <w:t>派息、</w:t>
      </w:r>
      <w:r>
        <w:rPr>
          <w:rFonts w:ascii="仿宋" w:hAnsi="仿宋" w:eastAsia="仿宋_GB2312" w:cs="宋体"/>
          <w:kern w:val="0"/>
          <w:sz w:val="30"/>
          <w:szCs w:val="30"/>
        </w:rPr>
        <w:t>送红股、公积金转增股本、增发新股、配股</w:t>
      </w:r>
      <w:r>
        <w:rPr>
          <w:rFonts w:hint="eastAsia" w:ascii="仿宋" w:hAnsi="仿宋" w:eastAsia="仿宋_GB2312" w:cs="宋体"/>
          <w:kern w:val="0"/>
          <w:sz w:val="30"/>
          <w:szCs w:val="30"/>
        </w:rPr>
        <w:t>、</w:t>
      </w:r>
      <w:r>
        <w:rPr>
          <w:rFonts w:ascii="仿宋" w:hAnsi="仿宋" w:eastAsia="仿宋_GB2312" w:cs="宋体"/>
          <w:kern w:val="0"/>
          <w:sz w:val="30"/>
          <w:szCs w:val="30"/>
        </w:rPr>
        <w:t>股份回购、</w:t>
      </w:r>
      <w:r>
        <w:rPr>
          <w:rFonts w:hint="eastAsia" w:ascii="仿宋" w:hAnsi="仿宋" w:eastAsia="仿宋_GB2312" w:cs="宋体"/>
          <w:kern w:val="0"/>
          <w:sz w:val="30"/>
          <w:szCs w:val="30"/>
        </w:rPr>
        <w:t>公司</w:t>
      </w:r>
      <w:r>
        <w:rPr>
          <w:rFonts w:ascii="仿宋" w:hAnsi="仿宋" w:eastAsia="仿宋_GB2312" w:cs="宋体"/>
          <w:kern w:val="0"/>
          <w:sz w:val="30"/>
          <w:szCs w:val="30"/>
        </w:rPr>
        <w:t>合并、分立或任何其他可能影响可转债持有人债权利益或转股衍生权益</w:t>
      </w:r>
      <w:r>
        <w:rPr>
          <w:rFonts w:hint="eastAsia" w:ascii="仿宋" w:hAnsi="仿宋" w:eastAsia="仿宋_GB2312" w:cs="宋体"/>
          <w:kern w:val="0"/>
          <w:sz w:val="30"/>
          <w:szCs w:val="30"/>
        </w:rPr>
        <w:t>情形时转股价格的调整方法、计算公式等。</w:t>
      </w:r>
    </w:p>
    <w:p w14:paraId="61C22378">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（三）</w:t>
      </w:r>
      <w:r>
        <w:rPr>
          <w:rFonts w:ascii="仿宋" w:hAnsi="仿宋" w:eastAsia="仿宋_GB2312" w:cs="宋体"/>
          <w:kern w:val="0"/>
          <w:sz w:val="30"/>
          <w:szCs w:val="30"/>
        </w:rPr>
        <w:t>转股价格修正条款</w:t>
      </w:r>
    </w:p>
    <w:p w14:paraId="27B5D6B6">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1、</w:t>
      </w:r>
      <w:r>
        <w:rPr>
          <w:rFonts w:ascii="仿宋" w:hAnsi="仿宋" w:eastAsia="仿宋_GB2312" w:cs="宋体"/>
          <w:kern w:val="0"/>
          <w:sz w:val="30"/>
          <w:szCs w:val="30"/>
        </w:rPr>
        <w:t>修正权限和修正幅度</w:t>
      </w:r>
    </w:p>
    <w:p w14:paraId="68BDEBEC">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2、</w:t>
      </w:r>
      <w:r>
        <w:rPr>
          <w:rFonts w:ascii="仿宋" w:hAnsi="仿宋" w:eastAsia="仿宋_GB2312" w:cs="宋体"/>
          <w:kern w:val="0"/>
          <w:sz w:val="30"/>
          <w:szCs w:val="30"/>
        </w:rPr>
        <w:t>修正程序</w:t>
      </w:r>
    </w:p>
    <w:p w14:paraId="083445FB">
      <w:pPr>
        <w:widowControl/>
        <w:adjustRightInd w:val="0"/>
        <w:snapToGrid w:val="0"/>
        <w:spacing w:line="560" w:lineRule="exact"/>
        <w:ind w:firstLine="600" w:firstLineChars="200"/>
        <w:rPr>
          <w:rFonts w:ascii="仿宋" w:hAnsi="仿宋" w:eastAsia="仿宋_GB2312" w:cs="宋体"/>
          <w:kern w:val="0"/>
          <w:sz w:val="30"/>
          <w:szCs w:val="30"/>
        </w:rPr>
      </w:pPr>
    </w:p>
    <w:p w14:paraId="17790204">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五</w:t>
      </w:r>
      <w:r>
        <w:rPr>
          <w:rFonts w:ascii="黑体" w:hAnsi="黑体" w:eastAsia="黑体" w:cs="宋体"/>
          <w:b/>
          <w:bCs/>
          <w:kern w:val="0"/>
          <w:sz w:val="30"/>
          <w:szCs w:val="30"/>
        </w:rPr>
        <w:t>、其他</w:t>
      </w:r>
    </w:p>
    <w:p w14:paraId="3CDF2DD9">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联系部门、咨询电话等其他内容。</w:t>
      </w:r>
    </w:p>
    <w:p w14:paraId="168714C5">
      <w:pPr>
        <w:widowControl/>
        <w:adjustRightInd w:val="0"/>
        <w:snapToGrid w:val="0"/>
        <w:spacing w:line="560" w:lineRule="exact"/>
        <w:ind w:firstLine="600" w:firstLineChars="200"/>
        <w:jc w:val="left"/>
        <w:rPr>
          <w:rFonts w:ascii="仿宋" w:hAnsi="仿宋" w:eastAsia="仿宋_GB2312" w:cs="宋体"/>
          <w:kern w:val="0"/>
          <w:sz w:val="30"/>
          <w:szCs w:val="30"/>
        </w:rPr>
      </w:pPr>
    </w:p>
    <w:p w14:paraId="5A1858DA">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14:paraId="6D69A07A">
      <w:pPr>
        <w:widowControl/>
        <w:adjustRightInd w:val="0"/>
        <w:snapToGrid w:val="0"/>
        <w:spacing w:line="560" w:lineRule="exact"/>
        <w:ind w:firstLine="600" w:firstLineChars="200"/>
        <w:jc w:val="left"/>
        <w:rPr>
          <w:rFonts w:ascii="仿宋" w:hAnsi="仿宋" w:eastAsia="仿宋_GB2312" w:cs="宋体"/>
          <w:kern w:val="0"/>
          <w:sz w:val="30"/>
          <w:szCs w:val="30"/>
        </w:rPr>
      </w:pPr>
    </w:p>
    <w:p w14:paraId="562652E6">
      <w:pPr>
        <w:widowControl/>
        <w:adjustRightInd w:val="0"/>
        <w:snapToGrid w:val="0"/>
        <w:spacing w:line="560" w:lineRule="exact"/>
        <w:ind w:firstLine="600" w:firstLineChars="200"/>
        <w:jc w:val="right"/>
        <w:rPr>
          <w:rFonts w:ascii="仿宋" w:hAnsi="仿宋" w:eastAsia="仿宋_GB2312" w:cs="宋体"/>
          <w:kern w:val="0"/>
          <w:sz w:val="30"/>
          <w:szCs w:val="30"/>
        </w:rPr>
      </w:pPr>
      <w:r>
        <w:rPr>
          <w:rFonts w:hint="eastAsia" w:ascii="仿宋" w:hAnsi="仿宋" w:eastAsia="仿宋_GB2312" w:cs="宋体"/>
          <w:kern w:val="0"/>
          <w:sz w:val="30"/>
          <w:szCs w:val="30"/>
        </w:rPr>
        <w:t>XXXX</w:t>
      </w:r>
      <w:r>
        <w:rPr>
          <w:rFonts w:ascii="仿宋" w:hAnsi="仿宋" w:eastAsia="仿宋_GB2312" w:cs="宋体"/>
          <w:kern w:val="0"/>
          <w:sz w:val="30"/>
          <w:szCs w:val="30"/>
        </w:rPr>
        <w:t>股份有限公司</w:t>
      </w:r>
      <w:r>
        <w:rPr>
          <w:rFonts w:hint="eastAsia" w:ascii="仿宋" w:hAnsi="仿宋" w:eastAsia="仿宋_GB2312" w:cs="宋体"/>
          <w:kern w:val="0"/>
          <w:sz w:val="30"/>
          <w:szCs w:val="30"/>
        </w:rPr>
        <w:t>董事会</w:t>
      </w:r>
    </w:p>
    <w:p w14:paraId="11FF6B2D">
      <w:pPr>
        <w:adjustRightInd w:val="0"/>
        <w:snapToGrid w:val="0"/>
        <w:spacing w:line="560" w:lineRule="exact"/>
        <w:ind w:firstLine="600" w:firstLineChars="200"/>
        <w:jc w:val="right"/>
        <w:rPr>
          <w:rFonts w:ascii="仿宋" w:hAnsi="仿宋" w:eastAsia="仿宋_GB2312" w:cs="宋体"/>
          <w:kern w:val="0"/>
          <w:sz w:val="30"/>
          <w:szCs w:val="30"/>
        </w:rPr>
      </w:pPr>
      <w:r>
        <w:rPr>
          <w:rFonts w:ascii="Calibri" w:hAnsi="Calibri" w:eastAsia="仿宋_GB2312" w:cs="Calibri"/>
          <w:kern w:val="0"/>
          <w:sz w:val="30"/>
          <w:szCs w:val="30"/>
        </w:rPr>
        <w:t> </w:t>
      </w:r>
      <w:r>
        <w:rPr>
          <w:rFonts w:hint="eastAsia" w:ascii="仿宋" w:hAnsi="仿宋" w:eastAsia="仿宋_GB2312" w:cs="宋体"/>
          <w:kern w:val="0"/>
          <w:sz w:val="30"/>
          <w:szCs w:val="30"/>
        </w:rPr>
        <w:t xml:space="preserve">                                   </w:t>
      </w:r>
      <w:r>
        <w:rPr>
          <w:rFonts w:ascii="Calibri" w:hAnsi="Calibri" w:eastAsia="仿宋_GB2312" w:cs="Calibri"/>
          <w:kern w:val="0"/>
          <w:sz w:val="30"/>
          <w:szCs w:val="30"/>
        </w:rPr>
        <w:t> </w:t>
      </w:r>
      <w:r>
        <w:rPr>
          <w:rFonts w:ascii="仿宋" w:hAnsi="仿宋" w:eastAsia="仿宋_GB2312" w:cs="宋体"/>
          <w:kern w:val="0"/>
          <w:sz w:val="30"/>
          <w:szCs w:val="30"/>
        </w:rPr>
        <w:t>年</w:t>
      </w:r>
      <w:r>
        <w:rPr>
          <w:rFonts w:hint="eastAsia" w:ascii="仿宋" w:hAnsi="仿宋" w:eastAsia="仿宋_GB2312" w:cs="宋体"/>
          <w:kern w:val="0"/>
          <w:sz w:val="30"/>
          <w:szCs w:val="30"/>
        </w:rPr>
        <w:t xml:space="preserve">  </w:t>
      </w:r>
      <w:r>
        <w:rPr>
          <w:rFonts w:ascii="仿宋" w:hAnsi="仿宋" w:eastAsia="仿宋_GB2312" w:cs="宋体"/>
          <w:kern w:val="0"/>
          <w:sz w:val="30"/>
          <w:szCs w:val="30"/>
        </w:rPr>
        <w:t>月</w:t>
      </w:r>
      <w:r>
        <w:rPr>
          <w:rFonts w:hint="eastAsia" w:ascii="仿宋" w:hAnsi="仿宋" w:eastAsia="仿宋_GB2312" w:cs="宋体"/>
          <w:kern w:val="0"/>
          <w:sz w:val="30"/>
          <w:szCs w:val="30"/>
        </w:rPr>
        <w:t xml:space="preserve">  </w:t>
      </w:r>
      <w:r>
        <w:rPr>
          <w:rFonts w:ascii="仿宋" w:hAnsi="仿宋" w:eastAsia="仿宋_GB2312" w:cs="宋体"/>
          <w:kern w:val="0"/>
          <w:sz w:val="30"/>
          <w:szCs w:val="30"/>
        </w:rPr>
        <w:t>日</w:t>
      </w:r>
    </w:p>
    <w:p w14:paraId="682C473F">
      <w:pPr>
        <w:widowControl/>
        <w:jc w:val="left"/>
        <w:rPr>
          <w:rFonts w:ascii="仿宋" w:hAnsi="仿宋" w:eastAsia="仿宋_GB2312" w:cs="宋体"/>
          <w:kern w:val="0"/>
          <w:sz w:val="30"/>
          <w:szCs w:val="30"/>
        </w:rPr>
      </w:pPr>
      <w:r>
        <w:rPr>
          <w:rFonts w:ascii="仿宋" w:hAnsi="仿宋" w:eastAsia="仿宋_GB2312" w:cs="宋体"/>
          <w:kern w:val="0"/>
          <w:sz w:val="30"/>
          <w:szCs w:val="30"/>
        </w:rPr>
        <w:br w:type="page"/>
      </w:r>
    </w:p>
    <w:p w14:paraId="16B529D5">
      <w:pPr>
        <w:pStyle w:val="4"/>
        <w:rPr>
          <w:sz w:val="32"/>
          <w:szCs w:val="32"/>
        </w:rPr>
      </w:pPr>
      <w:bookmarkStart w:id="8" w:name="_Toc108525204"/>
      <w:bookmarkStart w:id="9" w:name="_Toc330904170"/>
      <w:bookmarkStart w:id="10" w:name="_Toc50034098"/>
      <w:bookmarkStart w:id="11" w:name="_Toc340839653"/>
      <w:r>
        <w:rPr>
          <w:rFonts w:hint="eastAsia"/>
          <w:sz w:val="32"/>
          <w:szCs w:val="32"/>
        </w:rPr>
        <w:t>2</w:t>
      </w:r>
      <w:r>
        <w:rPr>
          <w:sz w:val="32"/>
          <w:szCs w:val="32"/>
        </w:rPr>
        <w:t>.</w:t>
      </w:r>
      <w:r>
        <w:rPr>
          <w:rFonts w:hint="eastAsia"/>
          <w:sz w:val="32"/>
          <w:szCs w:val="32"/>
        </w:rPr>
        <w:t>上市公司可转债转股结果暨股份变动公告</w:t>
      </w:r>
      <w:bookmarkEnd w:id="8"/>
      <w:bookmarkEnd w:id="9"/>
      <w:bookmarkEnd w:id="10"/>
      <w:bookmarkEnd w:id="11"/>
    </w:p>
    <w:p w14:paraId="79969BFE">
      <w:pPr>
        <w:widowControl/>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14:paraId="0EC9DF4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1、转股期间每个季度结束后的2个交易日内，无论是否出现转股情况均须披露转股结果公告。</w:t>
      </w:r>
    </w:p>
    <w:p w14:paraId="0747C6B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2、可转债转换为股份的数额累计达到可转债转股前公司已发行股份总额10%。</w:t>
      </w:r>
    </w:p>
    <w:p w14:paraId="39B3DE3B">
      <w:pPr>
        <w:adjustRightInd w:val="0"/>
        <w:snapToGrid w:val="0"/>
        <w:spacing w:line="560" w:lineRule="exact"/>
        <w:ind w:firstLine="600" w:firstLineChars="200"/>
        <w:rPr>
          <w:rFonts w:ascii="仿宋" w:hAnsi="仿宋" w:eastAsia="仿宋_GB2312"/>
          <w:sz w:val="30"/>
          <w:szCs w:val="30"/>
          <w:u w:val="single"/>
        </w:rPr>
      </w:pPr>
    </w:p>
    <w:p w14:paraId="182E73AC">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            证券简称：            公告编号：</w:t>
      </w:r>
    </w:p>
    <w:p w14:paraId="187EC5F6">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            转债简称：</w:t>
      </w:r>
    </w:p>
    <w:p w14:paraId="65EC5A5F">
      <w:pPr>
        <w:adjustRightInd w:val="0"/>
        <w:snapToGrid w:val="0"/>
        <w:spacing w:line="560" w:lineRule="exact"/>
        <w:ind w:firstLine="600" w:firstLineChars="200"/>
        <w:rPr>
          <w:rFonts w:ascii="仿宋" w:hAnsi="仿宋" w:eastAsia="仿宋_GB2312"/>
          <w:sz w:val="30"/>
          <w:szCs w:val="30"/>
        </w:rPr>
      </w:pPr>
    </w:p>
    <w:p w14:paraId="78D37328">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XXXX股份有限公司可转债转股结果暨股份变动公告</w:t>
      </w:r>
    </w:p>
    <w:p w14:paraId="59CC9A5E">
      <w:pPr>
        <w:adjustRightInd w:val="0"/>
        <w:snapToGrid w:val="0"/>
        <w:spacing w:line="560" w:lineRule="exact"/>
        <w:ind w:firstLine="600" w:firstLineChars="200"/>
        <w:jc w:val="center"/>
        <w:rPr>
          <w:rFonts w:ascii="仿宋" w:hAnsi="仿宋" w:eastAsia="仿宋_GB2312"/>
          <w:sz w:val="30"/>
          <w:szCs w:val="30"/>
        </w:rPr>
      </w:pPr>
    </w:p>
    <w:p w14:paraId="225F897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3994812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2C4ABF97">
      <w:pPr>
        <w:adjustRightInd w:val="0"/>
        <w:snapToGrid w:val="0"/>
        <w:spacing w:line="560" w:lineRule="exact"/>
        <w:ind w:firstLine="600" w:firstLineChars="200"/>
        <w:rPr>
          <w:rFonts w:ascii="仿宋" w:hAnsi="仿宋" w:eastAsia="仿宋_GB2312"/>
          <w:sz w:val="30"/>
          <w:szCs w:val="30"/>
        </w:rPr>
      </w:pPr>
    </w:p>
    <w:p w14:paraId="6D5BC3C3">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14:paraId="337025E5">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累计转股情况（说明可转债累计转股的金额、累计因转股形成的股份数量以及占可转债转股前公司已发行股份总额的比例）</w:t>
      </w:r>
    </w:p>
    <w:p w14:paraId="00E3EF1A">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未转股可转债情况（说明尚未转股的可转债金额以及占可转债发行总量的比例）</w:t>
      </w:r>
    </w:p>
    <w:p w14:paraId="41BFB4E8">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本季度转股情况（说明本季度可转债转股的金额、因转股形成的股份数量）（如适用）</w:t>
      </w:r>
    </w:p>
    <w:p w14:paraId="1C0F5C48">
      <w:pPr>
        <w:numPr>
          <w:ilvl w:val="0"/>
          <w:numId w:val="2"/>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需提请投资者注意的其他情况（如适用）</w:t>
      </w:r>
    </w:p>
    <w:p w14:paraId="22CD9EB0">
      <w:pPr>
        <w:adjustRightInd w:val="0"/>
        <w:snapToGrid w:val="0"/>
        <w:spacing w:line="560" w:lineRule="exact"/>
        <w:ind w:firstLine="600" w:firstLineChars="200"/>
        <w:rPr>
          <w:rFonts w:ascii="仿宋" w:hAnsi="仿宋" w:eastAsia="仿宋_GB2312"/>
          <w:sz w:val="30"/>
          <w:szCs w:val="30"/>
        </w:rPr>
      </w:pPr>
    </w:p>
    <w:p w14:paraId="372752D5">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6BCE5950">
      <w:pPr>
        <w:autoSpaceDE w:val="0"/>
        <w:autoSpaceDN w:val="0"/>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26D89990">
      <w:pPr>
        <w:autoSpaceDE w:val="0"/>
        <w:autoSpaceDN w:val="0"/>
        <w:adjustRightInd w:val="0"/>
        <w:snapToGrid w:val="0"/>
        <w:spacing w:line="560" w:lineRule="exact"/>
        <w:ind w:firstLine="600" w:firstLineChars="200"/>
        <w:jc w:val="left"/>
        <w:rPr>
          <w:rFonts w:ascii="仿宋" w:hAnsi="仿宋" w:eastAsia="仿宋_GB2312"/>
          <w:sz w:val="30"/>
          <w:szCs w:val="30"/>
        </w:rPr>
      </w:pPr>
    </w:p>
    <w:p w14:paraId="6169311A">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二、可转债本次转股情况</w:t>
      </w:r>
    </w:p>
    <w:p w14:paraId="0144A6A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应说明可转债的转股情况，包括转股期间、本次可转债转股金额、本次因转股形成的股份数量，以及累计转股的金额、累计因转股形成的股份数量以及占公司可转债转股前公司已发行股份总额的比例等。</w:t>
      </w:r>
    </w:p>
    <w:p w14:paraId="05BE01AA">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w:t>
      </w:r>
    </w:p>
    <w:p w14:paraId="34FF16EF">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1.可转债转股金额按可转债的面值计算。</w:t>
      </w:r>
    </w:p>
    <w:p w14:paraId="5A35E66E">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2.“因转股形成的股份数量”、“累计因转股形成的股份数量”以及“累计因转股形成的股份数量占公司可转债转股前公司已发行股份总额的比例”计算时，如期间曾实施送转股权益分派，应作相应调整。</w:t>
      </w:r>
      <w:r>
        <w:rPr>
          <w:rFonts w:hint="eastAsia" w:ascii="楷体" w:hAnsi="楷体" w:eastAsia="楷体"/>
          <w:sz w:val="24"/>
          <w:szCs w:val="24"/>
        </w:rPr>
        <w:t>）</w:t>
      </w:r>
    </w:p>
    <w:p w14:paraId="4CF2570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（二）说明未转股可转债的情况，包括尚未转股的可转债金额以及占可转债发行总量的比例等。</w:t>
      </w:r>
    </w:p>
    <w:p w14:paraId="7C63C9B1">
      <w:pPr>
        <w:adjustRightInd w:val="0"/>
        <w:snapToGrid w:val="0"/>
        <w:spacing w:line="560" w:lineRule="exact"/>
        <w:ind w:firstLine="600" w:firstLineChars="200"/>
        <w:rPr>
          <w:rFonts w:ascii="仿宋" w:hAnsi="仿宋" w:eastAsia="仿宋_GB2312"/>
          <w:sz w:val="30"/>
          <w:szCs w:val="30"/>
        </w:rPr>
      </w:pPr>
    </w:p>
    <w:p w14:paraId="7A37C27A">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三、股本变动情况（如披露期间无转股，应予以明示，公司应列表说明因可转债本次转股导致的股本变动情况）</w:t>
      </w:r>
    </w:p>
    <w:p w14:paraId="74CBB589">
      <w:pPr>
        <w:adjustRightInd w:val="0"/>
        <w:snapToGrid w:val="0"/>
        <w:spacing w:line="560" w:lineRule="exact"/>
        <w:ind w:firstLine="480" w:firstLineChars="200"/>
        <w:jc w:val="right"/>
        <w:rPr>
          <w:rFonts w:ascii="仿宋" w:hAnsi="仿宋" w:eastAsia="仿宋_GB2312"/>
          <w:sz w:val="24"/>
          <w:szCs w:val="24"/>
        </w:rPr>
      </w:pPr>
      <w:r>
        <w:rPr>
          <w:rFonts w:hint="eastAsia" w:ascii="仿宋" w:hAnsi="仿宋" w:eastAsia="仿宋_GB2312"/>
          <w:sz w:val="24"/>
          <w:szCs w:val="24"/>
        </w:rPr>
        <w:t>单位：股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14:paraId="4312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Align w:val="center"/>
          </w:tcPr>
          <w:p w14:paraId="1FBFE397">
            <w:pPr>
              <w:adjustRightInd w:val="0"/>
              <w:snapToGrid w:val="0"/>
              <w:spacing w:line="56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股份类别</w:t>
            </w:r>
          </w:p>
        </w:tc>
        <w:tc>
          <w:tcPr>
            <w:tcW w:w="2055" w:type="dxa"/>
            <w:vAlign w:val="center"/>
          </w:tcPr>
          <w:p w14:paraId="0E07FFF6">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变动前（</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c>
          <w:tcPr>
            <w:tcW w:w="1888" w:type="dxa"/>
            <w:vAlign w:val="center"/>
          </w:tcPr>
          <w:p w14:paraId="07072A86">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本次可转债转股</w:t>
            </w:r>
          </w:p>
        </w:tc>
        <w:tc>
          <w:tcPr>
            <w:tcW w:w="2131" w:type="dxa"/>
            <w:vAlign w:val="center"/>
          </w:tcPr>
          <w:p w14:paraId="79891EE0">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变动后（</w:t>
            </w:r>
            <w:r>
              <w:rPr>
                <w:rFonts w:hint="eastAsia" w:ascii="仿宋_GB2312" w:hAnsi="仿宋" w:eastAsia="仿宋_GB2312" w:cs="宋体"/>
                <w:kern w:val="0"/>
                <w:sz w:val="24"/>
                <w:szCs w:val="24"/>
              </w:rPr>
              <w:t>XXXX</w:t>
            </w:r>
            <w:r>
              <w:rPr>
                <w:rFonts w:hint="eastAsia" w:ascii="仿宋_GB2312" w:hAnsi="仿宋_GB2312" w:eastAsia="仿宋_GB2312" w:cs="仿宋_GB2312"/>
                <w:kern w:val="0"/>
                <w:sz w:val="24"/>
                <w:szCs w:val="24"/>
              </w:rPr>
              <w:t>年</w:t>
            </w:r>
            <w:r>
              <w:rPr>
                <w:rFonts w:hint="eastAsia" w:ascii="仿宋_GB2312" w:hAnsi="仿宋" w:eastAsia="仿宋_GB2312" w:cs="宋体"/>
                <w:kern w:val="0"/>
                <w:sz w:val="24"/>
                <w:szCs w:val="24"/>
              </w:rPr>
              <w:t>XX</w:t>
            </w:r>
            <w:r>
              <w:rPr>
                <w:rFonts w:hint="eastAsia" w:ascii="仿宋_GB2312" w:hAnsi="仿宋" w:eastAsia="仿宋_GB2312"/>
                <w:kern w:val="0"/>
                <w:sz w:val="24"/>
                <w:szCs w:val="24"/>
              </w:rPr>
              <w:t>月</w:t>
            </w:r>
            <w:r>
              <w:rPr>
                <w:rFonts w:hint="eastAsia" w:ascii="仿宋_GB2312" w:hAnsi="仿宋" w:eastAsia="仿宋_GB2312" w:cs="宋体"/>
                <w:kern w:val="0"/>
                <w:sz w:val="24"/>
                <w:szCs w:val="24"/>
              </w:rPr>
              <w:t>XX</w:t>
            </w:r>
            <w:r>
              <w:rPr>
                <w:rFonts w:hint="eastAsia" w:ascii="仿宋_GB2312" w:hAnsi="仿宋_GB2312" w:eastAsia="仿宋_GB2312" w:cs="仿宋_GB2312"/>
                <w:kern w:val="0"/>
                <w:sz w:val="24"/>
                <w:szCs w:val="24"/>
              </w:rPr>
              <w:t>日）</w:t>
            </w:r>
          </w:p>
        </w:tc>
      </w:tr>
      <w:tr w14:paraId="0C96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F7BC226">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有限售条件流通股</w:t>
            </w:r>
          </w:p>
        </w:tc>
        <w:tc>
          <w:tcPr>
            <w:tcW w:w="2055" w:type="dxa"/>
          </w:tcPr>
          <w:p w14:paraId="010DFB17">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14:paraId="72FFFCFF">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14:paraId="118062B5">
            <w:pPr>
              <w:adjustRightInd w:val="0"/>
              <w:snapToGrid w:val="0"/>
              <w:spacing w:line="560" w:lineRule="exact"/>
              <w:ind w:firstLine="480" w:firstLineChars="200"/>
              <w:jc w:val="center"/>
              <w:rPr>
                <w:rFonts w:ascii="仿宋_GB2312" w:hAnsi="仿宋" w:eastAsia="仿宋_GB2312"/>
                <w:kern w:val="0"/>
                <w:sz w:val="24"/>
                <w:szCs w:val="24"/>
              </w:rPr>
            </w:pPr>
          </w:p>
        </w:tc>
      </w:tr>
      <w:tr w14:paraId="0624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37694383">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无限售条件流通股</w:t>
            </w:r>
          </w:p>
        </w:tc>
        <w:tc>
          <w:tcPr>
            <w:tcW w:w="2055" w:type="dxa"/>
          </w:tcPr>
          <w:p w14:paraId="17987AB8">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14:paraId="2E3194CA">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14:paraId="6FBC6A88">
            <w:pPr>
              <w:adjustRightInd w:val="0"/>
              <w:snapToGrid w:val="0"/>
              <w:spacing w:line="560" w:lineRule="exact"/>
              <w:ind w:firstLine="480" w:firstLineChars="200"/>
              <w:jc w:val="center"/>
              <w:rPr>
                <w:rFonts w:ascii="仿宋_GB2312" w:hAnsi="仿宋" w:eastAsia="仿宋_GB2312"/>
                <w:kern w:val="0"/>
                <w:sz w:val="24"/>
                <w:szCs w:val="24"/>
              </w:rPr>
            </w:pPr>
          </w:p>
        </w:tc>
      </w:tr>
      <w:tr w14:paraId="63B4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8" w:type="dxa"/>
          </w:tcPr>
          <w:p w14:paraId="16CAEF67">
            <w:pPr>
              <w:adjustRightInd w:val="0"/>
              <w:snapToGrid w:val="0"/>
              <w:spacing w:line="560" w:lineRule="exact"/>
              <w:rPr>
                <w:rFonts w:ascii="仿宋_GB2312" w:hAnsi="仿宋" w:eastAsia="仿宋_GB2312"/>
                <w:kern w:val="0"/>
                <w:sz w:val="24"/>
                <w:szCs w:val="24"/>
              </w:rPr>
            </w:pPr>
            <w:r>
              <w:rPr>
                <w:rFonts w:hint="eastAsia" w:ascii="仿宋_GB2312" w:hAnsi="仿宋" w:eastAsia="仿宋_GB2312"/>
                <w:kern w:val="0"/>
                <w:sz w:val="24"/>
                <w:szCs w:val="24"/>
              </w:rPr>
              <w:t>总股本</w:t>
            </w:r>
          </w:p>
        </w:tc>
        <w:tc>
          <w:tcPr>
            <w:tcW w:w="2055" w:type="dxa"/>
          </w:tcPr>
          <w:p w14:paraId="09EA2EE6">
            <w:pPr>
              <w:adjustRightInd w:val="0"/>
              <w:snapToGrid w:val="0"/>
              <w:spacing w:line="560" w:lineRule="exact"/>
              <w:ind w:firstLine="480" w:firstLineChars="200"/>
              <w:jc w:val="center"/>
              <w:rPr>
                <w:rFonts w:ascii="仿宋_GB2312" w:hAnsi="仿宋" w:eastAsia="仿宋_GB2312"/>
                <w:kern w:val="0"/>
                <w:sz w:val="24"/>
                <w:szCs w:val="24"/>
              </w:rPr>
            </w:pPr>
          </w:p>
        </w:tc>
        <w:tc>
          <w:tcPr>
            <w:tcW w:w="1888" w:type="dxa"/>
          </w:tcPr>
          <w:p w14:paraId="3655D6E5">
            <w:pPr>
              <w:adjustRightInd w:val="0"/>
              <w:snapToGrid w:val="0"/>
              <w:spacing w:line="560" w:lineRule="exact"/>
              <w:ind w:firstLine="480" w:firstLineChars="200"/>
              <w:jc w:val="center"/>
              <w:rPr>
                <w:rFonts w:ascii="仿宋_GB2312" w:hAnsi="仿宋" w:eastAsia="仿宋_GB2312"/>
                <w:kern w:val="0"/>
                <w:sz w:val="24"/>
                <w:szCs w:val="24"/>
              </w:rPr>
            </w:pPr>
          </w:p>
        </w:tc>
        <w:tc>
          <w:tcPr>
            <w:tcW w:w="2131" w:type="dxa"/>
          </w:tcPr>
          <w:p w14:paraId="3B6D9125">
            <w:pPr>
              <w:adjustRightInd w:val="0"/>
              <w:snapToGrid w:val="0"/>
              <w:spacing w:line="560" w:lineRule="exact"/>
              <w:ind w:firstLine="480" w:firstLineChars="200"/>
              <w:jc w:val="center"/>
              <w:rPr>
                <w:rFonts w:ascii="仿宋_GB2312" w:hAnsi="仿宋" w:eastAsia="仿宋_GB2312"/>
                <w:kern w:val="0"/>
                <w:sz w:val="24"/>
                <w:szCs w:val="24"/>
              </w:rPr>
            </w:pPr>
          </w:p>
        </w:tc>
      </w:tr>
    </w:tbl>
    <w:p w14:paraId="55566147">
      <w:pPr>
        <w:widowControl/>
        <w:adjustRightInd w:val="0"/>
        <w:snapToGrid w:val="0"/>
        <w:spacing w:line="560" w:lineRule="exact"/>
        <w:ind w:firstLine="480" w:firstLineChars="200"/>
        <w:rPr>
          <w:rFonts w:ascii="楷体" w:hAnsi="楷体" w:eastAsia="楷体"/>
          <w:kern w:val="0"/>
          <w:sz w:val="24"/>
          <w:szCs w:val="24"/>
        </w:rPr>
      </w:pPr>
      <w:r>
        <w:rPr>
          <w:rFonts w:hint="eastAsia" w:ascii="楷体" w:hAnsi="楷体" w:eastAsia="楷体"/>
          <w:kern w:val="0"/>
          <w:sz w:val="24"/>
          <w:szCs w:val="24"/>
        </w:rPr>
        <w:t>（编制提醒：如披露期间存在其他情形导致的股本变动，公司可对列表做相应增加或者添加备注说明。）</w:t>
      </w:r>
    </w:p>
    <w:p w14:paraId="59EC0131">
      <w:pPr>
        <w:widowControl/>
        <w:adjustRightInd w:val="0"/>
        <w:snapToGrid w:val="0"/>
        <w:spacing w:line="560" w:lineRule="exact"/>
        <w:ind w:firstLine="600" w:firstLineChars="200"/>
        <w:rPr>
          <w:rFonts w:ascii="仿宋" w:hAnsi="仿宋" w:eastAsia="仿宋_GB2312" w:cs="宋体"/>
          <w:kern w:val="0"/>
          <w:sz w:val="30"/>
          <w:szCs w:val="30"/>
        </w:rPr>
      </w:pPr>
    </w:p>
    <w:p w14:paraId="4A13D50B">
      <w:pPr>
        <w:widowControl/>
        <w:adjustRightInd w:val="0"/>
        <w:snapToGrid w:val="0"/>
        <w:spacing w:line="560" w:lineRule="exact"/>
        <w:ind w:firstLine="602" w:firstLineChars="200"/>
        <w:rPr>
          <w:rFonts w:ascii="仿宋" w:hAnsi="仿宋" w:eastAsia="仿宋_GB2312"/>
          <w:sz w:val="30"/>
          <w:szCs w:val="30"/>
        </w:rPr>
      </w:pPr>
      <w:r>
        <w:rPr>
          <w:rFonts w:hint="eastAsia" w:ascii="黑体" w:hAnsi="黑体" w:eastAsia="黑体" w:cs="宋体"/>
          <w:b/>
          <w:bCs/>
          <w:kern w:val="0"/>
          <w:sz w:val="30"/>
          <w:szCs w:val="30"/>
        </w:rPr>
        <w:t>四、转股前后公司相关股东持股变化（如适用）</w:t>
      </w:r>
    </w:p>
    <w:p w14:paraId="18A66129">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上市公司股本变动，可能导致公司</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w:t>
      </w:r>
      <w:r>
        <w:rPr>
          <w:rFonts w:hint="eastAsia" w:eastAsia="仿宋_GB2312" w:cs="Times New Roman"/>
          <w:color w:val="000000"/>
          <w:sz w:val="30"/>
          <w:szCs w:val="30"/>
        </w:rPr>
        <w:t>。存在前述情况的，公司应当</w:t>
      </w:r>
      <w:r>
        <w:rPr>
          <w:rFonts w:hint="eastAsia" w:ascii="仿宋" w:hAnsi="仿宋" w:eastAsia="仿宋_GB2312"/>
          <w:bCs/>
          <w:sz w:val="30"/>
          <w:szCs w:val="30"/>
        </w:rPr>
        <w:t>列示转股前后，上述股东及其一致行动人的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3744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4C3742C">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93C0D47">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F73F696">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89657EA">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831DD6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614B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D8FFB4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w:t>
            </w:r>
            <w:bookmarkStart w:id="12" w:name="OLE_LINK1"/>
            <w:r>
              <w:rPr>
                <w:rFonts w:hint="eastAsia" w:ascii="仿宋_GB2312" w:hAnsi="楷体" w:eastAsia="仿宋_GB2312" w:cs="楷体"/>
                <w:szCs w:val="21"/>
              </w:rPr>
              <w:t>合并计算</w:t>
            </w:r>
            <w:bookmarkEnd w:id="12"/>
            <w:r>
              <w:rPr>
                <w:rFonts w:hint="eastAsia" w:ascii="仿宋_GB2312" w:hAnsi="楷体" w:eastAsia="仿宋_GB2312" w:cs="楷体"/>
                <w:szCs w:val="21"/>
              </w:rPr>
              <w:t>）</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DB4346E">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4C5F36D">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A79768D">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52E101D">
            <w:pPr>
              <w:adjustRightInd w:val="0"/>
              <w:snapToGrid w:val="0"/>
              <w:spacing w:line="360" w:lineRule="auto"/>
              <w:jc w:val="center"/>
              <w:rPr>
                <w:rFonts w:ascii="仿宋_GB2312" w:hAnsi="楷体" w:eastAsia="仿宋_GB2312" w:cs="楷体"/>
                <w:szCs w:val="20"/>
              </w:rPr>
            </w:pPr>
          </w:p>
        </w:tc>
      </w:tr>
      <w:tr w14:paraId="2F7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37145B2">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4AC3CAB">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886CFE1">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2511F598">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D3B8449">
            <w:pPr>
              <w:adjustRightInd w:val="0"/>
              <w:snapToGrid w:val="0"/>
              <w:spacing w:line="360" w:lineRule="auto"/>
              <w:jc w:val="center"/>
              <w:rPr>
                <w:rFonts w:ascii="仿宋_GB2312" w:hAnsi="楷体" w:eastAsia="仿宋_GB2312" w:cs="楷体"/>
                <w:szCs w:val="20"/>
              </w:rPr>
            </w:pPr>
          </w:p>
        </w:tc>
      </w:tr>
      <w:tr w14:paraId="0BAB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0EB4C59">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5522D41">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22DC421">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000098FF">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44F83C2">
            <w:pPr>
              <w:adjustRightInd w:val="0"/>
              <w:snapToGrid w:val="0"/>
              <w:spacing w:line="360" w:lineRule="auto"/>
              <w:jc w:val="center"/>
              <w:rPr>
                <w:rFonts w:ascii="仿宋_GB2312" w:hAnsi="楷体" w:eastAsia="仿宋_GB2312" w:cs="楷体"/>
                <w:szCs w:val="20"/>
              </w:rPr>
            </w:pPr>
          </w:p>
        </w:tc>
      </w:tr>
      <w:tr w14:paraId="569E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79B8BAD">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2C822C0">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36FD20F">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6CA8023">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2D2F401">
            <w:pPr>
              <w:adjustRightInd w:val="0"/>
              <w:snapToGrid w:val="0"/>
              <w:spacing w:line="360" w:lineRule="auto"/>
              <w:jc w:val="center"/>
              <w:rPr>
                <w:rFonts w:ascii="仿宋_GB2312" w:hAnsi="楷体" w:eastAsia="仿宋_GB2312" w:cs="楷体"/>
                <w:szCs w:val="20"/>
              </w:rPr>
            </w:pPr>
          </w:p>
        </w:tc>
      </w:tr>
      <w:tr w14:paraId="1DD6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7BC004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D5F8855">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A0611A4">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03C0E15">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54C41676">
            <w:pPr>
              <w:adjustRightInd w:val="0"/>
              <w:snapToGrid w:val="0"/>
              <w:spacing w:line="360" w:lineRule="auto"/>
              <w:jc w:val="center"/>
              <w:rPr>
                <w:rFonts w:ascii="仿宋_GB2312" w:hAnsi="楷体" w:eastAsia="仿宋_GB2312" w:cs="楷体"/>
                <w:szCs w:val="20"/>
              </w:rPr>
            </w:pPr>
          </w:p>
        </w:tc>
      </w:tr>
    </w:tbl>
    <w:p w14:paraId="392C0BFA">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股东如有一致行动人参照股东A进行披露，先合并计算持股列示，后单独列示；股东如无一致行动人参照股东B进行披露</w:t>
      </w:r>
      <w:r>
        <w:rPr>
          <w:rFonts w:hint="eastAsia" w:ascii="仿宋_GB2312" w:hAnsi="宋体" w:eastAsia="仿宋_GB2312" w:cs="宋体"/>
          <w:color w:val="000000"/>
          <w:kern w:val="0"/>
          <w:sz w:val="24"/>
        </w:rPr>
        <w:t>。</w:t>
      </w:r>
    </w:p>
    <w:p w14:paraId="0D4F8A48">
      <w:pPr>
        <w:widowControl/>
        <w:adjustRightInd w:val="0"/>
        <w:snapToGrid w:val="0"/>
        <w:spacing w:line="560" w:lineRule="exact"/>
        <w:jc w:val="left"/>
        <w:rPr>
          <w:rFonts w:ascii="黑体" w:hAnsi="黑体" w:eastAsia="黑体" w:cs="宋体"/>
          <w:b/>
          <w:bCs/>
          <w:kern w:val="0"/>
          <w:sz w:val="30"/>
          <w:szCs w:val="30"/>
        </w:rPr>
      </w:pPr>
    </w:p>
    <w:p w14:paraId="26898BA6">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w:t>
      </w:r>
      <w:r>
        <w:rPr>
          <w:rFonts w:ascii="黑体" w:hAnsi="黑体" w:eastAsia="黑体" w:cs="宋体"/>
          <w:b/>
          <w:bCs/>
          <w:kern w:val="0"/>
          <w:sz w:val="30"/>
          <w:szCs w:val="30"/>
        </w:rPr>
        <w:t>、其他</w:t>
      </w:r>
    </w:p>
    <w:p w14:paraId="7127E130">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14:paraId="2E9440F0">
      <w:pPr>
        <w:widowControl/>
        <w:adjustRightInd w:val="0"/>
        <w:snapToGrid w:val="0"/>
        <w:spacing w:line="560" w:lineRule="exact"/>
        <w:ind w:firstLine="600" w:firstLineChars="200"/>
        <w:jc w:val="left"/>
        <w:rPr>
          <w:rFonts w:ascii="仿宋" w:hAnsi="仿宋" w:eastAsia="仿宋_GB2312" w:cs="宋体"/>
          <w:kern w:val="0"/>
          <w:sz w:val="30"/>
          <w:szCs w:val="30"/>
        </w:rPr>
      </w:pPr>
    </w:p>
    <w:p w14:paraId="6E9FB981">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14:paraId="3AAF2F03">
      <w:pPr>
        <w:adjustRightInd w:val="0"/>
        <w:snapToGrid w:val="0"/>
        <w:spacing w:line="560" w:lineRule="exact"/>
        <w:ind w:firstLine="600" w:firstLineChars="200"/>
        <w:rPr>
          <w:rFonts w:ascii="仿宋" w:hAnsi="仿宋" w:eastAsia="仿宋_GB2312"/>
          <w:sz w:val="30"/>
          <w:szCs w:val="30"/>
        </w:rPr>
      </w:pPr>
    </w:p>
    <w:p w14:paraId="738CA181">
      <w:pPr>
        <w:adjustRightInd w:val="0"/>
        <w:snapToGrid w:val="0"/>
        <w:spacing w:before="156" w:beforeLines="50" w:after="156"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XXXX股份有限公司董事会</w:t>
      </w:r>
    </w:p>
    <w:p w14:paraId="1476FA80">
      <w:pPr>
        <w:adjustRightInd w:val="0"/>
        <w:snapToGrid w:val="0"/>
        <w:spacing w:before="156" w:beforeLines="50" w:after="156" w:afterLines="50" w:line="560" w:lineRule="exact"/>
        <w:ind w:firstLine="600" w:firstLineChars="200"/>
        <w:jc w:val="right"/>
        <w:rPr>
          <w:rFonts w:ascii="仿宋" w:hAnsi="仿宋" w:eastAsia="仿宋_GB2312"/>
          <w:bCs/>
          <w:sz w:val="30"/>
          <w:szCs w:val="30"/>
        </w:rPr>
      </w:pPr>
      <w:r>
        <w:rPr>
          <w:rFonts w:hint="eastAsia" w:ascii="仿宋" w:hAnsi="仿宋" w:eastAsia="仿宋_GB2312"/>
          <w:bCs/>
          <w:sz w:val="30"/>
          <w:szCs w:val="30"/>
        </w:rPr>
        <w:t>年  月  日</w:t>
      </w:r>
    </w:p>
    <w:p w14:paraId="6D457AAF">
      <w:pPr>
        <w:numPr>
          <w:ilvl w:val="0"/>
          <w:numId w:val="3"/>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报备文件</w:t>
      </w:r>
    </w:p>
    <w:p w14:paraId="491D1CC8">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发行人证券登记查询证明</w:t>
      </w:r>
    </w:p>
    <w:p w14:paraId="25B0A754">
      <w:pPr>
        <w:widowControl/>
        <w:jc w:val="left"/>
        <w:rPr>
          <w:rFonts w:ascii="仿宋" w:hAnsi="仿宋" w:eastAsia="仿宋_GB2312"/>
          <w:sz w:val="30"/>
          <w:szCs w:val="30"/>
        </w:rPr>
      </w:pPr>
      <w:r>
        <w:rPr>
          <w:rFonts w:ascii="仿宋" w:hAnsi="仿宋" w:eastAsia="仿宋_GB2312"/>
          <w:sz w:val="30"/>
          <w:szCs w:val="30"/>
        </w:rPr>
        <w:br w:type="page"/>
      </w:r>
    </w:p>
    <w:p w14:paraId="2B9445C2">
      <w:pPr>
        <w:pStyle w:val="4"/>
        <w:rPr>
          <w:sz w:val="32"/>
          <w:szCs w:val="32"/>
        </w:rPr>
      </w:pPr>
      <w:bookmarkStart w:id="13" w:name="_Toc108525205"/>
      <w:bookmarkStart w:id="14" w:name="_Toc50034153"/>
      <w:bookmarkStart w:id="15" w:name="_Toc359483100"/>
      <w:bookmarkStart w:id="16" w:name="_Toc330904171"/>
      <w:bookmarkStart w:id="17" w:name="_Toc340839654"/>
      <w:bookmarkStart w:id="18" w:name="_Toc50034099"/>
      <w:r>
        <w:rPr>
          <w:sz w:val="32"/>
          <w:szCs w:val="32"/>
        </w:rPr>
        <w:t>3.</w:t>
      </w:r>
      <w:r>
        <w:rPr>
          <w:rFonts w:hint="eastAsia"/>
          <w:sz w:val="32"/>
          <w:szCs w:val="32"/>
        </w:rPr>
        <w:t>上市公司可转债预计满足转股价格修正条件的提示性公告</w:t>
      </w:r>
      <w:bookmarkEnd w:id="13"/>
    </w:p>
    <w:p w14:paraId="0F93E878">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00EB3C9E">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在可转债存续期内，上市公司应当持续关注转股价格修正条件是否满足，预计可能满足修正条件的，应当在修正条件满足的5个交易日前按照</w:t>
      </w:r>
      <w:r>
        <w:rPr>
          <w:rFonts w:hint="eastAsia" w:ascii="仿宋" w:hAnsi="仿宋" w:eastAsia="仿宋_GB2312"/>
          <w:sz w:val="30"/>
          <w:szCs w:val="30"/>
        </w:rPr>
        <w:t>本公告格式</w:t>
      </w:r>
      <w:r>
        <w:rPr>
          <w:rFonts w:hint="eastAsia" w:ascii="仿宋_GB2312" w:hAnsi="仿宋_GB2312" w:eastAsia="仿宋_GB2312" w:cs="仿宋_GB2312"/>
          <w:sz w:val="30"/>
          <w:szCs w:val="30"/>
        </w:rPr>
        <w:t>披露提示性公告。</w:t>
      </w:r>
    </w:p>
    <w:p w14:paraId="786F6A19">
      <w:pPr>
        <w:adjustRightInd w:val="0"/>
        <w:snapToGrid w:val="0"/>
        <w:spacing w:line="560" w:lineRule="exact"/>
        <w:ind w:firstLine="600" w:firstLineChars="200"/>
        <w:rPr>
          <w:rFonts w:ascii="仿宋" w:hAnsi="仿宋" w:eastAsia="仿宋_GB2312"/>
          <w:sz w:val="30"/>
          <w:szCs w:val="30"/>
        </w:rPr>
      </w:pPr>
    </w:p>
    <w:p w14:paraId="7F40CD9E">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12448AAF">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4DECFC83">
      <w:pPr>
        <w:adjustRightInd w:val="0"/>
        <w:snapToGrid w:val="0"/>
        <w:spacing w:line="560" w:lineRule="exact"/>
        <w:ind w:firstLine="600" w:firstLineChars="200"/>
        <w:jc w:val="left"/>
        <w:rPr>
          <w:rFonts w:ascii="仿宋" w:hAnsi="仿宋" w:eastAsia="仿宋_GB2312"/>
          <w:sz w:val="30"/>
          <w:szCs w:val="30"/>
        </w:rPr>
      </w:pPr>
    </w:p>
    <w:p w14:paraId="715CF530">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XXXX股份有限公司关于“XX转债”预计满足转股价格修正条件的提示性公告</w:t>
      </w:r>
    </w:p>
    <w:p w14:paraId="19C1561C">
      <w:pPr>
        <w:adjustRightInd w:val="0"/>
        <w:snapToGrid w:val="0"/>
        <w:spacing w:before="156" w:beforeLines="50" w:line="560" w:lineRule="exact"/>
        <w:jc w:val="center"/>
        <w:rPr>
          <w:rFonts w:ascii="仿宋" w:hAnsi="仿宋" w:eastAsia="仿宋_GB2312"/>
          <w:bCs/>
          <w:color w:val="000000"/>
          <w:sz w:val="30"/>
          <w:szCs w:val="30"/>
        </w:rPr>
      </w:pPr>
    </w:p>
    <w:p w14:paraId="5E673F17">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2EA458B7">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54818644">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62AE94A6">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1445E499">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30B68827">
      <w:pPr>
        <w:autoSpaceDE w:val="0"/>
        <w:autoSpaceDN w:val="0"/>
        <w:adjustRightInd w:val="0"/>
        <w:snapToGrid w:val="0"/>
        <w:spacing w:line="560" w:lineRule="exact"/>
        <w:ind w:firstLine="600" w:firstLineChars="200"/>
        <w:rPr>
          <w:rFonts w:ascii="仿宋" w:hAnsi="仿宋" w:eastAsia="仿宋_GB2312"/>
          <w:sz w:val="30"/>
          <w:szCs w:val="30"/>
        </w:rPr>
      </w:pPr>
    </w:p>
    <w:p w14:paraId="2160CB79">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二、可转债转股价格修正条款与可能触发情况</w:t>
      </w:r>
    </w:p>
    <w:p w14:paraId="559A1378">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（一）转股价格修正条款</w:t>
      </w:r>
    </w:p>
    <w:p w14:paraId="56B533F9">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w:t>
      </w:r>
      <w:r>
        <w:rPr>
          <w:rFonts w:hint="eastAsia" w:ascii="仿宋_GB2312" w:eastAsia="仿宋_GB2312" w:cs="仿宋_GB2312"/>
          <w:sz w:val="30"/>
          <w:szCs w:val="30"/>
        </w:rPr>
        <w:t>转股价格修正条款</w:t>
      </w:r>
      <w:r>
        <w:rPr>
          <w:rFonts w:hint="eastAsia" w:ascii="仿宋" w:hAnsi="仿宋" w:eastAsia="仿宋_GB2312"/>
          <w:sz w:val="30"/>
          <w:szCs w:val="30"/>
        </w:rPr>
        <w:t>。</w:t>
      </w:r>
    </w:p>
    <w:p w14:paraId="73E7A999">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（二）转股价格修正条款预计触发情况</w:t>
      </w:r>
    </w:p>
    <w:p w14:paraId="3897C678">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w:t>
      </w:r>
      <w:r>
        <w:rPr>
          <w:rFonts w:hint="eastAsia" w:ascii="仿宋_GB2312" w:hAnsi="Times New Roman" w:eastAsia="仿宋_GB2312" w:cs="仿宋_GB2312"/>
          <w:kern w:val="2"/>
          <w:sz w:val="30"/>
          <w:szCs w:val="30"/>
        </w:rPr>
        <w:t>转股价格修正</w:t>
      </w:r>
      <w:r>
        <w:rPr>
          <w:rFonts w:hint="eastAsia" w:ascii="仿宋" w:hAnsi="仿宋" w:eastAsia="仿宋_GB2312"/>
          <w:sz w:val="30"/>
          <w:szCs w:val="30"/>
        </w:rPr>
        <w:t>条款的</w:t>
      </w:r>
      <w:r>
        <w:rPr>
          <w:rFonts w:hint="eastAsia" w:ascii="仿宋_GB2312" w:hAnsi="Times New Roman" w:eastAsia="仿宋_GB2312" w:cs="仿宋_GB2312"/>
          <w:kern w:val="2"/>
          <w:sz w:val="30"/>
          <w:szCs w:val="30"/>
        </w:rPr>
        <w:t>当前触发进度，并提示若未来</w:t>
      </w:r>
      <w:r>
        <w:rPr>
          <w:rFonts w:hint="eastAsia" w:ascii="仿宋" w:hAnsi="仿宋" w:eastAsia="仿宋_GB2312"/>
          <w:sz w:val="30"/>
          <w:szCs w:val="30"/>
        </w:rPr>
        <w:t>XX个交易日内有</w:t>
      </w:r>
      <w:r>
        <w:rPr>
          <w:rFonts w:hint="eastAsia" w:ascii="仿宋_GB2312" w:hAnsi="Times New Roman" w:eastAsia="仿宋_GB2312" w:cs="仿宋_GB2312"/>
          <w:kern w:val="2"/>
          <w:sz w:val="30"/>
          <w:szCs w:val="30"/>
        </w:rPr>
        <w:t>五个交易日公司股票价格继续满足相关条件的，将可能触发“</w:t>
      </w:r>
      <w:r>
        <w:rPr>
          <w:rFonts w:hint="eastAsia" w:ascii="仿宋" w:hAnsi="仿宋" w:eastAsia="仿宋_GB2312"/>
          <w:sz w:val="30"/>
          <w:szCs w:val="30"/>
        </w:rPr>
        <w:t>XX</w:t>
      </w:r>
      <w:r>
        <w:rPr>
          <w:rFonts w:hint="eastAsia" w:ascii="仿宋_GB2312" w:hAnsi="Times New Roman" w:eastAsia="仿宋_GB2312" w:cs="仿宋_GB2312"/>
          <w:kern w:val="2"/>
          <w:sz w:val="30"/>
          <w:szCs w:val="30"/>
        </w:rPr>
        <w:t>转债”的转股价格修正条款。</w:t>
      </w:r>
    </w:p>
    <w:p w14:paraId="77459D4A">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14:paraId="666C86FB">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三、风险提示</w:t>
      </w:r>
    </w:p>
    <w:p w14:paraId="32A0A64B">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公司将根据本公司《可转换公司债券募集说明书》的约定和相关法律法规要求，于触发“XX转债”的</w:t>
      </w:r>
      <w:r>
        <w:rPr>
          <w:rFonts w:hint="eastAsia" w:ascii="仿宋_GB2312" w:hAnsi="Times New Roman" w:eastAsia="仿宋_GB2312" w:cs="仿宋_GB2312"/>
          <w:kern w:val="2"/>
          <w:sz w:val="30"/>
          <w:szCs w:val="30"/>
        </w:rPr>
        <w:t>转股价格修正条件</w:t>
      </w:r>
      <w:r>
        <w:rPr>
          <w:rFonts w:hint="eastAsia" w:ascii="仿宋" w:hAnsi="仿宋" w:eastAsia="仿宋_GB2312"/>
          <w:sz w:val="30"/>
          <w:szCs w:val="30"/>
        </w:rPr>
        <w:t>后确定本次是否修正转股价格，并及时履行信息披露义务。</w:t>
      </w:r>
    </w:p>
    <w:p w14:paraId="4BCAF4B9">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敬请广大投资者关注公司后续公告，注意投资风险。</w:t>
      </w:r>
    </w:p>
    <w:p w14:paraId="1324D86B">
      <w:pPr>
        <w:adjustRightInd w:val="0"/>
        <w:snapToGrid w:val="0"/>
        <w:spacing w:line="560" w:lineRule="exact"/>
        <w:ind w:firstLine="600" w:firstLineChars="200"/>
        <w:rPr>
          <w:rFonts w:ascii="仿宋" w:hAnsi="仿宋" w:eastAsia="仿宋_GB2312"/>
          <w:sz w:val="30"/>
          <w:szCs w:val="30"/>
        </w:rPr>
      </w:pPr>
    </w:p>
    <w:p w14:paraId="2A1B30B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6C4A0C43">
      <w:pPr>
        <w:adjustRightInd w:val="0"/>
        <w:snapToGrid w:val="0"/>
        <w:spacing w:line="560" w:lineRule="exact"/>
        <w:ind w:firstLine="600" w:firstLineChars="200"/>
        <w:rPr>
          <w:rFonts w:ascii="仿宋" w:hAnsi="仿宋" w:eastAsia="仿宋_GB2312"/>
          <w:sz w:val="30"/>
          <w:szCs w:val="30"/>
        </w:rPr>
      </w:pPr>
    </w:p>
    <w:p w14:paraId="21C5FFDA">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12F4DBC4">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2545B141">
      <w:pPr>
        <w:pStyle w:val="15"/>
        <w:shd w:val="clear" w:color="auto" w:fill="FFFFFF"/>
        <w:spacing w:before="0" w:beforeAutospacing="0" w:after="0" w:afterAutospacing="0"/>
        <w:ind w:firstLine="536"/>
        <w:rPr>
          <w:rFonts w:ascii="仿宋" w:hAnsi="仿宋" w:eastAsia="仿宋_GB2312"/>
          <w:sz w:val="30"/>
          <w:szCs w:val="30"/>
        </w:rPr>
      </w:pPr>
    </w:p>
    <w:p w14:paraId="47720D3D">
      <w:pPr>
        <w:widowControl/>
        <w:jc w:val="left"/>
        <w:rPr>
          <w:rFonts w:ascii="仿宋_GB2312" w:hAnsi="Times New Roman" w:eastAsia="仿宋_GB2312" w:cs="仿宋_GB2312"/>
          <w:b/>
          <w:kern w:val="0"/>
          <w:sz w:val="30"/>
          <w:szCs w:val="30"/>
        </w:rPr>
      </w:pPr>
      <w:r>
        <w:rPr>
          <w:rFonts w:ascii="仿宋_GB2312" w:hAnsi="Times New Roman" w:eastAsia="仿宋_GB2312" w:cs="仿宋_GB2312"/>
          <w:b/>
          <w:kern w:val="0"/>
          <w:sz w:val="30"/>
          <w:szCs w:val="30"/>
        </w:rPr>
        <w:br w:type="page"/>
      </w:r>
    </w:p>
    <w:p w14:paraId="14111A49">
      <w:pPr>
        <w:pStyle w:val="4"/>
        <w:rPr>
          <w:sz w:val="32"/>
          <w:szCs w:val="32"/>
        </w:rPr>
      </w:pPr>
      <w:bookmarkStart w:id="19" w:name="_Toc108525206"/>
      <w:r>
        <w:rPr>
          <w:sz w:val="32"/>
          <w:szCs w:val="32"/>
        </w:rPr>
        <w:t>4.</w:t>
      </w:r>
      <w:r>
        <w:rPr>
          <w:rFonts w:hint="eastAsia"/>
          <w:sz w:val="32"/>
          <w:szCs w:val="32"/>
        </w:rPr>
        <w:t>上市公司可转债转股价格调整/修正公告</w:t>
      </w:r>
      <w:bookmarkEnd w:id="14"/>
      <w:bookmarkEnd w:id="15"/>
      <w:bookmarkEnd w:id="19"/>
    </w:p>
    <w:p w14:paraId="2363FAA9">
      <w:pPr>
        <w:adjustRightInd w:val="0"/>
        <w:snapToGrid w:val="0"/>
        <w:spacing w:line="560" w:lineRule="exact"/>
        <w:rPr>
          <w:rFonts w:ascii="仿宋" w:hAnsi="仿宋" w:eastAsia="仿宋_GB2312" w:cs="宋体"/>
          <w:b/>
          <w:kern w:val="0"/>
          <w:sz w:val="30"/>
          <w:szCs w:val="30"/>
        </w:rPr>
      </w:pPr>
      <w:r>
        <w:rPr>
          <w:rFonts w:hint="eastAsia" w:ascii="仿宋" w:hAnsi="仿宋" w:eastAsia="仿宋_GB2312" w:cs="宋体"/>
          <w:b/>
          <w:kern w:val="0"/>
          <w:sz w:val="30"/>
          <w:szCs w:val="30"/>
        </w:rPr>
        <w:t>适用情形：</w:t>
      </w:r>
    </w:p>
    <w:p w14:paraId="7A6159AA">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上市公司因配股/增发/利润分配/其他原因需及时调整可转债转股价格时，适用本公告格式。</w:t>
      </w:r>
    </w:p>
    <w:p w14:paraId="5661ED2A">
      <w:pP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上市公司董事会决定按照修正条款调整转股价格的，适用本公告格式。</w:t>
      </w:r>
      <w:r>
        <w:rPr>
          <w:rFonts w:hint="eastAsia" w:ascii="仿宋_GB2312" w:hAnsi="仿宋_GB2312" w:eastAsia="仿宋_GB2312" w:cs="仿宋_GB2312"/>
          <w:sz w:val="30"/>
          <w:szCs w:val="30"/>
        </w:rPr>
        <w:t>董事会决定不修正转股价格的，下一触发转股价格修正条件的期间从本次触发修正条件的次一交易日重新起算。</w:t>
      </w:r>
    </w:p>
    <w:p w14:paraId="75ACE600">
      <w:pPr>
        <w:adjustRightInd w:val="0"/>
        <w:snapToGrid w:val="0"/>
        <w:spacing w:line="560" w:lineRule="exact"/>
        <w:ind w:left="360" w:firstLine="600" w:firstLineChars="200"/>
        <w:rPr>
          <w:rFonts w:ascii="仿宋" w:hAnsi="仿宋" w:eastAsia="仿宋_GB2312" w:cs="宋体"/>
          <w:kern w:val="0"/>
          <w:sz w:val="30"/>
          <w:szCs w:val="30"/>
        </w:rPr>
      </w:pPr>
    </w:p>
    <w:p w14:paraId="692703D2">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06377D43">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1D80C5AB">
      <w:pPr>
        <w:adjustRightInd w:val="0"/>
        <w:snapToGrid w:val="0"/>
        <w:spacing w:line="560" w:lineRule="exact"/>
        <w:ind w:left="360" w:firstLine="600" w:firstLineChars="200"/>
        <w:jc w:val="center"/>
        <w:rPr>
          <w:rFonts w:ascii="仿宋" w:hAnsi="仿宋" w:eastAsia="仿宋_GB2312" w:cs="宋体"/>
          <w:kern w:val="0"/>
          <w:sz w:val="30"/>
          <w:szCs w:val="30"/>
        </w:rPr>
      </w:pPr>
    </w:p>
    <w:p w14:paraId="1D3D7DB0">
      <w:pPr>
        <w:adjustRightInd w:val="0"/>
        <w:snapToGrid w:val="0"/>
        <w:spacing w:line="560" w:lineRule="exact"/>
        <w:ind w:firstLine="600" w:firstLineChars="200"/>
        <w:jc w:val="center"/>
        <w:rPr>
          <w:rFonts w:ascii="仿宋" w:hAnsi="仿宋" w:eastAsia="仿宋_GB2312"/>
          <w:sz w:val="30"/>
          <w:szCs w:val="30"/>
        </w:rPr>
      </w:pPr>
      <w:r>
        <w:rPr>
          <w:rFonts w:hint="eastAsia" w:ascii="仿宋" w:hAnsi="仿宋" w:eastAsia="仿宋_GB2312" w:cs="宋体"/>
          <w:kern w:val="0"/>
          <w:sz w:val="30"/>
          <w:szCs w:val="30"/>
        </w:rPr>
        <w:t>XXXX股份有限公司关于因配股/增发/利润分配/股权激励调整可转债转股价格/按照修正条款修正可转债转股价格的公告</w:t>
      </w:r>
    </w:p>
    <w:p w14:paraId="7C85CADC">
      <w:pPr>
        <w:adjustRightInd w:val="0"/>
        <w:snapToGrid w:val="0"/>
        <w:spacing w:line="560" w:lineRule="exact"/>
        <w:jc w:val="center"/>
        <w:rPr>
          <w:rFonts w:ascii="仿宋" w:hAnsi="仿宋" w:eastAsia="仿宋_GB2312" w:cs="宋体"/>
          <w:kern w:val="0"/>
          <w:sz w:val="30"/>
          <w:szCs w:val="30"/>
        </w:rPr>
      </w:pPr>
    </w:p>
    <w:p w14:paraId="42113AF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本公司董事会及全体董事保证本公告内容不存在任何虚假记载、误导性陈述或者重大遗漏，并对其内容的真实性、准确性和完整性承担法律责任。</w:t>
      </w:r>
    </w:p>
    <w:p w14:paraId="6FD542CB">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14:paraId="19884AA5">
      <w:pPr>
        <w:adjustRightInd w:val="0"/>
        <w:snapToGrid w:val="0"/>
        <w:spacing w:before="156" w:beforeLines="50" w:line="560" w:lineRule="exact"/>
        <w:ind w:firstLine="600" w:firstLineChars="200"/>
        <w:rPr>
          <w:rFonts w:ascii="仿宋" w:hAnsi="仿宋" w:eastAsia="仿宋_GB2312" w:cs="宋体"/>
          <w:kern w:val="0"/>
          <w:sz w:val="30"/>
          <w:szCs w:val="30"/>
        </w:rPr>
      </w:pPr>
    </w:p>
    <w:p w14:paraId="0568CE1F">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0B10F26F">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调整/修正前转股价格：XX元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14:paraId="56EAF45C">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调整/修正后转股价格：XX元</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股</w:t>
      </w:r>
      <w:r>
        <w:rPr>
          <w:rFonts w:ascii="仿宋" w:hAnsi="仿宋" w:eastAsia="仿宋_GB2312" w:cs="宋体"/>
          <w:color w:val="000000"/>
          <w:kern w:val="0"/>
          <w:sz w:val="30"/>
          <w:szCs w:val="30"/>
        </w:rPr>
        <w:t xml:space="preserve"> </w:t>
      </w:r>
    </w:p>
    <w:p w14:paraId="558E5C7F">
      <w:pPr>
        <w:numPr>
          <w:ilvl w:val="0"/>
          <w:numId w:val="4"/>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XX转债本次转股价格调整/修正实施日期：XXXX年XX月XX日</w:t>
      </w:r>
      <w:r>
        <w:rPr>
          <w:rFonts w:ascii="仿宋" w:hAnsi="仿宋" w:eastAsia="仿宋_GB2312" w:cs="宋体"/>
          <w:color w:val="000000"/>
          <w:kern w:val="0"/>
          <w:sz w:val="30"/>
          <w:szCs w:val="30"/>
        </w:rPr>
        <w:t xml:space="preserve"> </w:t>
      </w:r>
    </w:p>
    <w:p w14:paraId="176F5CCA">
      <w:pPr>
        <w:adjustRightInd w:val="0"/>
        <w:snapToGrid w:val="0"/>
        <w:spacing w:line="560" w:lineRule="exact"/>
        <w:ind w:firstLine="600" w:firstLineChars="200"/>
        <w:rPr>
          <w:rFonts w:ascii="仿宋" w:hAnsi="仿宋" w:eastAsia="仿宋_GB2312" w:cs="宋体"/>
          <w:kern w:val="0"/>
          <w:sz w:val="30"/>
          <w:szCs w:val="30"/>
        </w:rPr>
      </w:pPr>
    </w:p>
    <w:p w14:paraId="1CE15F3D">
      <w:pPr>
        <w:pStyle w:val="30"/>
        <w:snapToGrid w:val="0"/>
        <w:spacing w:line="560" w:lineRule="exact"/>
        <w:ind w:firstLine="602" w:firstLineChars="200"/>
        <w:rPr>
          <w:rFonts w:ascii="黑体" w:hAnsi="黑体" w:eastAsia="黑体"/>
          <w:b/>
          <w:color w:val="auto"/>
          <w:sz w:val="30"/>
          <w:szCs w:val="30"/>
        </w:rPr>
      </w:pPr>
      <w:r>
        <w:rPr>
          <w:rFonts w:hint="eastAsia" w:ascii="黑体" w:hAnsi="黑体" w:eastAsia="黑体"/>
          <w:b/>
          <w:color w:val="auto"/>
          <w:sz w:val="30"/>
          <w:szCs w:val="30"/>
        </w:rPr>
        <w:t>一、转股价格调整/修正依据</w:t>
      </w:r>
    </w:p>
    <w:p w14:paraId="60F33551">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（一）简要说明公司因股本变化、利润分配或触发修正条款等原因导致公司需对可转债转股价格进行调整/修正的情形。</w:t>
      </w:r>
    </w:p>
    <w:p w14:paraId="68D5ABDF">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上市公司实施配股、增发、利润分配等方案的具体内容、实施时间，由此导致可转债转股价格的调整是否符合公司《可转换公司债券募集说明书》的规定。</w:t>
      </w:r>
    </w:p>
    <w:p w14:paraId="2B5AACD8">
      <w:pPr>
        <w:pStyle w:val="30"/>
        <w:snapToGrid w:val="0"/>
        <w:spacing w:line="560" w:lineRule="exact"/>
        <w:ind w:firstLine="480" w:firstLineChars="200"/>
        <w:rPr>
          <w:rFonts w:ascii="楷体" w:hAnsi="楷体" w:eastAsia="楷体"/>
          <w:color w:val="auto"/>
        </w:rPr>
      </w:pPr>
      <w:r>
        <w:rPr>
          <w:rFonts w:hint="eastAsia" w:ascii="楷体" w:hAnsi="楷体" w:eastAsia="楷体"/>
          <w:color w:val="auto"/>
        </w:rPr>
        <w:t>（编制提醒：公司按照修正条款向下调整转股价格，修正后的转股价格应符合《上市公司证券发行注册管理办法》《关于规范国有企业改制工作意见的通知》相关规定。）</w:t>
      </w:r>
    </w:p>
    <w:p w14:paraId="41D5C7A7">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（二）简要说明按照修正条款修正转股价格的股东会召开时间、议案的主要内容等（如适用）。</w:t>
      </w:r>
    </w:p>
    <w:p w14:paraId="6AD4761A">
      <w:pPr>
        <w:pStyle w:val="30"/>
        <w:snapToGrid w:val="0"/>
        <w:spacing w:line="560" w:lineRule="exact"/>
        <w:ind w:firstLine="600" w:firstLineChars="200"/>
        <w:rPr>
          <w:rFonts w:ascii="仿宋" w:hAnsi="仿宋" w:eastAsia="仿宋_GB2312"/>
          <w:color w:val="auto"/>
          <w:sz w:val="30"/>
          <w:szCs w:val="30"/>
        </w:rPr>
      </w:pPr>
    </w:p>
    <w:p w14:paraId="24FC25AD">
      <w:pPr>
        <w:pStyle w:val="30"/>
        <w:snapToGrid w:val="0"/>
        <w:spacing w:line="560" w:lineRule="exact"/>
        <w:ind w:firstLine="602" w:firstLineChars="200"/>
        <w:rPr>
          <w:rFonts w:ascii="黑体" w:hAnsi="黑体" w:eastAsia="黑体"/>
          <w:b/>
          <w:color w:val="auto"/>
          <w:sz w:val="30"/>
          <w:szCs w:val="30"/>
        </w:rPr>
      </w:pPr>
      <w:r>
        <w:rPr>
          <w:rFonts w:hint="eastAsia" w:ascii="黑体" w:hAnsi="黑体" w:eastAsia="黑体"/>
          <w:b/>
          <w:color w:val="auto"/>
          <w:sz w:val="30"/>
          <w:szCs w:val="30"/>
        </w:rPr>
        <w:t>二、转股价格调整/修正公式与调整/修正结果</w:t>
      </w:r>
    </w:p>
    <w:p w14:paraId="6A65BC7E">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简要说明公司可转债价格调整/修正的有关规定、转股价格调整/修正公式。</w:t>
      </w:r>
    </w:p>
    <w:p w14:paraId="5FEFFC46">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说明“XX转债”转股价格调整/修正时间、调整/修正前价格、调整/修正后价格，以及“XX转债”停止转股时间、恢复转股时间。</w:t>
      </w:r>
    </w:p>
    <w:p w14:paraId="24BD6326">
      <w:pPr>
        <w:pStyle w:val="30"/>
        <w:snapToGrid w:val="0"/>
        <w:spacing w:line="560" w:lineRule="exact"/>
        <w:ind w:firstLine="600" w:firstLineChars="200"/>
        <w:rPr>
          <w:rFonts w:ascii="仿宋" w:hAnsi="仿宋" w:eastAsia="仿宋_GB2312"/>
          <w:color w:val="auto"/>
          <w:sz w:val="30"/>
          <w:szCs w:val="30"/>
        </w:rPr>
      </w:pPr>
    </w:p>
    <w:p w14:paraId="24308483">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特此公告。</w:t>
      </w:r>
      <w:r>
        <w:rPr>
          <w:rFonts w:ascii="仿宋" w:hAnsi="仿宋" w:eastAsia="仿宋_GB2312"/>
          <w:color w:val="auto"/>
          <w:sz w:val="30"/>
          <w:szCs w:val="30"/>
        </w:rPr>
        <w:t xml:space="preserve"> </w:t>
      </w:r>
    </w:p>
    <w:p w14:paraId="65ADD93F">
      <w:pPr>
        <w:pStyle w:val="30"/>
        <w:snapToGrid w:val="0"/>
        <w:spacing w:line="560" w:lineRule="exact"/>
        <w:ind w:firstLine="600" w:firstLineChars="200"/>
        <w:rPr>
          <w:rFonts w:ascii="仿宋" w:hAnsi="仿宋" w:eastAsia="仿宋_GB2312"/>
          <w:color w:val="auto"/>
          <w:sz w:val="30"/>
          <w:szCs w:val="30"/>
        </w:rPr>
      </w:pPr>
      <w:r>
        <w:rPr>
          <w:rFonts w:hint="eastAsia" w:ascii="仿宋" w:hAnsi="仿宋" w:eastAsia="仿宋_GB2312"/>
          <w:color w:val="auto"/>
          <w:sz w:val="30"/>
          <w:szCs w:val="30"/>
        </w:rPr>
        <w:t xml:space="preserve">   </w:t>
      </w:r>
    </w:p>
    <w:p w14:paraId="61F24D60">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sz w:val="30"/>
          <w:szCs w:val="30"/>
        </w:rPr>
        <w:t xml:space="preserve">                          </w:t>
      </w:r>
      <w:r>
        <w:rPr>
          <w:rFonts w:ascii="仿宋" w:hAnsi="仿宋" w:eastAsia="仿宋_GB2312"/>
          <w:color w:val="000000"/>
          <w:sz w:val="30"/>
          <w:szCs w:val="30"/>
        </w:rPr>
        <w:t>XXXX</w:t>
      </w:r>
      <w:r>
        <w:rPr>
          <w:rFonts w:hint="eastAsia" w:ascii="仿宋" w:hAnsi="仿宋" w:eastAsia="仿宋_GB2312"/>
          <w:color w:val="000000"/>
          <w:sz w:val="30"/>
          <w:szCs w:val="30"/>
        </w:rPr>
        <w:t>股份有限公司董事会</w:t>
      </w:r>
    </w:p>
    <w:p w14:paraId="678D6FA4">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49F79232">
      <w:pPr>
        <w:adjustRightInd w:val="0"/>
        <w:snapToGrid w:val="0"/>
        <w:spacing w:line="560" w:lineRule="exact"/>
        <w:ind w:firstLine="600" w:firstLineChars="200"/>
        <w:jc w:val="right"/>
        <w:rPr>
          <w:rFonts w:ascii="仿宋" w:hAnsi="仿宋" w:eastAsia="仿宋_GB2312"/>
          <w:color w:val="000000"/>
          <w:sz w:val="30"/>
          <w:szCs w:val="30"/>
        </w:rPr>
      </w:pPr>
    </w:p>
    <w:p w14:paraId="13759636">
      <w:pPr>
        <w:pStyle w:val="30"/>
        <w:snapToGrid w:val="0"/>
        <w:spacing w:line="560" w:lineRule="exact"/>
        <w:ind w:firstLine="600" w:firstLineChars="200"/>
        <w:jc w:val="right"/>
        <w:rPr>
          <w:rFonts w:ascii="仿宋" w:hAnsi="仿宋" w:eastAsia="仿宋_GB2312"/>
          <w:color w:val="auto"/>
          <w:sz w:val="30"/>
          <w:szCs w:val="30"/>
        </w:rPr>
      </w:pPr>
    </w:p>
    <w:p w14:paraId="275E5A3D">
      <w:pPr>
        <w:pStyle w:val="4"/>
        <w:rPr>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20" w:name="_Toc340839650"/>
      <w:bookmarkStart w:id="21" w:name="_Toc330904166"/>
      <w:bookmarkStart w:id="22" w:name="_Toc50034096"/>
    </w:p>
    <w:p w14:paraId="3B553444">
      <w:pPr>
        <w:pStyle w:val="4"/>
        <w:rPr>
          <w:sz w:val="32"/>
          <w:szCs w:val="32"/>
        </w:rPr>
      </w:pPr>
      <w:bookmarkStart w:id="23" w:name="_Toc108525207"/>
      <w:r>
        <w:rPr>
          <w:sz w:val="32"/>
          <w:szCs w:val="32"/>
        </w:rPr>
        <w:t>5.</w:t>
      </w:r>
      <w:r>
        <w:rPr>
          <w:rFonts w:hint="eastAsia"/>
          <w:sz w:val="32"/>
          <w:szCs w:val="32"/>
        </w:rPr>
        <w:t>上市公司实施权益分派时停止转股的</w:t>
      </w:r>
      <w:bookmarkEnd w:id="20"/>
      <w:bookmarkEnd w:id="21"/>
      <w:bookmarkStart w:id="24" w:name="_Toc331057534"/>
      <w:bookmarkStart w:id="25" w:name="_Toc334084179"/>
      <w:bookmarkStart w:id="26" w:name="_Toc340839651"/>
      <w:bookmarkStart w:id="27" w:name="_Toc330905983"/>
      <w:bookmarkStart w:id="28" w:name="_Toc334107199"/>
      <w:bookmarkStart w:id="29" w:name="_Toc331058477"/>
      <w:bookmarkStart w:id="30" w:name="_Toc330904167"/>
      <w:bookmarkStart w:id="31" w:name="_Toc333326977"/>
      <w:r>
        <w:rPr>
          <w:rFonts w:hint="eastAsia"/>
          <w:sz w:val="32"/>
          <w:szCs w:val="32"/>
        </w:rPr>
        <w:t>提示性公告</w:t>
      </w:r>
      <w:bookmarkEnd w:id="22"/>
      <w:bookmarkEnd w:id="23"/>
      <w:bookmarkEnd w:id="24"/>
      <w:bookmarkEnd w:id="25"/>
      <w:bookmarkEnd w:id="26"/>
      <w:bookmarkEnd w:id="27"/>
      <w:bookmarkEnd w:id="28"/>
      <w:bookmarkEnd w:id="29"/>
      <w:bookmarkEnd w:id="30"/>
      <w:bookmarkEnd w:id="31"/>
    </w:p>
    <w:p w14:paraId="0C1A8E13">
      <w:pPr>
        <w:autoSpaceDE w:val="0"/>
        <w:autoSpaceDN w:val="0"/>
        <w:adjustRightInd w:val="0"/>
        <w:snapToGrid w:val="0"/>
        <w:spacing w:line="560" w:lineRule="exact"/>
        <w:jc w:val="left"/>
        <w:rPr>
          <w:rFonts w:ascii="仿宋" w:hAnsi="仿宋" w:eastAsia="仿宋_GB2312" w:cs="宋体"/>
          <w:b/>
          <w:bCs/>
          <w:kern w:val="0"/>
          <w:sz w:val="30"/>
          <w:szCs w:val="30"/>
        </w:rPr>
      </w:pPr>
      <w:r>
        <w:rPr>
          <w:rFonts w:hint="eastAsia" w:ascii="仿宋" w:hAnsi="仿宋" w:eastAsia="仿宋_GB2312" w:cs="宋体"/>
          <w:b/>
          <w:bCs/>
          <w:kern w:val="0"/>
          <w:sz w:val="30"/>
          <w:szCs w:val="30"/>
        </w:rPr>
        <w:t>适用情形：</w:t>
      </w:r>
    </w:p>
    <w:p w14:paraId="3DD528C9">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r>
        <w:rPr>
          <w:rFonts w:hint="eastAsia" w:ascii="仿宋" w:hAnsi="仿宋" w:eastAsia="仿宋_GB2312"/>
          <w:sz w:val="30"/>
          <w:szCs w:val="30"/>
        </w:rPr>
        <w:t>上市公司发行的可转债进入转股期的，实施权益分派时须先披露本提示性公告，再披露权益分派实施公告，以保证权益分派实施期间，上市公司股本保持不变，每股权益分派比例不变。</w:t>
      </w:r>
    </w:p>
    <w:p w14:paraId="31EBCE80">
      <w:pPr>
        <w:widowControl/>
        <w:adjustRightInd w:val="0"/>
        <w:snapToGrid w:val="0"/>
        <w:spacing w:line="560" w:lineRule="exact"/>
        <w:ind w:firstLine="600" w:firstLineChars="200"/>
        <w:jc w:val="left"/>
        <w:rPr>
          <w:rFonts w:ascii="仿宋" w:hAnsi="仿宋" w:eastAsia="仿宋_GB2312" w:cs="Arial"/>
          <w:color w:val="000000"/>
          <w:kern w:val="0"/>
          <w:sz w:val="30"/>
          <w:szCs w:val="30"/>
        </w:rPr>
      </w:pPr>
    </w:p>
    <w:p w14:paraId="6DE22F54">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宋体"/>
          <w:color w:val="000000"/>
          <w:kern w:val="0"/>
          <w:sz w:val="30"/>
          <w:szCs w:val="30"/>
        </w:rPr>
        <w:t>证券</w:t>
      </w:r>
      <w:r>
        <w:rPr>
          <w:rFonts w:ascii="仿宋" w:hAnsi="仿宋" w:eastAsia="仿宋_GB2312" w:cs="Arial"/>
          <w:color w:val="000000"/>
          <w:kern w:val="0"/>
          <w:sz w:val="30"/>
          <w:szCs w:val="30"/>
        </w:rPr>
        <w:t>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 xml:space="preserve">     </w:t>
      </w:r>
      <w:r>
        <w:rPr>
          <w:rFonts w:ascii="仿宋" w:hAnsi="仿宋" w:eastAsia="仿宋_GB2312" w:cs="宋体"/>
          <w:color w:val="000000"/>
          <w:kern w:val="0"/>
          <w:sz w:val="30"/>
          <w:szCs w:val="30"/>
        </w:rPr>
        <w:t>证券</w:t>
      </w:r>
      <w:r>
        <w:rPr>
          <w:rFonts w:ascii="仿宋" w:hAnsi="仿宋" w:eastAsia="仿宋_GB2312" w:cs="Arial"/>
          <w:color w:val="000000"/>
          <w:kern w:val="0"/>
          <w:sz w:val="30"/>
          <w:szCs w:val="30"/>
        </w:rPr>
        <w:t>简称：</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公告编号：</w:t>
      </w:r>
    </w:p>
    <w:p w14:paraId="495D01E6">
      <w:pPr>
        <w:widowControl/>
        <w:adjustRightInd w:val="0"/>
        <w:snapToGrid w:val="0"/>
        <w:spacing w:line="560" w:lineRule="exact"/>
        <w:jc w:val="left"/>
        <w:rPr>
          <w:rFonts w:ascii="仿宋" w:hAnsi="仿宋" w:eastAsia="仿宋_GB2312" w:cs="Arial"/>
          <w:color w:val="000000"/>
          <w:kern w:val="0"/>
          <w:sz w:val="30"/>
          <w:szCs w:val="30"/>
        </w:rPr>
      </w:pPr>
      <w:r>
        <w:rPr>
          <w:rFonts w:ascii="仿宋" w:hAnsi="仿宋" w:eastAsia="仿宋_GB2312" w:cs="Arial"/>
          <w:color w:val="000000"/>
          <w:kern w:val="0"/>
          <w:sz w:val="30"/>
          <w:szCs w:val="30"/>
        </w:rPr>
        <w:t>转债代码：</w:t>
      </w:r>
      <w:r>
        <w:rPr>
          <w:rFonts w:hint="eastAsia" w:ascii="仿宋" w:hAnsi="仿宋" w:eastAsia="仿宋_GB2312" w:cs="Arial"/>
          <w:color w:val="000000"/>
          <w:kern w:val="0"/>
          <w:sz w:val="30"/>
          <w:szCs w:val="30"/>
        </w:rPr>
        <w:t xml:space="preserve">             </w:t>
      </w:r>
      <w:r>
        <w:rPr>
          <w:rFonts w:ascii="仿宋" w:hAnsi="仿宋" w:eastAsia="仿宋_GB2312" w:cs="Arial"/>
          <w:color w:val="000000"/>
          <w:kern w:val="0"/>
          <w:sz w:val="30"/>
          <w:szCs w:val="30"/>
        </w:rPr>
        <w:t>转债简称：</w:t>
      </w:r>
      <w:r>
        <w:rPr>
          <w:rFonts w:hint="eastAsia" w:ascii="仿宋" w:hAnsi="仿宋" w:eastAsia="仿宋_GB2312" w:cs="Arial"/>
          <w:color w:val="000000"/>
          <w:kern w:val="0"/>
          <w:sz w:val="30"/>
          <w:szCs w:val="30"/>
        </w:rPr>
        <w:t xml:space="preserve">      </w:t>
      </w:r>
    </w:p>
    <w:p w14:paraId="2C4DD303">
      <w:pPr>
        <w:adjustRightInd w:val="0"/>
        <w:snapToGrid w:val="0"/>
        <w:spacing w:line="560" w:lineRule="exact"/>
        <w:jc w:val="center"/>
        <w:rPr>
          <w:rFonts w:ascii="仿宋" w:hAnsi="仿宋" w:eastAsia="仿宋_GB2312"/>
          <w:color w:val="000000"/>
          <w:sz w:val="30"/>
          <w:szCs w:val="30"/>
        </w:rPr>
      </w:pPr>
    </w:p>
    <w:p w14:paraId="3F890BF4">
      <w:pPr>
        <w:adjustRightInd w:val="0"/>
        <w:snapToGrid w:val="0"/>
        <w:spacing w:line="560" w:lineRule="exact"/>
        <w:jc w:val="center"/>
        <w:rPr>
          <w:rFonts w:ascii="仿宋" w:hAnsi="仿宋" w:eastAsia="仿宋_GB2312"/>
          <w:color w:val="000000"/>
          <w:sz w:val="30"/>
          <w:szCs w:val="30"/>
        </w:rPr>
      </w:pPr>
      <w:r>
        <w:rPr>
          <w:rFonts w:hint="eastAsia" w:ascii="仿宋" w:hAnsi="仿宋" w:eastAsia="仿宋_GB2312"/>
          <w:color w:val="000000"/>
          <w:sz w:val="30"/>
          <w:szCs w:val="30"/>
        </w:rPr>
        <w:t>XXXX股份有限公司实施XXXX权益分派时</w:t>
      </w:r>
    </w:p>
    <w:p w14:paraId="3B7E8072">
      <w:pPr>
        <w:adjustRightInd w:val="0"/>
        <w:snapToGrid w:val="0"/>
        <w:spacing w:line="560" w:lineRule="exact"/>
        <w:jc w:val="center"/>
        <w:rPr>
          <w:rFonts w:ascii="仿宋" w:hAnsi="仿宋" w:eastAsia="仿宋_GB2312"/>
          <w:color w:val="000000"/>
          <w:sz w:val="30"/>
          <w:szCs w:val="30"/>
        </w:rPr>
      </w:pPr>
      <w:r>
        <w:rPr>
          <w:rFonts w:hint="eastAsia" w:ascii="仿宋" w:hAnsi="仿宋" w:eastAsia="仿宋_GB2312"/>
          <w:sz w:val="30"/>
          <w:szCs w:val="30"/>
        </w:rPr>
        <w:t>“XX转债”停止</w:t>
      </w:r>
      <w:r>
        <w:rPr>
          <w:rFonts w:hint="eastAsia" w:ascii="仿宋" w:hAnsi="仿宋" w:eastAsia="仿宋_GB2312"/>
          <w:color w:val="000000"/>
          <w:sz w:val="30"/>
          <w:szCs w:val="30"/>
        </w:rPr>
        <w:t>转股的提示性公告</w:t>
      </w:r>
    </w:p>
    <w:p w14:paraId="7530CF29">
      <w:pPr>
        <w:adjustRightInd w:val="0"/>
        <w:snapToGrid w:val="0"/>
        <w:spacing w:line="560" w:lineRule="exact"/>
        <w:jc w:val="center"/>
        <w:rPr>
          <w:rFonts w:ascii="仿宋" w:hAnsi="仿宋" w:eastAsia="仿宋_GB2312"/>
          <w:b/>
          <w:color w:val="000000"/>
          <w:sz w:val="30"/>
          <w:szCs w:val="30"/>
        </w:rPr>
      </w:pPr>
    </w:p>
    <w:p w14:paraId="6A011F9A">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DB67CF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2EC3804D">
      <w:pPr>
        <w:adjustRightInd w:val="0"/>
        <w:snapToGrid w:val="0"/>
        <w:spacing w:line="560" w:lineRule="exact"/>
        <w:ind w:firstLine="602" w:firstLineChars="200"/>
        <w:rPr>
          <w:rFonts w:ascii="仿宋" w:hAnsi="仿宋" w:eastAsia="仿宋_GB2312"/>
          <w:b/>
          <w:color w:val="000000"/>
          <w:sz w:val="30"/>
          <w:szCs w:val="30"/>
        </w:rPr>
      </w:pPr>
    </w:p>
    <w:p w14:paraId="6E5FEF84">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14:paraId="02455D49">
      <w:pPr>
        <w:pStyle w:val="34"/>
        <w:numPr>
          <w:ilvl w:val="0"/>
          <w:numId w:val="5"/>
        </w:numPr>
        <w:adjustRightInd w:val="0"/>
        <w:snapToGrid w:val="0"/>
        <w:spacing w:line="560" w:lineRule="exact"/>
        <w:ind w:firstLine="420" w:firstLineChars="0"/>
        <w:rPr>
          <w:rFonts w:ascii="仿宋" w:hAnsi="仿宋" w:eastAsia="仿宋_GB2312"/>
          <w:sz w:val="30"/>
          <w:szCs w:val="30"/>
        </w:rPr>
      </w:pPr>
      <w:r>
        <w:rPr>
          <w:rFonts w:hint="eastAsia" w:ascii="仿宋" w:hAnsi="仿宋" w:eastAsia="仿宋_GB2312"/>
          <w:sz w:val="30"/>
          <w:szCs w:val="30"/>
        </w:rPr>
        <w:t>权益分派公告前一交易日至权益分派股权登记日间，本公司可转债将停止转股。</w:t>
      </w:r>
    </w:p>
    <w:p w14:paraId="7A35503D">
      <w:pPr>
        <w:adjustRightInd w:val="0"/>
        <w:snapToGrid w:val="0"/>
        <w:spacing w:line="560" w:lineRule="exact"/>
        <w:ind w:firstLine="602" w:firstLineChars="200"/>
        <w:rPr>
          <w:rFonts w:ascii="仿宋" w:hAnsi="仿宋" w:eastAsia="仿宋_GB2312"/>
          <w:b/>
          <w:color w:val="000000"/>
          <w:sz w:val="30"/>
          <w:szCs w:val="30"/>
        </w:rPr>
      </w:pPr>
    </w:p>
    <w:p w14:paraId="5275D4A7">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一、简要介绍权益分派方案的基本情况</w:t>
      </w:r>
    </w:p>
    <w:p w14:paraId="45F1794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简要介绍权益分派方案的基本内容、股东会日期、届次、相关决议的信息披露等情况。</w:t>
      </w:r>
    </w:p>
    <w:p w14:paraId="0962BBE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提示权益分派方案实施后，将依据可转债募集说明书发行条款及相关规定对可转债当期转股价格进行调整。</w:t>
      </w:r>
    </w:p>
    <w:p w14:paraId="57495EE1">
      <w:pPr>
        <w:adjustRightInd w:val="0"/>
        <w:snapToGrid w:val="0"/>
        <w:spacing w:line="560" w:lineRule="exact"/>
        <w:ind w:firstLine="600" w:firstLineChars="200"/>
        <w:rPr>
          <w:rFonts w:ascii="仿宋" w:hAnsi="仿宋" w:eastAsia="仿宋_GB2312"/>
          <w:sz w:val="30"/>
          <w:szCs w:val="30"/>
        </w:rPr>
      </w:pPr>
    </w:p>
    <w:p w14:paraId="13CE7567">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二、本次权益分派方案实施时停止转股的安排</w:t>
      </w:r>
    </w:p>
    <w:p w14:paraId="18A14AE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（一）公司将于P日在指定媒体披露</w:t>
      </w:r>
      <w:r>
        <w:rPr>
          <w:rFonts w:ascii="仿宋" w:hAnsi="仿宋" w:eastAsia="仿宋_GB2312"/>
          <w:sz w:val="30"/>
          <w:szCs w:val="30"/>
        </w:rPr>
        <w:t>权益分派实施公告和可转债转股价格调整公告</w:t>
      </w:r>
      <w:r>
        <w:rPr>
          <w:rFonts w:hint="eastAsia" w:ascii="仿宋" w:hAnsi="仿宋" w:eastAsia="仿宋_GB2312"/>
          <w:sz w:val="30"/>
          <w:szCs w:val="30"/>
        </w:rPr>
        <w:t>。</w:t>
      </w:r>
    </w:p>
    <w:p w14:paraId="5AC93DE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（二）自</w:t>
      </w:r>
      <w:r>
        <w:rPr>
          <w:rFonts w:ascii="仿宋" w:hAnsi="仿宋" w:eastAsia="仿宋_GB2312"/>
          <w:sz w:val="30"/>
          <w:szCs w:val="30"/>
        </w:rPr>
        <w:t>P－1日至</w:t>
      </w:r>
      <w:r>
        <w:rPr>
          <w:rFonts w:hint="eastAsia" w:ascii="仿宋" w:hAnsi="仿宋" w:eastAsia="仿宋_GB2312"/>
          <w:sz w:val="30"/>
          <w:szCs w:val="30"/>
        </w:rPr>
        <w:t>权益分派</w:t>
      </w:r>
      <w:r>
        <w:rPr>
          <w:rFonts w:ascii="仿宋" w:hAnsi="仿宋" w:eastAsia="仿宋_GB2312"/>
          <w:sz w:val="30"/>
          <w:szCs w:val="30"/>
        </w:rPr>
        <w:t>股权登记日期间</w:t>
      </w:r>
      <w:r>
        <w:rPr>
          <w:rFonts w:hint="eastAsia" w:ascii="仿宋" w:hAnsi="仿宋" w:eastAsia="仿宋_GB2312"/>
          <w:sz w:val="30"/>
          <w:szCs w:val="30"/>
        </w:rPr>
        <w:t>，“XX转债”</w:t>
      </w:r>
      <w:r>
        <w:rPr>
          <w:rFonts w:ascii="仿宋" w:hAnsi="仿宋" w:eastAsia="仿宋_GB2312"/>
          <w:sz w:val="30"/>
          <w:szCs w:val="30"/>
        </w:rPr>
        <w:t>将停止</w:t>
      </w:r>
      <w:r>
        <w:rPr>
          <w:rFonts w:hint="eastAsia" w:ascii="仿宋" w:hAnsi="仿宋" w:eastAsia="仿宋_GB2312"/>
          <w:sz w:val="30"/>
          <w:szCs w:val="30"/>
        </w:rPr>
        <w:t>转股</w:t>
      </w:r>
      <w:r>
        <w:rPr>
          <w:rFonts w:ascii="仿宋" w:hAnsi="仿宋" w:eastAsia="仿宋_GB2312"/>
          <w:sz w:val="30"/>
          <w:szCs w:val="30"/>
        </w:rPr>
        <w:t>，</w:t>
      </w:r>
      <w:r>
        <w:rPr>
          <w:rFonts w:hint="eastAsia" w:ascii="仿宋" w:hAnsi="仿宋" w:eastAsia="仿宋_GB2312"/>
          <w:sz w:val="30"/>
          <w:szCs w:val="30"/>
        </w:rPr>
        <w:t>股权登记日后的第一个交易日起“XX转债”恢复转股，</w:t>
      </w:r>
      <w:r>
        <w:rPr>
          <w:rFonts w:ascii="仿宋" w:hAnsi="仿宋" w:eastAsia="仿宋_GB2312"/>
          <w:sz w:val="30"/>
          <w:szCs w:val="30"/>
        </w:rPr>
        <w:t>欲享受权益分派的可转债持有人可在P－2日</w:t>
      </w:r>
      <w:r>
        <w:rPr>
          <w:rFonts w:hint="eastAsia" w:ascii="仿宋" w:hAnsi="仿宋" w:eastAsia="仿宋_GB2312"/>
          <w:sz w:val="30"/>
          <w:szCs w:val="30"/>
        </w:rPr>
        <w:t>（含</w:t>
      </w:r>
      <w:r>
        <w:rPr>
          <w:rFonts w:ascii="仿宋" w:hAnsi="仿宋" w:eastAsia="仿宋_GB2312"/>
          <w:sz w:val="30"/>
          <w:szCs w:val="30"/>
        </w:rPr>
        <w:t>P－2日</w:t>
      </w:r>
      <w:r>
        <w:rPr>
          <w:rFonts w:hint="eastAsia" w:ascii="仿宋" w:hAnsi="仿宋" w:eastAsia="仿宋_GB2312"/>
          <w:sz w:val="30"/>
          <w:szCs w:val="30"/>
        </w:rPr>
        <w:t>）</w:t>
      </w:r>
      <w:r>
        <w:rPr>
          <w:rFonts w:ascii="仿宋" w:hAnsi="仿宋" w:eastAsia="仿宋_GB2312"/>
          <w:sz w:val="30"/>
          <w:szCs w:val="30"/>
        </w:rPr>
        <w:t>之前进行转股。</w:t>
      </w:r>
    </w:p>
    <w:p w14:paraId="127D89BC">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w:t>
      </w:r>
      <w:r>
        <w:rPr>
          <w:rFonts w:hint="eastAsia" w:ascii="楷体" w:hAnsi="楷体" w:eastAsia="楷体"/>
          <w:sz w:val="24"/>
          <w:szCs w:val="24"/>
        </w:rPr>
        <w:t>本公告中的日期均为交易日，公司应于</w:t>
      </w:r>
      <w:r>
        <w:rPr>
          <w:rFonts w:ascii="楷体" w:hAnsi="楷体" w:eastAsia="楷体"/>
          <w:sz w:val="24"/>
          <w:szCs w:val="24"/>
        </w:rPr>
        <w:t>P-4日</w:t>
      </w:r>
      <w:r>
        <w:rPr>
          <w:rFonts w:hint="eastAsia" w:ascii="楷体" w:hAnsi="楷体" w:eastAsia="楷体"/>
          <w:sz w:val="24"/>
          <w:szCs w:val="24"/>
        </w:rPr>
        <w:t>披露本</w:t>
      </w:r>
      <w:r>
        <w:rPr>
          <w:rFonts w:ascii="楷体" w:hAnsi="楷体" w:eastAsia="楷体"/>
          <w:sz w:val="24"/>
          <w:szCs w:val="24"/>
        </w:rPr>
        <w:t>提示性公告。）</w:t>
      </w:r>
    </w:p>
    <w:p w14:paraId="7CECE591">
      <w:pPr>
        <w:adjustRightInd w:val="0"/>
        <w:snapToGrid w:val="0"/>
        <w:spacing w:line="560" w:lineRule="exact"/>
        <w:ind w:firstLine="480" w:firstLineChars="200"/>
        <w:rPr>
          <w:rFonts w:ascii="楷体" w:hAnsi="楷体" w:eastAsia="楷体"/>
          <w:sz w:val="24"/>
          <w:szCs w:val="24"/>
        </w:rPr>
      </w:pPr>
    </w:p>
    <w:p w14:paraId="3CA105C8">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w:t>
      </w:r>
      <w:r>
        <w:rPr>
          <w:rFonts w:ascii="黑体" w:hAnsi="黑体" w:eastAsia="黑体"/>
          <w:b/>
          <w:bCs/>
          <w:sz w:val="30"/>
          <w:szCs w:val="30"/>
        </w:rPr>
        <w:t>、其他</w:t>
      </w:r>
    </w:p>
    <w:p w14:paraId="13E1E1E4">
      <w:pPr>
        <w:widowControl/>
        <w:adjustRightInd w:val="0"/>
        <w:snapToGrid w:val="0"/>
        <w:spacing w:line="560" w:lineRule="exact"/>
        <w:ind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联系人、咨询电话等其他内容。</w:t>
      </w:r>
    </w:p>
    <w:p w14:paraId="4F52916B">
      <w:pPr>
        <w:widowControl/>
        <w:adjustRightInd w:val="0"/>
        <w:snapToGrid w:val="0"/>
        <w:spacing w:line="560" w:lineRule="exact"/>
        <w:ind w:firstLine="600" w:firstLineChars="200"/>
        <w:jc w:val="left"/>
        <w:rPr>
          <w:rFonts w:ascii="仿宋" w:hAnsi="仿宋" w:eastAsia="仿宋_GB2312" w:cs="宋体"/>
          <w:kern w:val="0"/>
          <w:sz w:val="30"/>
          <w:szCs w:val="30"/>
        </w:rPr>
      </w:pPr>
    </w:p>
    <w:p w14:paraId="4A3CF2AB">
      <w:pPr>
        <w:widowControl/>
        <w:adjustRightInd w:val="0"/>
        <w:snapToGrid w:val="0"/>
        <w:spacing w:line="560" w:lineRule="exact"/>
        <w:ind w:firstLine="600" w:firstLineChars="200"/>
        <w:jc w:val="left"/>
        <w:rPr>
          <w:rFonts w:ascii="仿宋" w:hAnsi="仿宋" w:eastAsia="仿宋_GB2312" w:cs="宋体"/>
          <w:kern w:val="0"/>
          <w:sz w:val="30"/>
          <w:szCs w:val="30"/>
        </w:rPr>
      </w:pPr>
      <w:r>
        <w:rPr>
          <w:rFonts w:hint="eastAsia" w:ascii="仿宋" w:hAnsi="仿宋" w:eastAsia="仿宋_GB2312" w:cs="宋体"/>
          <w:kern w:val="0"/>
          <w:sz w:val="30"/>
          <w:szCs w:val="30"/>
        </w:rPr>
        <w:t>特此公告。</w:t>
      </w:r>
    </w:p>
    <w:p w14:paraId="04420558">
      <w:pPr>
        <w:adjustRightInd w:val="0"/>
        <w:snapToGrid w:val="0"/>
        <w:spacing w:line="560" w:lineRule="exact"/>
        <w:ind w:firstLine="600" w:firstLineChars="200"/>
        <w:jc w:val="left"/>
        <w:rPr>
          <w:rFonts w:ascii="仿宋" w:hAnsi="仿宋" w:eastAsia="仿宋_GB2312"/>
          <w:sz w:val="30"/>
          <w:szCs w:val="30"/>
        </w:rPr>
      </w:pPr>
      <w:r>
        <w:rPr>
          <w:rFonts w:ascii="仿宋" w:hAnsi="仿宋" w:eastAsia="仿宋_GB2312"/>
          <w:sz w:val="30"/>
          <w:szCs w:val="30"/>
        </w:rPr>
        <w:t xml:space="preserve"> </w:t>
      </w:r>
    </w:p>
    <w:p w14:paraId="641D81C9">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7D7DD076">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2C76F016">
      <w:pPr>
        <w:widowControl/>
        <w:spacing w:line="560" w:lineRule="exact"/>
        <w:jc w:val="left"/>
        <w:rPr>
          <w:rFonts w:ascii="仿宋" w:hAnsi="仿宋" w:eastAsia="仿宋_GB2312"/>
          <w:sz w:val="30"/>
          <w:szCs w:val="30"/>
        </w:rPr>
      </w:pPr>
      <w:r>
        <w:rPr>
          <w:rFonts w:ascii="仿宋" w:hAnsi="仿宋" w:eastAsia="仿宋_GB2312"/>
          <w:sz w:val="30"/>
          <w:szCs w:val="30"/>
        </w:rPr>
        <w:br w:type="page"/>
      </w:r>
    </w:p>
    <w:p w14:paraId="1D13E30A">
      <w:pPr>
        <w:pStyle w:val="3"/>
        <w:rPr>
          <w:rFonts w:ascii="黑体" w:hAnsi="黑体" w:eastAsia="黑体"/>
        </w:rPr>
      </w:pPr>
      <w:bookmarkStart w:id="32" w:name="_Toc108525208"/>
      <w:r>
        <w:rPr>
          <w:rFonts w:hint="eastAsia" w:ascii="黑体" w:hAnsi="黑体" w:eastAsia="黑体"/>
        </w:rPr>
        <w:t>二、可转债回售</w:t>
      </w:r>
      <w:bookmarkEnd w:id="32"/>
    </w:p>
    <w:p w14:paraId="5461230E">
      <w:pPr>
        <w:pStyle w:val="4"/>
        <w:rPr>
          <w:sz w:val="28"/>
          <w:szCs w:val="28"/>
        </w:rPr>
      </w:pPr>
      <w:bookmarkStart w:id="33" w:name="_Toc108525209"/>
      <w:r>
        <w:rPr>
          <w:sz w:val="32"/>
          <w:szCs w:val="32"/>
        </w:rPr>
        <w:t>6.</w:t>
      </w:r>
      <w:r>
        <w:rPr>
          <w:rFonts w:hint="eastAsia"/>
          <w:sz w:val="32"/>
          <w:szCs w:val="32"/>
        </w:rPr>
        <w:t>上市公司可转债回售公告</w:t>
      </w:r>
      <w:bookmarkEnd w:id="16"/>
      <w:bookmarkEnd w:id="17"/>
      <w:bookmarkEnd w:id="18"/>
      <w:bookmarkEnd w:id="33"/>
    </w:p>
    <w:p w14:paraId="1174FC1E">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2EA2275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1、本公告格式适用于上市公司在满足可转债回售条件时的信息披露。上市公司应注意回售条件触发日与回售申报期首日的间隔期限应当不超过15个交易日。</w:t>
      </w:r>
    </w:p>
    <w:p w14:paraId="6717B246">
      <w:pPr>
        <w:adjustRightInd w:val="0"/>
        <w:snapToGrid w:val="0"/>
        <w:spacing w:line="560" w:lineRule="exact"/>
        <w:ind w:firstLine="600" w:firstLineChars="200"/>
        <w:rPr>
          <w:rFonts w:ascii="仿宋" w:hAnsi="仿宋" w:eastAsia="仿宋_GB2312"/>
          <w:sz w:val="30"/>
          <w:szCs w:val="30"/>
        </w:rPr>
      </w:pPr>
      <w:r>
        <w:rPr>
          <w:rFonts w:ascii="仿宋" w:hAnsi="仿宋" w:eastAsia="仿宋_GB2312"/>
          <w:color w:val="000000"/>
          <w:sz w:val="30"/>
          <w:szCs w:val="30"/>
        </w:rPr>
        <w:t>2</w:t>
      </w:r>
      <w:r>
        <w:rPr>
          <w:rFonts w:hint="eastAsia" w:ascii="仿宋" w:hAnsi="仿宋" w:eastAsia="仿宋_GB2312"/>
          <w:color w:val="000000"/>
          <w:sz w:val="30"/>
          <w:szCs w:val="30"/>
        </w:rPr>
        <w:t>、回售期结束前，上市公司披露回售提示性公告参照适用。</w:t>
      </w:r>
    </w:p>
    <w:p w14:paraId="4277A5A3">
      <w:pPr>
        <w:adjustRightInd w:val="0"/>
        <w:snapToGrid w:val="0"/>
        <w:spacing w:line="560" w:lineRule="exact"/>
        <w:ind w:firstLine="600" w:firstLineChars="200"/>
        <w:rPr>
          <w:rFonts w:ascii="仿宋" w:hAnsi="仿宋" w:eastAsia="仿宋_GB2312"/>
          <w:sz w:val="30"/>
          <w:szCs w:val="30"/>
        </w:rPr>
      </w:pPr>
    </w:p>
    <w:p w14:paraId="3F8C64B1">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2211EF2C">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11269415">
      <w:pPr>
        <w:adjustRightInd w:val="0"/>
        <w:snapToGrid w:val="0"/>
        <w:spacing w:line="560" w:lineRule="exact"/>
        <w:ind w:firstLine="600" w:firstLineChars="200"/>
        <w:rPr>
          <w:rFonts w:ascii="仿宋" w:hAnsi="仿宋" w:eastAsia="仿宋_GB2312"/>
          <w:sz w:val="30"/>
          <w:szCs w:val="30"/>
        </w:rPr>
      </w:pPr>
    </w:p>
    <w:p w14:paraId="11916D5C">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XXXX股份有限公司关于“XX转债”回售的公告/提示性公告</w:t>
      </w:r>
    </w:p>
    <w:p w14:paraId="4426630C">
      <w:pPr>
        <w:adjustRightInd w:val="0"/>
        <w:snapToGrid w:val="0"/>
        <w:spacing w:line="560" w:lineRule="exact"/>
        <w:ind w:firstLine="600" w:firstLineChars="200"/>
        <w:jc w:val="center"/>
        <w:rPr>
          <w:rFonts w:ascii="仿宋" w:hAnsi="仿宋" w:eastAsia="仿宋_GB2312"/>
          <w:sz w:val="30"/>
          <w:szCs w:val="30"/>
        </w:rPr>
      </w:pPr>
    </w:p>
    <w:p w14:paraId="094C6EFE">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28B0B49B">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46D962B6">
      <w:pPr>
        <w:adjustRightInd w:val="0"/>
        <w:snapToGrid w:val="0"/>
        <w:spacing w:line="560" w:lineRule="exact"/>
        <w:ind w:firstLine="600" w:firstLineChars="200"/>
        <w:rPr>
          <w:rFonts w:ascii="仿宋" w:hAnsi="仿宋" w:eastAsia="仿宋_GB2312"/>
          <w:sz w:val="30"/>
          <w:szCs w:val="30"/>
        </w:rPr>
      </w:pPr>
    </w:p>
    <w:p w14:paraId="113531B3">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14:paraId="008051AD">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回售价格：XX.XX元人民币/张（含当期利息）</w:t>
      </w:r>
    </w:p>
    <w:p w14:paraId="673EA797">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回售期：XXXX年XX月XX日至XXXX年XX月XX日</w:t>
      </w:r>
    </w:p>
    <w:p w14:paraId="760479FE">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回售资金发放日：XXXX年XX月XX日</w:t>
      </w:r>
    </w:p>
    <w:p w14:paraId="1ADEB3F6">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回售期内可转债停止转股</w:t>
      </w:r>
    </w:p>
    <w:p w14:paraId="216AF896">
      <w:pPr>
        <w:pStyle w:val="7"/>
        <w:adjustRightInd w:val="0"/>
        <w:snapToGrid w:val="0"/>
        <w:spacing w:after="0" w:line="560" w:lineRule="exact"/>
        <w:ind w:left="0" w:leftChars="0" w:firstLine="600" w:firstLineChars="200"/>
        <w:rPr>
          <w:rFonts w:ascii="仿宋" w:hAnsi="仿宋" w:eastAsia="仿宋_GB2312"/>
          <w:sz w:val="30"/>
          <w:szCs w:val="30"/>
        </w:rPr>
      </w:pPr>
    </w:p>
    <w:p w14:paraId="744E3B2B">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的股票自XXXX年XX月XX日至XXXX年XX月XX日连续XX个交易日内有XX个交易日收盘价格低于本公司“XXXXXX可转换公司债券”（以下简称“XX转债”）当期转股价格的XX％。根据本公司《可转换公司债券募集说明书》的约定，可转债回售条款生效。</w:t>
      </w:r>
    </w:p>
    <w:p w14:paraId="03DEBE2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现依据《上市公司证券发行注册管理办法》《可转换公司债券管理办法》《上海证券交易所股票上市规则》和本公司《可转换公司债券募集说明书》，就回售有关事项向全体XX转债持有人公告如下：</w:t>
      </w:r>
    </w:p>
    <w:p w14:paraId="04408B8C">
      <w:pPr>
        <w:pStyle w:val="7"/>
        <w:adjustRightInd w:val="0"/>
        <w:snapToGrid w:val="0"/>
        <w:spacing w:after="0" w:line="560" w:lineRule="exact"/>
        <w:ind w:left="0" w:leftChars="0" w:firstLine="480" w:firstLineChars="200"/>
        <w:rPr>
          <w:rFonts w:ascii="楷体" w:hAnsi="楷体" w:eastAsia="楷体"/>
          <w:sz w:val="24"/>
        </w:rPr>
      </w:pPr>
      <w:r>
        <w:rPr>
          <w:rFonts w:hint="eastAsia" w:ascii="楷体" w:hAnsi="楷体" w:eastAsia="楷体"/>
          <w:sz w:val="24"/>
        </w:rPr>
        <w:t>（编制提醒：变更可转债募集资金投资项目的，上市公司应当在股东会通过决议后20个交易日内赋予可转债持有人一次回售的权利，有关回售公告至少披露三次。其中，在回售实施前、股东会决议公告后5个交易日内至少披露一次，在回售实施期间至少发布一次，余下一次回售公告的披露时间视需要而定。）</w:t>
      </w:r>
    </w:p>
    <w:p w14:paraId="3D7A8B3E">
      <w:pPr>
        <w:pStyle w:val="7"/>
        <w:adjustRightInd w:val="0"/>
        <w:snapToGrid w:val="0"/>
        <w:spacing w:after="0" w:line="560" w:lineRule="exact"/>
        <w:ind w:left="0" w:leftChars="0" w:firstLine="600" w:firstLineChars="200"/>
        <w:rPr>
          <w:rFonts w:ascii="仿宋" w:hAnsi="仿宋" w:eastAsia="仿宋_GB2312"/>
          <w:sz w:val="30"/>
          <w:szCs w:val="30"/>
        </w:rPr>
      </w:pPr>
    </w:p>
    <w:p w14:paraId="614612D7">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一、回售条款</w:t>
      </w:r>
    </w:p>
    <w:p w14:paraId="4AAB6085">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说明《可转换公司债券募集说明书》约定的回售条款，包括触发可转债回售的条件、回售的程序、回售的价格等。</w:t>
      </w:r>
    </w:p>
    <w:p w14:paraId="2E0F25D9">
      <w:pPr>
        <w:pStyle w:val="7"/>
        <w:adjustRightInd w:val="0"/>
        <w:snapToGrid w:val="0"/>
        <w:spacing w:after="0" w:line="560" w:lineRule="exact"/>
        <w:ind w:left="0" w:leftChars="0" w:firstLine="600" w:firstLineChars="200"/>
        <w:rPr>
          <w:rFonts w:ascii="仿宋" w:hAnsi="仿宋" w:eastAsia="仿宋_GB2312"/>
          <w:sz w:val="30"/>
          <w:szCs w:val="30"/>
        </w:rPr>
      </w:pPr>
    </w:p>
    <w:p w14:paraId="239A50A5">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二、本次可转债回售的有关事项</w:t>
      </w:r>
    </w:p>
    <w:p w14:paraId="4CCF5BEB">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（一）回售事项的提示</w:t>
      </w:r>
    </w:p>
    <w:p w14:paraId="22F87D8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XX转债持有人可回售部分或全部未转股的可转换公司债券。XX转债持有人有权选择是否进行回售，本次回售不具有强制性。</w:t>
      </w:r>
    </w:p>
    <w:p w14:paraId="46C1BB9F">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（二）回售申报程序</w:t>
      </w:r>
    </w:p>
    <w:p w14:paraId="6A9EBD04">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本次回售的转债代码为“</w:t>
      </w:r>
      <w:r>
        <w:rPr>
          <w:rFonts w:hint="eastAsia" w:ascii="仿宋" w:hAnsi="仿宋" w:eastAsia="仿宋_GB2312" w:cs="宋体"/>
          <w:kern w:val="0"/>
          <w:sz w:val="30"/>
          <w:szCs w:val="30"/>
        </w:rPr>
        <w:t>XXXXXX</w:t>
      </w:r>
      <w:r>
        <w:rPr>
          <w:rFonts w:hint="eastAsia" w:ascii="仿宋" w:hAnsi="仿宋" w:eastAsia="仿宋_GB2312"/>
          <w:sz w:val="30"/>
          <w:szCs w:val="30"/>
        </w:rPr>
        <w:t>”，转债简称为“</w:t>
      </w:r>
      <w:r>
        <w:rPr>
          <w:rFonts w:hint="eastAsia" w:ascii="仿宋" w:hAnsi="仿宋" w:eastAsia="仿宋_GB2312" w:cs="宋体"/>
          <w:kern w:val="0"/>
          <w:sz w:val="30"/>
          <w:szCs w:val="30"/>
        </w:rPr>
        <w:t>XXXX</w:t>
      </w:r>
      <w:r>
        <w:rPr>
          <w:rFonts w:hint="eastAsia" w:ascii="仿宋" w:hAnsi="仿宋" w:eastAsia="仿宋_GB2312"/>
          <w:sz w:val="30"/>
          <w:szCs w:val="30"/>
        </w:rPr>
        <w:t>”。</w:t>
      </w:r>
    </w:p>
    <w:p w14:paraId="1060ED4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行使回售权的可转债持有人应在回售申报期内，通过上海证券交易所交易系统进行回售申报，方向为卖出，回售申报经确认后不能撤销。</w:t>
      </w:r>
    </w:p>
    <w:p w14:paraId="42AE1AD4">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如果申报当日未能申报成功，可于次日继续申报（限申报期内）。</w:t>
      </w:r>
    </w:p>
    <w:p w14:paraId="5F6136AD">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（三）回售申报期：XXXX年XX月XX日至XXXX年XX月XX日。</w:t>
      </w:r>
    </w:p>
    <w:p w14:paraId="28768B1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（四）回售价格：XX.XX元人民币/张（含当期利息）。</w:t>
      </w:r>
    </w:p>
    <w:p w14:paraId="7117664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（五）回售款项的支付方法</w:t>
      </w:r>
    </w:p>
    <w:p w14:paraId="271161D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本公司将按前款规定的价格买回要求回售的XX转债，按照中国证券登记结算有限责任公司上海分公司的有关业务规则，回售资金的发放日为XXXX年XX月XX日（注：具体时间由公司和中国结算上海分公司具体协商）。</w:t>
      </w:r>
    </w:p>
    <w:p w14:paraId="3D06D3D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回售期满后，公司将公告本次回售结果和本次回售对公司的影响。</w:t>
      </w:r>
    </w:p>
    <w:p w14:paraId="0A204C1F">
      <w:pPr>
        <w:adjustRightInd w:val="0"/>
        <w:snapToGrid w:val="0"/>
        <w:spacing w:line="560" w:lineRule="exact"/>
        <w:ind w:firstLine="600" w:firstLineChars="200"/>
        <w:rPr>
          <w:rFonts w:ascii="仿宋" w:hAnsi="仿宋" w:eastAsia="仿宋_GB2312"/>
          <w:sz w:val="30"/>
          <w:szCs w:val="30"/>
        </w:rPr>
      </w:pPr>
    </w:p>
    <w:p w14:paraId="77470126">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三、回售期间的交易</w:t>
      </w:r>
    </w:p>
    <w:p w14:paraId="02991B3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XX转债在回售期间将继续交易，但停止转股。在同一交易日内，若XX转债持有人同时发出转债卖出指令和回售指令，系统将优先处理卖出指令。</w:t>
      </w:r>
    </w:p>
    <w:p w14:paraId="6313E6F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回售期内，如回售导致可转换公司债券流通面值总额少于3000万元人民币，可转债仍将继续交易，待回售期结束后，本公司将披露相关公告，在公告三个交易日后XX转债将停止交易。</w:t>
      </w:r>
    </w:p>
    <w:p w14:paraId="2E50EB28">
      <w:pPr>
        <w:adjustRightInd w:val="0"/>
        <w:snapToGrid w:val="0"/>
        <w:spacing w:line="560" w:lineRule="exact"/>
        <w:ind w:firstLine="602" w:firstLineChars="200"/>
        <w:rPr>
          <w:rFonts w:ascii="仿宋" w:hAnsi="仿宋" w:eastAsia="仿宋_GB2312"/>
          <w:b/>
          <w:bCs/>
          <w:sz w:val="30"/>
          <w:szCs w:val="30"/>
        </w:rPr>
      </w:pPr>
    </w:p>
    <w:p w14:paraId="3D99197A">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四、联系方式</w:t>
      </w:r>
    </w:p>
    <w:p w14:paraId="6533C0C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联系部门：</w:t>
      </w:r>
    </w:p>
    <w:p w14:paraId="3F39BC2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联系电话：（XXXX）XXXXXXX</w:t>
      </w:r>
    </w:p>
    <w:p w14:paraId="5B502209">
      <w:pPr>
        <w:adjustRightInd w:val="0"/>
        <w:snapToGrid w:val="0"/>
        <w:spacing w:line="560" w:lineRule="exact"/>
        <w:ind w:firstLine="600" w:firstLineChars="200"/>
        <w:rPr>
          <w:rFonts w:ascii="仿宋" w:hAnsi="仿宋" w:eastAsia="仿宋_GB2312"/>
          <w:sz w:val="30"/>
          <w:szCs w:val="30"/>
        </w:rPr>
      </w:pPr>
    </w:p>
    <w:p w14:paraId="1A3F69A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1617DD68">
      <w:pPr>
        <w:adjustRightInd w:val="0"/>
        <w:snapToGrid w:val="0"/>
        <w:spacing w:line="560" w:lineRule="exact"/>
        <w:ind w:firstLine="600" w:firstLineChars="200"/>
        <w:rPr>
          <w:rFonts w:ascii="仿宋" w:hAnsi="仿宋" w:eastAsia="仿宋_GB2312"/>
          <w:sz w:val="30"/>
          <w:szCs w:val="30"/>
        </w:rPr>
      </w:pPr>
    </w:p>
    <w:p w14:paraId="6F37894F">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31F1E7AA">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661F741F">
      <w:pPr>
        <w:adjustRightInd w:val="0"/>
        <w:snapToGrid w:val="0"/>
        <w:spacing w:line="560" w:lineRule="exact"/>
        <w:ind w:firstLine="600" w:firstLineChars="200"/>
        <w:rPr>
          <w:rFonts w:ascii="仿宋" w:hAnsi="仿宋" w:eastAsia="仿宋_GB2312"/>
          <w:sz w:val="30"/>
          <w:szCs w:val="30"/>
        </w:rPr>
      </w:pPr>
    </w:p>
    <w:p w14:paraId="3F5F6B74">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14:paraId="7AF7CE6B">
      <w:pPr>
        <w:pStyle w:val="4"/>
        <w:rPr>
          <w:sz w:val="32"/>
          <w:szCs w:val="32"/>
        </w:rPr>
      </w:pPr>
      <w:bookmarkStart w:id="34" w:name="_Toc108525210"/>
      <w:bookmarkStart w:id="35" w:name="_Toc359483102"/>
      <w:bookmarkStart w:id="36" w:name="_Toc50034155"/>
      <w:bookmarkStart w:id="37" w:name="_Toc50034100"/>
      <w:bookmarkStart w:id="38" w:name="_Toc330904172"/>
      <w:bookmarkStart w:id="39" w:name="_Toc340839655"/>
      <w:r>
        <w:rPr>
          <w:sz w:val="32"/>
          <w:szCs w:val="32"/>
        </w:rPr>
        <w:t>7.</w:t>
      </w:r>
      <w:r>
        <w:rPr>
          <w:rFonts w:hint="eastAsia"/>
          <w:sz w:val="32"/>
          <w:szCs w:val="32"/>
        </w:rPr>
        <w:t>上市公司可转债回售结果公告</w:t>
      </w:r>
      <w:bookmarkEnd w:id="34"/>
      <w:bookmarkEnd w:id="35"/>
      <w:bookmarkEnd w:id="36"/>
    </w:p>
    <w:p w14:paraId="61DE5522">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6C3EF934">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4C23ADB9">
      <w:pPr>
        <w:adjustRightInd w:val="0"/>
        <w:snapToGrid w:val="0"/>
        <w:spacing w:line="560" w:lineRule="exact"/>
        <w:ind w:firstLine="600" w:firstLineChars="200"/>
        <w:jc w:val="left"/>
        <w:rPr>
          <w:rFonts w:ascii="仿宋" w:hAnsi="仿宋" w:eastAsia="仿宋_GB2312"/>
          <w:sz w:val="30"/>
          <w:szCs w:val="30"/>
        </w:rPr>
      </w:pPr>
    </w:p>
    <w:p w14:paraId="56C4030D">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XXXX股份有限公司关于“XX转债”回售结果的公告</w:t>
      </w:r>
    </w:p>
    <w:p w14:paraId="4ABF3675">
      <w:pPr>
        <w:adjustRightInd w:val="0"/>
        <w:snapToGrid w:val="0"/>
        <w:spacing w:before="156" w:beforeLines="50" w:line="560" w:lineRule="exact"/>
        <w:jc w:val="center"/>
        <w:rPr>
          <w:rFonts w:ascii="仿宋" w:hAnsi="仿宋" w:eastAsia="仿宋_GB2312"/>
          <w:bCs/>
          <w:color w:val="000000"/>
          <w:sz w:val="30"/>
          <w:szCs w:val="30"/>
        </w:rPr>
      </w:pPr>
    </w:p>
    <w:p w14:paraId="61F3A026">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38BE807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0A012AF5">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01AD8A09">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04DE77E9">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回售期间：XXXX年XX月XX日至XXXX年XX月XX日</w:t>
      </w:r>
    </w:p>
    <w:p w14:paraId="3CBE1D19">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回售有效申报数量：XXXXXX</w:t>
      </w:r>
    </w:p>
    <w:p w14:paraId="3815A111">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回售金额：XXXXXX.XX元</w:t>
      </w:r>
    </w:p>
    <w:p w14:paraId="39FDAC9C">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回售资金发放日：XXXX年XX月XX日</w:t>
      </w:r>
    </w:p>
    <w:p w14:paraId="4767F702">
      <w:pPr>
        <w:numPr>
          <w:ilvl w:val="0"/>
          <w:numId w:val="7"/>
        </w:numPr>
        <w:tabs>
          <w:tab w:val="clear" w:pos="42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  可转债摘牌日：XXXX年XX月XX日 (如适用)</w:t>
      </w:r>
    </w:p>
    <w:p w14:paraId="1A869FE8">
      <w:pPr>
        <w:adjustRightInd w:val="0"/>
        <w:snapToGrid w:val="0"/>
        <w:spacing w:line="560" w:lineRule="exact"/>
        <w:ind w:firstLine="602" w:firstLineChars="200"/>
        <w:rPr>
          <w:rFonts w:ascii="仿宋" w:hAnsi="仿宋" w:eastAsia="仿宋_GB2312"/>
          <w:b/>
          <w:color w:val="000000"/>
          <w:sz w:val="30"/>
          <w:szCs w:val="30"/>
        </w:rPr>
      </w:pPr>
    </w:p>
    <w:p w14:paraId="4B9A7760">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一、本次可转债回售的公告情况</w:t>
      </w:r>
    </w:p>
    <w:p w14:paraId="5E24E253">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（一）简要介绍公司在指定媒体披露本次可转债回售公告及相关提示公告的情况。</w:t>
      </w:r>
    </w:p>
    <w:p w14:paraId="4E66123C">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（二）提示本次转债的回售申报已于回售申报期结束日上海证券交易所收市后结束。</w:t>
      </w:r>
    </w:p>
    <w:p w14:paraId="25CD99CE">
      <w:pPr>
        <w:adjustRightInd w:val="0"/>
        <w:snapToGrid w:val="0"/>
        <w:spacing w:line="560" w:lineRule="exact"/>
        <w:ind w:firstLine="600" w:firstLineChars="200"/>
        <w:rPr>
          <w:rFonts w:ascii="仿宋" w:hAnsi="仿宋" w:eastAsia="仿宋_GB2312"/>
          <w:color w:val="000000"/>
          <w:sz w:val="30"/>
          <w:szCs w:val="30"/>
        </w:rPr>
      </w:pPr>
    </w:p>
    <w:p w14:paraId="131651F4">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二、本次可转债回售结果和本次回售对公司的影响</w:t>
      </w:r>
    </w:p>
    <w:p w14:paraId="3FDB48E2">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（一）说明本次回售期间、</w:t>
      </w:r>
      <w:r>
        <w:rPr>
          <w:rFonts w:hint="eastAsia" w:ascii="仿宋_GB2312" w:hAnsi="仿宋_GB2312" w:eastAsia="仿宋_GB2312" w:cs="仿宋_GB2312"/>
          <w:sz w:val="30"/>
          <w:szCs w:val="30"/>
        </w:rPr>
        <w:t>回售价格、</w:t>
      </w:r>
      <w:r>
        <w:rPr>
          <w:rFonts w:hint="eastAsia" w:ascii="仿宋" w:hAnsi="仿宋" w:eastAsia="仿宋_GB2312"/>
          <w:color w:val="000000"/>
          <w:sz w:val="30"/>
          <w:szCs w:val="30"/>
        </w:rPr>
        <w:t>（根据中国证券登记结算有限责任公司上海分公司提供的数据）本次回售的有效申报数量和回售金额、发行人关于回售款项的支付方式和回售资金到账日等事项。</w:t>
      </w:r>
    </w:p>
    <w:p w14:paraId="161E065C">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（二）说明本次回售对公司现金流、资产状况、股本情况等方面的影响。</w:t>
      </w:r>
    </w:p>
    <w:p w14:paraId="2C0AADB7">
      <w:pPr>
        <w:adjustRightInd w:val="0"/>
        <w:snapToGrid w:val="0"/>
        <w:spacing w:line="560" w:lineRule="exact"/>
        <w:ind w:firstLine="602" w:firstLineChars="200"/>
        <w:rPr>
          <w:rFonts w:ascii="仿宋" w:hAnsi="仿宋" w:eastAsia="仿宋_GB2312"/>
          <w:b/>
          <w:color w:val="000000"/>
          <w:sz w:val="30"/>
          <w:szCs w:val="30"/>
        </w:rPr>
      </w:pPr>
    </w:p>
    <w:p w14:paraId="40607623">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三、本次可转债回售的后续事项</w:t>
      </w:r>
    </w:p>
    <w:p w14:paraId="138A7BF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（一）提示对于未回售的“XX转债”将继续在上海证券交易所交易。（如适用）</w:t>
      </w:r>
    </w:p>
    <w:p w14:paraId="32C6D007">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（二）截至</w:t>
      </w:r>
      <w:r>
        <w:rPr>
          <w:rFonts w:hint="eastAsia" w:ascii="仿宋" w:hAnsi="仿宋" w:eastAsia="仿宋_GB2312"/>
          <w:sz w:val="30"/>
          <w:szCs w:val="30"/>
        </w:rPr>
        <w:t>XXXX年XX月XX日</w:t>
      </w:r>
      <w:r>
        <w:rPr>
          <w:rFonts w:hint="eastAsia" w:ascii="仿宋" w:hAnsi="仿宋" w:eastAsia="仿宋_GB2312"/>
          <w:color w:val="000000"/>
          <w:sz w:val="30"/>
          <w:szCs w:val="30"/>
        </w:rPr>
        <w:t>，公司“XX转债”</w:t>
      </w:r>
      <w:r>
        <w:rPr>
          <w:rFonts w:hint="eastAsia" w:ascii="仿宋" w:hAnsi="仿宋" w:eastAsia="仿宋_GB2312"/>
          <w:sz w:val="30"/>
          <w:szCs w:val="30"/>
        </w:rPr>
        <w:t>尚未转股的转债</w:t>
      </w:r>
      <w:r>
        <w:rPr>
          <w:rFonts w:hint="eastAsia" w:ascii="仿宋" w:hAnsi="仿宋" w:eastAsia="仿宋_GB2312"/>
          <w:color w:val="000000"/>
          <w:sz w:val="30"/>
          <w:szCs w:val="30"/>
        </w:rPr>
        <w:t>面值总额为XXXX元，少于</w:t>
      </w:r>
      <w:r>
        <w:rPr>
          <w:rFonts w:ascii="仿宋" w:hAnsi="仿宋" w:eastAsia="仿宋_GB2312"/>
          <w:color w:val="000000"/>
          <w:sz w:val="30"/>
          <w:szCs w:val="30"/>
        </w:rPr>
        <w:t xml:space="preserve">3000 </w:t>
      </w:r>
      <w:r>
        <w:rPr>
          <w:rFonts w:hint="eastAsia" w:ascii="仿宋" w:hAnsi="仿宋" w:eastAsia="仿宋_GB2312"/>
          <w:color w:val="000000"/>
          <w:sz w:val="30"/>
          <w:szCs w:val="30"/>
        </w:rPr>
        <w:t>万元，根据</w:t>
      </w:r>
      <w:r>
        <w:rPr>
          <w:rFonts w:ascii="仿宋" w:hAnsi="仿宋" w:eastAsia="仿宋_GB2312"/>
          <w:color w:val="000000"/>
          <w:sz w:val="30"/>
          <w:szCs w:val="30"/>
        </w:rPr>
        <w:t xml:space="preserve"> </w:t>
      </w:r>
      <w:r>
        <w:rPr>
          <w:rFonts w:hint="eastAsia" w:ascii="仿宋" w:hAnsi="仿宋" w:eastAsia="仿宋_GB2312"/>
          <w:color w:val="000000"/>
          <w:sz w:val="30"/>
          <w:szCs w:val="30"/>
        </w:rPr>
        <w:t>《上海证券交易所股票上市规则》的有关规定，“XX转债”</w:t>
      </w:r>
      <w:r>
        <w:rPr>
          <w:rFonts w:hint="eastAsia" w:ascii="仿宋" w:hAnsi="仿宋" w:eastAsia="仿宋_GB2312"/>
          <w:sz w:val="30"/>
          <w:szCs w:val="30"/>
        </w:rPr>
        <w:t>将</w:t>
      </w:r>
      <w:r>
        <w:rPr>
          <w:rFonts w:hint="eastAsia" w:ascii="仿宋" w:hAnsi="仿宋" w:eastAsia="仿宋_GB2312"/>
          <w:color w:val="000000"/>
          <w:sz w:val="30"/>
          <w:szCs w:val="30"/>
        </w:rPr>
        <w:t>停止交易。公司需要按照《上市公司可转债停止交易公告》公告格式披露“XX转债”停止交易的相关事项。（如适用）</w:t>
      </w:r>
    </w:p>
    <w:p w14:paraId="72DA4523">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（三）自XXXX年XX月XX日起，本公司的“XX转债”（转债代码：XXXXXX）将在上海证券交易所摘牌。（适用于本次可转债回售结果为全部回售并摘牌的情况）</w:t>
      </w:r>
    </w:p>
    <w:p w14:paraId="1BF14A46">
      <w:pPr>
        <w:adjustRightInd w:val="0"/>
        <w:snapToGrid w:val="0"/>
        <w:spacing w:line="560" w:lineRule="exact"/>
        <w:ind w:firstLine="600" w:firstLineChars="200"/>
        <w:rPr>
          <w:rFonts w:ascii="仿宋" w:hAnsi="仿宋" w:eastAsia="仿宋_GB2312"/>
          <w:color w:val="000000"/>
          <w:sz w:val="30"/>
          <w:szCs w:val="30"/>
        </w:rPr>
      </w:pPr>
      <w:r>
        <w:rPr>
          <w:rFonts w:ascii="仿宋" w:hAnsi="仿宋" w:eastAsia="仿宋_GB2312"/>
          <w:color w:val="000000"/>
          <w:sz w:val="30"/>
          <w:szCs w:val="30"/>
        </w:rPr>
        <w:t xml:space="preserve"> </w:t>
      </w:r>
    </w:p>
    <w:p w14:paraId="2AD7A83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40E1C431">
      <w:pPr>
        <w:adjustRightInd w:val="0"/>
        <w:snapToGrid w:val="0"/>
        <w:spacing w:line="560" w:lineRule="exact"/>
        <w:ind w:firstLine="600" w:firstLineChars="200"/>
        <w:rPr>
          <w:rFonts w:ascii="仿宋" w:hAnsi="仿宋" w:eastAsia="仿宋_GB2312"/>
          <w:color w:val="000000"/>
          <w:sz w:val="30"/>
          <w:szCs w:val="30"/>
        </w:rPr>
      </w:pPr>
    </w:p>
    <w:p w14:paraId="5638F126">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 xml:space="preserve">                            XXXX股份有限公司董事会</w:t>
      </w:r>
    </w:p>
    <w:p w14:paraId="67D280A7">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  月  日</w:t>
      </w:r>
    </w:p>
    <w:p w14:paraId="7F56EF4C">
      <w:pPr>
        <w:adjustRightInd w:val="0"/>
        <w:snapToGrid w:val="0"/>
        <w:spacing w:line="560" w:lineRule="exact"/>
        <w:ind w:firstLine="600" w:firstLineChars="200"/>
        <w:jc w:val="right"/>
        <w:rPr>
          <w:rFonts w:ascii="仿宋" w:hAnsi="仿宋" w:eastAsia="仿宋_GB2312"/>
          <w:color w:val="000000"/>
          <w:sz w:val="30"/>
          <w:szCs w:val="30"/>
        </w:rPr>
      </w:pPr>
    </w:p>
    <w:p w14:paraId="3D62D20E">
      <w:pPr>
        <w:numPr>
          <w:ilvl w:val="0"/>
          <w:numId w:val="8"/>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报备文件</w:t>
      </w:r>
    </w:p>
    <w:p w14:paraId="6560A8CA">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中国证券登记结算有限责任公司上海分公司提供的回售结果证明</w:t>
      </w:r>
    </w:p>
    <w:p w14:paraId="741BCCBE">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14:paraId="23042BBF">
      <w:pPr>
        <w:pStyle w:val="3"/>
        <w:rPr>
          <w:rFonts w:ascii="黑体" w:hAnsi="黑体" w:eastAsia="黑体"/>
        </w:rPr>
      </w:pPr>
      <w:bookmarkStart w:id="40" w:name="_Toc108525211"/>
      <w:r>
        <w:rPr>
          <w:rFonts w:hint="eastAsia" w:ascii="黑体" w:hAnsi="黑体" w:eastAsia="黑体"/>
        </w:rPr>
        <w:t>三、可转债赎回</w:t>
      </w:r>
      <w:bookmarkEnd w:id="40"/>
    </w:p>
    <w:p w14:paraId="29B8F23E">
      <w:pPr>
        <w:pStyle w:val="4"/>
        <w:rPr>
          <w:sz w:val="32"/>
          <w:szCs w:val="32"/>
        </w:rPr>
      </w:pPr>
      <w:bookmarkStart w:id="41" w:name="_Toc108525212"/>
      <w:r>
        <w:rPr>
          <w:sz w:val="32"/>
          <w:szCs w:val="32"/>
        </w:rPr>
        <w:t>8.</w:t>
      </w:r>
      <w:r>
        <w:rPr>
          <w:rFonts w:hint="eastAsia"/>
          <w:sz w:val="32"/>
          <w:szCs w:val="32"/>
        </w:rPr>
        <w:t>上市公司可转债预计满足赎回条件的提示性公告</w:t>
      </w:r>
      <w:bookmarkEnd w:id="41"/>
    </w:p>
    <w:p w14:paraId="5D5F72BF">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18D99188">
      <w:pPr>
        <w:adjustRightInd w:val="0"/>
        <w:snapToGrid w:val="0"/>
        <w:spacing w:line="560" w:lineRule="exact"/>
        <w:ind w:firstLine="600" w:firstLineChars="200"/>
        <w:rPr>
          <w:rFonts w:ascii="仿宋" w:hAnsi="仿宋" w:eastAsia="仿宋_GB2312"/>
          <w:sz w:val="30"/>
          <w:szCs w:val="30"/>
        </w:rPr>
      </w:pPr>
      <w:r>
        <w:rPr>
          <w:rFonts w:hint="eastAsia" w:ascii="仿宋_GB2312" w:hAnsi="仿宋_GB2312" w:eastAsia="仿宋_GB2312" w:cs="仿宋_GB2312"/>
          <w:sz w:val="30"/>
          <w:szCs w:val="30"/>
        </w:rPr>
        <w:t>在可转债存续期内，上市公司应当持续关注赎回条件是否满足，预计可能满足赎回条件的，应当在赎回条件满足的5个交易日前按照</w:t>
      </w:r>
      <w:r>
        <w:rPr>
          <w:rFonts w:hint="eastAsia" w:ascii="仿宋" w:hAnsi="仿宋" w:eastAsia="仿宋_GB2312"/>
          <w:sz w:val="30"/>
          <w:szCs w:val="30"/>
        </w:rPr>
        <w:t>本公告格式</w:t>
      </w:r>
      <w:r>
        <w:rPr>
          <w:rFonts w:hint="eastAsia" w:ascii="仿宋_GB2312" w:hAnsi="仿宋_GB2312" w:eastAsia="仿宋_GB2312" w:cs="仿宋_GB2312"/>
          <w:sz w:val="30"/>
          <w:szCs w:val="30"/>
        </w:rPr>
        <w:t>披露提示性公告，向市场充分提示风险。</w:t>
      </w:r>
    </w:p>
    <w:p w14:paraId="0757FFBF">
      <w:pPr>
        <w:adjustRightInd w:val="0"/>
        <w:snapToGrid w:val="0"/>
        <w:spacing w:line="560" w:lineRule="exact"/>
        <w:ind w:firstLine="600" w:firstLineChars="200"/>
        <w:rPr>
          <w:rFonts w:ascii="仿宋" w:hAnsi="仿宋" w:eastAsia="仿宋_GB2312"/>
          <w:sz w:val="30"/>
          <w:szCs w:val="30"/>
        </w:rPr>
      </w:pPr>
    </w:p>
    <w:p w14:paraId="7B8F8C48">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10A6C3A5">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6ABACC02">
      <w:pPr>
        <w:adjustRightInd w:val="0"/>
        <w:snapToGrid w:val="0"/>
        <w:spacing w:line="560" w:lineRule="exact"/>
        <w:ind w:firstLine="600" w:firstLineChars="200"/>
        <w:jc w:val="left"/>
        <w:rPr>
          <w:rFonts w:ascii="仿宋" w:hAnsi="仿宋" w:eastAsia="仿宋_GB2312"/>
          <w:sz w:val="30"/>
          <w:szCs w:val="30"/>
        </w:rPr>
      </w:pPr>
    </w:p>
    <w:p w14:paraId="0D3E7D99">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XXXX股份有限公司关于“XX转债”预计满足赎回条件的提示性公告</w:t>
      </w:r>
    </w:p>
    <w:p w14:paraId="1756708B">
      <w:pPr>
        <w:adjustRightInd w:val="0"/>
        <w:snapToGrid w:val="0"/>
        <w:spacing w:before="156" w:beforeLines="50" w:line="560" w:lineRule="exact"/>
        <w:jc w:val="center"/>
        <w:rPr>
          <w:rFonts w:ascii="仿宋" w:hAnsi="仿宋" w:eastAsia="仿宋_GB2312"/>
          <w:bCs/>
          <w:color w:val="000000"/>
          <w:sz w:val="30"/>
          <w:szCs w:val="30"/>
        </w:rPr>
      </w:pPr>
    </w:p>
    <w:p w14:paraId="481A6970">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43D626E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2AC7A946">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660853B6">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58E85864">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172E25FE">
      <w:pPr>
        <w:autoSpaceDE w:val="0"/>
        <w:autoSpaceDN w:val="0"/>
        <w:adjustRightInd w:val="0"/>
        <w:snapToGrid w:val="0"/>
        <w:spacing w:line="560" w:lineRule="exact"/>
        <w:ind w:firstLine="600" w:firstLineChars="200"/>
        <w:rPr>
          <w:rFonts w:ascii="仿宋" w:hAnsi="仿宋" w:eastAsia="仿宋_GB2312"/>
          <w:sz w:val="30"/>
          <w:szCs w:val="30"/>
        </w:rPr>
      </w:pPr>
    </w:p>
    <w:p w14:paraId="3B83944A">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二、可转债赎回条款与预计触发情况</w:t>
      </w:r>
    </w:p>
    <w:p w14:paraId="7397A2B3">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（一）赎回条款</w:t>
      </w:r>
    </w:p>
    <w:p w14:paraId="0EE619A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说明《可转换公司债券募集说明书》约定的赎回条款。</w:t>
      </w:r>
    </w:p>
    <w:p w14:paraId="6D46CF81">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（二）赎回条款预计触发情况</w:t>
      </w:r>
    </w:p>
    <w:p w14:paraId="63614476">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说明有条件赎回条款的</w:t>
      </w:r>
      <w:r>
        <w:rPr>
          <w:rFonts w:hint="eastAsia" w:ascii="仿宋_GB2312" w:hAnsi="Times New Roman" w:eastAsia="仿宋_GB2312" w:cs="仿宋_GB2312"/>
          <w:kern w:val="2"/>
          <w:sz w:val="30"/>
          <w:szCs w:val="30"/>
        </w:rPr>
        <w:t>当前触发进度，并提示若未来</w:t>
      </w:r>
      <w:r>
        <w:rPr>
          <w:rFonts w:hint="eastAsia" w:ascii="仿宋" w:hAnsi="仿宋" w:eastAsia="仿宋_GB2312"/>
          <w:sz w:val="30"/>
          <w:szCs w:val="30"/>
        </w:rPr>
        <w:t>XX个交易日内仍有</w:t>
      </w:r>
      <w:r>
        <w:rPr>
          <w:rFonts w:hint="eastAsia" w:ascii="仿宋_GB2312" w:hAnsi="Times New Roman" w:eastAsia="仿宋_GB2312" w:cs="仿宋_GB2312"/>
          <w:kern w:val="2"/>
          <w:sz w:val="30"/>
          <w:szCs w:val="30"/>
        </w:rPr>
        <w:t>五个交易日公司股票价格继续满足相关条件的，将可能触发“</w:t>
      </w:r>
      <w:r>
        <w:rPr>
          <w:rFonts w:hint="eastAsia" w:ascii="仿宋" w:hAnsi="仿宋" w:eastAsia="仿宋_GB2312"/>
          <w:sz w:val="30"/>
          <w:szCs w:val="30"/>
        </w:rPr>
        <w:t>XX</w:t>
      </w:r>
      <w:r>
        <w:rPr>
          <w:rFonts w:hint="eastAsia" w:ascii="仿宋_GB2312" w:hAnsi="Times New Roman" w:eastAsia="仿宋_GB2312" w:cs="仿宋_GB2312"/>
          <w:kern w:val="2"/>
          <w:sz w:val="30"/>
          <w:szCs w:val="30"/>
        </w:rPr>
        <w:t>转债”的赎回条款。</w:t>
      </w:r>
    </w:p>
    <w:p w14:paraId="3E59644F">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14:paraId="7B72E901">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三、风险提示</w:t>
      </w:r>
    </w:p>
    <w:p w14:paraId="04ED7B44">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公司将根据本公司《可转换公司债券募集说明书》的约定和相关法律法规要求，于触发可转债赎回条款后确定本次是否赎回“XX转债”，并及时履行信息披露义务。</w:t>
      </w:r>
    </w:p>
    <w:p w14:paraId="6793F9EB">
      <w:pPr>
        <w:pStyle w:val="15"/>
        <w:shd w:val="clear" w:color="auto" w:fill="FFFFFF"/>
        <w:spacing w:before="0" w:beforeAutospacing="0" w:after="0" w:afterAutospacing="0" w:line="560" w:lineRule="exact"/>
        <w:ind w:firstLine="536"/>
        <w:jc w:val="both"/>
        <w:rPr>
          <w:rFonts w:ascii="仿宋" w:hAnsi="仿宋" w:eastAsia="仿宋_GB2312"/>
          <w:sz w:val="30"/>
          <w:szCs w:val="30"/>
        </w:rPr>
      </w:pPr>
      <w:r>
        <w:rPr>
          <w:rFonts w:hint="eastAsia" w:ascii="仿宋" w:hAnsi="仿宋" w:eastAsia="仿宋_GB2312"/>
          <w:sz w:val="30"/>
          <w:szCs w:val="30"/>
        </w:rPr>
        <w:t>敬请广大投资者详细了解可转债赎回条款及其潜在影响，并关注公司后续公告，注意投资风险。</w:t>
      </w:r>
    </w:p>
    <w:p w14:paraId="3AF03C19">
      <w:pPr>
        <w:adjustRightInd w:val="0"/>
        <w:snapToGrid w:val="0"/>
        <w:spacing w:line="560" w:lineRule="exact"/>
        <w:ind w:firstLine="600" w:firstLineChars="200"/>
        <w:rPr>
          <w:rFonts w:ascii="仿宋" w:hAnsi="仿宋" w:eastAsia="仿宋_GB2312"/>
          <w:sz w:val="30"/>
          <w:szCs w:val="30"/>
        </w:rPr>
      </w:pPr>
    </w:p>
    <w:p w14:paraId="74CA89B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01267CF6">
      <w:pPr>
        <w:adjustRightInd w:val="0"/>
        <w:snapToGrid w:val="0"/>
        <w:spacing w:line="560" w:lineRule="exact"/>
        <w:ind w:firstLine="600" w:firstLineChars="200"/>
        <w:rPr>
          <w:rFonts w:ascii="仿宋" w:hAnsi="仿宋" w:eastAsia="仿宋_GB2312"/>
          <w:sz w:val="30"/>
          <w:szCs w:val="30"/>
        </w:rPr>
      </w:pPr>
    </w:p>
    <w:p w14:paraId="6B9346F7">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4CC59FC4">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5F9C287F">
      <w:pPr>
        <w:pStyle w:val="15"/>
        <w:shd w:val="clear" w:color="auto" w:fill="FFFFFF"/>
        <w:spacing w:before="0" w:beforeAutospacing="0" w:after="0" w:afterAutospacing="0"/>
        <w:ind w:firstLine="536"/>
        <w:rPr>
          <w:rFonts w:ascii="仿宋" w:hAnsi="仿宋" w:eastAsia="仿宋_GB2312"/>
          <w:sz w:val="30"/>
          <w:szCs w:val="30"/>
        </w:rPr>
      </w:pPr>
    </w:p>
    <w:p w14:paraId="76194845">
      <w:pPr>
        <w:widowControl/>
        <w:jc w:val="left"/>
        <w:rPr>
          <w:rFonts w:ascii="仿宋_GB2312" w:hAnsi="Times New Roman" w:eastAsia="仿宋_GB2312" w:cs="仿宋_GB2312"/>
          <w:b/>
          <w:kern w:val="0"/>
          <w:sz w:val="30"/>
          <w:szCs w:val="30"/>
        </w:rPr>
      </w:pPr>
      <w:r>
        <w:rPr>
          <w:rFonts w:ascii="仿宋_GB2312" w:hAnsi="Times New Roman" w:eastAsia="仿宋_GB2312" w:cs="仿宋_GB2312"/>
          <w:b/>
          <w:kern w:val="0"/>
          <w:sz w:val="30"/>
          <w:szCs w:val="30"/>
        </w:rPr>
        <w:br w:type="page"/>
      </w:r>
    </w:p>
    <w:p w14:paraId="35478960">
      <w:pPr>
        <w:pStyle w:val="4"/>
        <w:rPr>
          <w:sz w:val="32"/>
          <w:szCs w:val="32"/>
        </w:rPr>
      </w:pPr>
      <w:bookmarkStart w:id="42" w:name="_Toc108525213"/>
      <w:r>
        <w:rPr>
          <w:sz w:val="32"/>
          <w:szCs w:val="32"/>
        </w:rPr>
        <w:t>9.</w:t>
      </w:r>
      <w:r>
        <w:rPr>
          <w:rFonts w:hint="eastAsia"/>
          <w:sz w:val="32"/>
          <w:szCs w:val="32"/>
        </w:rPr>
        <w:t>上市公司可转债提前赎回/不赎回的公告</w:t>
      </w:r>
      <w:bookmarkEnd w:id="42"/>
    </w:p>
    <w:p w14:paraId="4C4B786C">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5C63EDC2">
      <w:pPr>
        <w:adjustRightInd w:val="0"/>
        <w:snapToGrid w:val="0"/>
        <w:spacing w:line="560" w:lineRule="exact"/>
        <w:ind w:firstLine="600" w:firstLineChars="200"/>
        <w:rPr>
          <w:rFonts w:ascii="仿宋_GB2312" w:eastAsia="仿宋_GB2312"/>
          <w:sz w:val="30"/>
          <w:szCs w:val="30"/>
        </w:rPr>
      </w:pPr>
      <w:r>
        <w:rPr>
          <w:rFonts w:hint="eastAsia" w:ascii="仿宋" w:hAnsi="仿宋" w:eastAsia="仿宋_GB2312"/>
          <w:sz w:val="30"/>
          <w:szCs w:val="30"/>
        </w:rPr>
        <w:t>1、</w:t>
      </w:r>
      <w:r>
        <w:rPr>
          <w:rFonts w:hint="eastAsia" w:ascii="仿宋_GB2312" w:eastAsia="仿宋_GB2312"/>
          <w:sz w:val="30"/>
          <w:szCs w:val="30"/>
        </w:rPr>
        <w:t>上市公司在满足可转债赎回条件的当日召开董事会决定是否行使赎回权并披露赎回或者不赎回公告时，适用本公告格式。</w:t>
      </w:r>
    </w:p>
    <w:p w14:paraId="086BCC19">
      <w:pPr>
        <w:adjustRightInd w:val="0"/>
        <w:snapToGrid w:val="0"/>
        <w:spacing w:line="560" w:lineRule="exact"/>
        <w:ind w:firstLine="600" w:firstLineChars="200"/>
        <w:rPr>
          <w:rFonts w:ascii="仿宋" w:hAnsi="仿宋" w:eastAsia="仿宋_GB2312"/>
          <w:sz w:val="30"/>
          <w:szCs w:val="30"/>
        </w:rPr>
      </w:pPr>
      <w:r>
        <w:rPr>
          <w:rFonts w:ascii="仿宋_GB2312" w:eastAsia="仿宋_GB2312"/>
          <w:sz w:val="30"/>
          <w:szCs w:val="30"/>
        </w:rPr>
        <w:t>2</w:t>
      </w:r>
      <w:r>
        <w:rPr>
          <w:rFonts w:hint="eastAsia" w:ascii="仿宋_GB2312" w:eastAsia="仿宋_GB2312"/>
          <w:sz w:val="30"/>
          <w:szCs w:val="30"/>
        </w:rPr>
        <w:t>、上市公司未按规定履行审议程序及信息披露义务的，视为不行使本次赎回权，且应当按照本公告格式进行补充披露。</w:t>
      </w:r>
    </w:p>
    <w:p w14:paraId="7A677868">
      <w:pPr>
        <w:adjustRightInd w:val="0"/>
        <w:snapToGrid w:val="0"/>
        <w:spacing w:line="560" w:lineRule="exact"/>
        <w:ind w:firstLine="600" w:firstLineChars="200"/>
        <w:rPr>
          <w:rFonts w:ascii="仿宋" w:hAnsi="仿宋" w:eastAsia="仿宋_GB2312"/>
          <w:sz w:val="30"/>
          <w:szCs w:val="30"/>
        </w:rPr>
      </w:pPr>
    </w:p>
    <w:p w14:paraId="1D9D7651">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证券简称：</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公告编号：</w:t>
      </w:r>
    </w:p>
    <w:p w14:paraId="58879D27">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转债简称：</w:t>
      </w:r>
    </w:p>
    <w:p w14:paraId="78853D80">
      <w:pPr>
        <w:adjustRightInd w:val="0"/>
        <w:snapToGrid w:val="0"/>
        <w:spacing w:line="560" w:lineRule="exact"/>
        <w:rPr>
          <w:rFonts w:ascii="仿宋" w:hAnsi="仿宋" w:eastAsia="仿宋_GB2312"/>
          <w:sz w:val="30"/>
          <w:szCs w:val="30"/>
        </w:rPr>
      </w:pPr>
    </w:p>
    <w:p w14:paraId="44F2C495">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XXXX股份有限公司关于提前赎回/不赎回“XX转债”的公告</w:t>
      </w:r>
    </w:p>
    <w:p w14:paraId="6BC698AD">
      <w:pPr>
        <w:adjustRightInd w:val="0"/>
        <w:snapToGrid w:val="0"/>
        <w:spacing w:before="156" w:beforeLines="50" w:line="560" w:lineRule="exact"/>
        <w:jc w:val="center"/>
        <w:rPr>
          <w:rFonts w:ascii="仿宋" w:hAnsi="仿宋" w:eastAsia="仿宋_GB2312"/>
          <w:bCs/>
          <w:color w:val="000000"/>
          <w:sz w:val="30"/>
          <w:szCs w:val="30"/>
        </w:rPr>
      </w:pPr>
    </w:p>
    <w:p w14:paraId="4ABC6F3D">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434CCAC9">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1CF9878E">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33198D32">
      <w:pPr>
        <w:widowControl/>
        <w:shd w:val="clear" w:color="auto" w:fill="FFFFFF"/>
        <w:adjustRightInd w:val="0"/>
        <w:snapToGrid w:val="0"/>
        <w:spacing w:line="560" w:lineRule="exact"/>
        <w:ind w:firstLine="602" w:firstLineChars="200"/>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14:paraId="00A02CCA">
      <w:pPr>
        <w:pStyle w:val="34"/>
        <w:widowControl/>
        <w:numPr>
          <w:ilvl w:val="0"/>
          <w:numId w:val="9"/>
        </w:numPr>
        <w:shd w:val="clear" w:color="auto" w:fill="FFFFFF"/>
        <w:adjustRightInd w:val="0"/>
        <w:snapToGrid w:val="0"/>
        <w:spacing w:line="560" w:lineRule="exact"/>
        <w:ind w:firstLine="6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简述可转债赎回条款的触发情况，以及公司是否行使赎回权的决定。</w:t>
      </w:r>
    </w:p>
    <w:p w14:paraId="56186184">
      <w:pPr>
        <w:pStyle w:val="34"/>
        <w:widowControl/>
        <w:numPr>
          <w:ilvl w:val="0"/>
          <w:numId w:val="9"/>
        </w:numPr>
        <w:shd w:val="clear" w:color="auto" w:fill="FFFFFF"/>
        <w:adjustRightInd w:val="0"/>
        <w:snapToGrid w:val="0"/>
        <w:spacing w:line="560" w:lineRule="exact"/>
        <w:ind w:firstLine="600"/>
        <w:rPr>
          <w:rFonts w:ascii="仿宋_GB2312" w:hAnsi="Times New Roman" w:eastAsia="仿宋_GB2312" w:cs="仿宋_GB2312"/>
          <w:kern w:val="0"/>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w:t>
      </w:r>
      <w:r>
        <w:rPr>
          <w:rFonts w:hint="eastAsia" w:ascii="仿宋" w:hAnsi="仿宋" w:eastAsia="仿宋_GB2312"/>
          <w:sz w:val="30"/>
          <w:szCs w:val="30"/>
        </w:rPr>
        <w:t>XX</w:t>
      </w:r>
      <w:r>
        <w:rPr>
          <w:rFonts w:hint="eastAsia" w:ascii="仿宋_GB2312" w:hAnsi="Times New Roman" w:eastAsia="仿宋_GB2312" w:cs="仿宋_GB2312"/>
          <w:sz w:val="30"/>
          <w:szCs w:val="30"/>
        </w:rPr>
        <w:t>元）被强制赎回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。（提前赎回适用）</w:t>
      </w:r>
    </w:p>
    <w:p w14:paraId="4CF5AC77">
      <w:pPr>
        <w:widowControl/>
        <w:adjustRightInd w:val="0"/>
        <w:snapToGrid w:val="0"/>
        <w:spacing w:line="560" w:lineRule="exact"/>
        <w:ind w:firstLine="602" w:firstLineChars="200"/>
        <w:rPr>
          <w:rFonts w:ascii="仿宋" w:hAnsi="仿宋" w:eastAsia="仿宋_GB2312" w:cs="宋体"/>
          <w:b/>
          <w:bCs/>
          <w:kern w:val="0"/>
          <w:sz w:val="30"/>
          <w:szCs w:val="30"/>
        </w:rPr>
      </w:pPr>
    </w:p>
    <w:p w14:paraId="73007349">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一、可转债发行上市概况</w:t>
      </w:r>
    </w:p>
    <w:p w14:paraId="78FA8B62">
      <w:pPr>
        <w:autoSpaceDE w:val="0"/>
        <w:autoSpaceDN w:val="0"/>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cs="宋体"/>
          <w:kern w:val="0"/>
          <w:sz w:val="30"/>
          <w:szCs w:val="30"/>
        </w:rPr>
        <w:t>说明可转债发行上市的基本情况，</w:t>
      </w:r>
      <w:r>
        <w:rPr>
          <w:rFonts w:hint="eastAsia" w:ascii="仿宋" w:hAnsi="仿宋" w:eastAsia="仿宋_GB2312"/>
          <w:sz w:val="30"/>
          <w:szCs w:val="30"/>
        </w:rPr>
        <w:t>包括发行日期、数量、面值、总额、利率、期限，</w:t>
      </w:r>
      <w:r>
        <w:rPr>
          <w:rFonts w:hint="eastAsia" w:ascii="仿宋" w:hAnsi="仿宋" w:eastAsia="仿宋_GB2312" w:cs="宋体"/>
          <w:kern w:val="0"/>
          <w:sz w:val="30"/>
          <w:szCs w:val="30"/>
        </w:rPr>
        <w:t>上市日期、交易代码、转债简称，</w:t>
      </w:r>
      <w:r>
        <w:rPr>
          <w:rFonts w:hint="eastAsia" w:ascii="仿宋" w:hAnsi="仿宋" w:eastAsia="仿宋_GB2312"/>
          <w:sz w:val="30"/>
          <w:szCs w:val="30"/>
        </w:rPr>
        <w:t>以及可转债开始转股的日期、转股价格等。</w:t>
      </w:r>
    </w:p>
    <w:p w14:paraId="47AFE020">
      <w:pPr>
        <w:autoSpaceDE w:val="0"/>
        <w:autoSpaceDN w:val="0"/>
        <w:adjustRightInd w:val="0"/>
        <w:snapToGrid w:val="0"/>
        <w:spacing w:line="560" w:lineRule="exact"/>
        <w:ind w:firstLine="600" w:firstLineChars="200"/>
        <w:rPr>
          <w:rFonts w:ascii="仿宋" w:hAnsi="仿宋" w:eastAsia="仿宋_GB2312"/>
          <w:sz w:val="30"/>
          <w:szCs w:val="30"/>
        </w:rPr>
      </w:pPr>
    </w:p>
    <w:p w14:paraId="05DBD628">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二、可转债赎回条款与触发情况</w:t>
      </w:r>
    </w:p>
    <w:p w14:paraId="576F2F44">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（一）赎回条款</w:t>
      </w:r>
    </w:p>
    <w:p w14:paraId="36BECBE3">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说明《可转换公司债券募集说明书》约定的有条件赎回条款。</w:t>
      </w:r>
    </w:p>
    <w:p w14:paraId="322379B3">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_GB2312" w:hAnsi="Times New Roman" w:eastAsia="仿宋_GB2312" w:cs="仿宋_GB2312"/>
          <w:kern w:val="2"/>
          <w:sz w:val="30"/>
          <w:szCs w:val="30"/>
        </w:rPr>
        <w:t>（二）赎回条款触发情况</w:t>
      </w:r>
    </w:p>
    <w:p w14:paraId="6BC158A0">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r>
        <w:rPr>
          <w:rFonts w:hint="eastAsia" w:ascii="仿宋" w:hAnsi="仿宋" w:eastAsia="仿宋_GB2312"/>
          <w:sz w:val="30"/>
          <w:szCs w:val="30"/>
        </w:rPr>
        <w:t>说明赎回条款的实际</w:t>
      </w:r>
      <w:r>
        <w:rPr>
          <w:rFonts w:hint="eastAsia" w:ascii="仿宋_GB2312" w:hAnsi="Times New Roman" w:eastAsia="仿宋_GB2312" w:cs="仿宋_GB2312"/>
          <w:kern w:val="2"/>
          <w:sz w:val="30"/>
          <w:szCs w:val="30"/>
        </w:rPr>
        <w:t>触发情况。</w:t>
      </w:r>
    </w:p>
    <w:p w14:paraId="7F38A353">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kern w:val="2"/>
          <w:sz w:val="30"/>
          <w:szCs w:val="30"/>
        </w:rPr>
      </w:pPr>
    </w:p>
    <w:p w14:paraId="641B3702">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三、公司提前赎回/不赎回“XX转债”的决定</w:t>
      </w:r>
    </w:p>
    <w:p w14:paraId="70028744">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说明公司行使可转债赎回权的审议程序和最终决定。</w:t>
      </w:r>
    </w:p>
    <w:p w14:paraId="5CAC892F">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上市公司不行使赎回权的，应当充分说明不赎回的具体原因，且在未来至少3个月内不得再次行使赎回权，并在公告中说明下一满足赎回条件期间的起算时间。</w:t>
      </w:r>
    </w:p>
    <w:p w14:paraId="574059A0">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p>
    <w:p w14:paraId="297344F4">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四、相关主体减持可转债情况</w:t>
      </w:r>
    </w:p>
    <w:p w14:paraId="1BEB18A0">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决定行使或者不行使可转债赎回权的，应当充分披露其实际控制人、控股股东、持有5%以上股份的股东、董事、高级管理人员在赎回条件满足前的6个月内交易该可转债的情况。披露内容应当包括期初持有数量、期间合计买入数量、期间合计卖出数量、期末持有数量等。</w:t>
      </w:r>
    </w:p>
    <w:p w14:paraId="0A534131">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上市公司决定不行使可转债赎回权的，应当按照相关规定披露上述主体减持可转债的计划，相关主体应当予以配合。</w:t>
      </w:r>
    </w:p>
    <w:p w14:paraId="0B57864A">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p>
    <w:p w14:paraId="50767B58">
      <w:pPr>
        <w:widowControl/>
        <w:adjustRightInd w:val="0"/>
        <w:snapToGrid w:val="0"/>
        <w:spacing w:line="560" w:lineRule="exact"/>
        <w:ind w:firstLine="602" w:firstLineChars="200"/>
        <w:rPr>
          <w:rFonts w:ascii="黑体" w:hAnsi="黑体" w:eastAsia="黑体" w:cs="宋体"/>
          <w:b/>
          <w:bCs/>
          <w:kern w:val="0"/>
          <w:sz w:val="30"/>
          <w:szCs w:val="30"/>
        </w:rPr>
      </w:pPr>
      <w:r>
        <w:rPr>
          <w:rFonts w:hint="eastAsia" w:ascii="黑体" w:hAnsi="黑体" w:eastAsia="黑体" w:cs="宋体"/>
          <w:b/>
          <w:bCs/>
          <w:kern w:val="0"/>
          <w:sz w:val="30"/>
          <w:szCs w:val="30"/>
        </w:rPr>
        <w:t>五、风险提示（提前赎回适用）</w:t>
      </w:r>
    </w:p>
    <w:p w14:paraId="4BB7A6B9">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投资者所持可转债除在规定时限内通过二级市场继续交易或按照</w:t>
      </w:r>
      <w:r>
        <w:rPr>
          <w:rFonts w:ascii="仿宋_GB2312" w:hAnsi="仿宋_GB2312" w:eastAsia="仿宋_GB2312" w:cs="仿宋_GB2312"/>
          <w:sz w:val="30"/>
          <w:szCs w:val="30"/>
        </w:rPr>
        <w:t>XX</w:t>
      </w:r>
      <w:r>
        <w:rPr>
          <w:rFonts w:hint="eastAsia" w:ascii="仿宋_GB2312" w:hAnsi="仿宋_GB2312" w:eastAsia="仿宋_GB2312" w:cs="仿宋_GB2312"/>
          <w:sz w:val="30"/>
          <w:szCs w:val="30"/>
        </w:rPr>
        <w:t>元的转股价格进行转股外，仅能选择以</w:t>
      </w:r>
      <w:r>
        <w:rPr>
          <w:rFonts w:ascii="仿宋_GB2312" w:hAnsi="仿宋_GB2312" w:eastAsia="仿宋_GB2312" w:cs="仿宋_GB2312"/>
          <w:sz w:val="30"/>
          <w:szCs w:val="30"/>
        </w:rPr>
        <w:t>100</w:t>
      </w:r>
      <w:r>
        <w:rPr>
          <w:rFonts w:hint="eastAsia" w:ascii="仿宋_GB2312" w:hAnsi="仿宋_GB2312" w:eastAsia="仿宋_GB2312" w:cs="仿宋_GB2312"/>
          <w:sz w:val="30"/>
          <w:szCs w:val="30"/>
        </w:rPr>
        <w:t>元</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张的票面价格加当期应计利息（即</w:t>
      </w:r>
      <w:r>
        <w:rPr>
          <w:rFonts w:ascii="仿宋_GB2312" w:hAnsi="仿宋_GB2312" w:eastAsia="仿宋_GB2312" w:cs="仿宋_GB2312"/>
          <w:sz w:val="30"/>
          <w:szCs w:val="30"/>
        </w:rPr>
        <w:t>XX</w:t>
      </w:r>
      <w:r>
        <w:rPr>
          <w:rFonts w:hint="eastAsia" w:ascii="仿宋_GB2312" w:hAnsi="仿宋_GB2312" w:eastAsia="仿宋_GB2312" w:cs="仿宋_GB2312"/>
          <w:sz w:val="30"/>
          <w:szCs w:val="30"/>
        </w:rPr>
        <w:t>元）被强制赎回。若被强制赎回，可能面临较大投资损失。</w:t>
      </w:r>
    </w:p>
    <w:p w14:paraId="0E0D83F8">
      <w:pPr>
        <w:pStyle w:val="15"/>
        <w:shd w:val="clear" w:color="auto" w:fill="FFFFFF"/>
        <w:spacing w:before="0" w:beforeAutospacing="0" w:after="0" w:afterAutospacing="0" w:line="560" w:lineRule="exact"/>
        <w:ind w:firstLine="536"/>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公司将尽快披露《关于实施“XX转债”赎回的公告》，明确</w:t>
      </w:r>
      <w:r>
        <w:rPr>
          <w:rFonts w:hint="eastAsia" w:ascii="仿宋_GB2312" w:hAnsi="Times New Roman" w:eastAsia="仿宋_GB2312" w:cs="仿宋_GB2312"/>
          <w:kern w:val="2"/>
          <w:sz w:val="30"/>
          <w:szCs w:val="30"/>
        </w:rPr>
        <w:t>有关赎回程序、价格、付款方式及时间等具体事宜。</w:t>
      </w:r>
    </w:p>
    <w:p w14:paraId="591DBFD9">
      <w:pPr>
        <w:adjustRightInd w:val="0"/>
        <w:snapToGrid w:val="0"/>
        <w:spacing w:line="560" w:lineRule="exact"/>
        <w:ind w:firstLine="600" w:firstLineChars="200"/>
        <w:rPr>
          <w:rFonts w:ascii="仿宋" w:hAnsi="仿宋" w:eastAsia="仿宋_GB2312"/>
          <w:sz w:val="30"/>
          <w:szCs w:val="30"/>
        </w:rPr>
      </w:pPr>
    </w:p>
    <w:p w14:paraId="267B3A8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1D426517">
      <w:pPr>
        <w:adjustRightInd w:val="0"/>
        <w:snapToGrid w:val="0"/>
        <w:spacing w:line="560" w:lineRule="exact"/>
        <w:ind w:firstLine="600" w:firstLineChars="200"/>
        <w:rPr>
          <w:rFonts w:ascii="仿宋" w:hAnsi="仿宋" w:eastAsia="仿宋_GB2312"/>
          <w:sz w:val="30"/>
          <w:szCs w:val="30"/>
        </w:rPr>
      </w:pPr>
    </w:p>
    <w:p w14:paraId="4AA15744">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5471A70F">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5623C5CE">
      <w:pPr>
        <w:pStyle w:val="15"/>
        <w:shd w:val="clear" w:color="auto" w:fill="FFFFFF"/>
        <w:spacing w:before="0" w:beforeAutospacing="0" w:after="0" w:afterAutospacing="0"/>
        <w:ind w:firstLine="600" w:firstLineChars="200"/>
        <w:rPr>
          <w:rFonts w:ascii="仿宋_GB2312" w:hAnsi="Times New Roman" w:eastAsia="仿宋_GB2312" w:cs="仿宋_GB2312"/>
          <w:kern w:val="2"/>
          <w:sz w:val="30"/>
          <w:szCs w:val="30"/>
        </w:rPr>
      </w:pPr>
    </w:p>
    <w:p w14:paraId="041AF51F">
      <w:pPr>
        <w:pStyle w:val="15"/>
        <w:shd w:val="clear" w:color="auto" w:fill="FFFFFF"/>
        <w:spacing w:before="0" w:beforeAutospacing="0" w:after="0" w:afterAutospacing="0"/>
        <w:ind w:firstLine="536"/>
        <w:rPr>
          <w:rFonts w:ascii="仿宋_GB2312" w:hAnsi="Times New Roman" w:eastAsia="仿宋_GB2312" w:cs="仿宋_GB2312"/>
          <w:bCs/>
          <w:sz w:val="30"/>
          <w:szCs w:val="30"/>
        </w:rPr>
      </w:pPr>
      <w:r>
        <w:rPr>
          <w:rFonts w:ascii="仿宋_GB2312" w:hAnsi="Times New Roman" w:eastAsia="仿宋_GB2312" w:cs="仿宋_GB2312"/>
          <w:bCs/>
          <w:sz w:val="30"/>
          <w:szCs w:val="30"/>
        </w:rPr>
        <w:br w:type="page"/>
      </w:r>
    </w:p>
    <w:p w14:paraId="04FD91FE">
      <w:pPr>
        <w:pStyle w:val="4"/>
        <w:rPr>
          <w:sz w:val="32"/>
          <w:szCs w:val="32"/>
        </w:rPr>
      </w:pPr>
      <w:bookmarkStart w:id="43" w:name="_Toc108525214"/>
      <w:r>
        <w:rPr>
          <w:sz w:val="32"/>
          <w:szCs w:val="32"/>
        </w:rPr>
        <w:t>10.</w:t>
      </w:r>
      <w:r>
        <w:rPr>
          <w:rFonts w:hint="eastAsia"/>
          <w:sz w:val="32"/>
          <w:szCs w:val="32"/>
        </w:rPr>
        <w:t>上市公司可转债赎回（暨摘牌）实施公告</w:t>
      </w:r>
      <w:bookmarkEnd w:id="37"/>
      <w:bookmarkEnd w:id="38"/>
      <w:bookmarkEnd w:id="39"/>
      <w:bookmarkEnd w:id="43"/>
    </w:p>
    <w:p w14:paraId="43205D22">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03AD9C74">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1、上市公司满足可转债赎回条件并决定行使赎回权时，适用本公告格式。上市公司应注意赎回条件触发日与赎回资金发放日的间隔期限应当不少于15个交易日且不超过30个交易日。</w:t>
      </w:r>
    </w:p>
    <w:p w14:paraId="439CF693">
      <w:pPr>
        <w:adjustRightInd w:val="0"/>
        <w:snapToGrid w:val="0"/>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2、赎回登记日前，上市公司披露赎回提示性公告参照适用。</w:t>
      </w:r>
    </w:p>
    <w:p w14:paraId="0D9CBD64">
      <w:pPr>
        <w:adjustRightInd w:val="0"/>
        <w:snapToGrid w:val="0"/>
        <w:spacing w:line="560" w:lineRule="exact"/>
        <w:ind w:firstLine="600" w:firstLineChars="200"/>
        <w:rPr>
          <w:rFonts w:ascii="仿宋" w:hAnsi="仿宋" w:eastAsia="仿宋_GB2312"/>
          <w:color w:val="000000"/>
          <w:sz w:val="30"/>
          <w:szCs w:val="30"/>
        </w:rPr>
      </w:pPr>
    </w:p>
    <w:p w14:paraId="789D232B">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1AB505A6">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14F391E2">
      <w:pPr>
        <w:adjustRightInd w:val="0"/>
        <w:snapToGrid w:val="0"/>
        <w:spacing w:line="560" w:lineRule="exact"/>
        <w:ind w:firstLine="600" w:firstLineChars="200"/>
        <w:rPr>
          <w:rFonts w:ascii="仿宋" w:hAnsi="仿宋" w:eastAsia="仿宋_GB2312"/>
          <w:sz w:val="30"/>
          <w:szCs w:val="30"/>
        </w:rPr>
      </w:pPr>
    </w:p>
    <w:p w14:paraId="0AC3EA78">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XXXX股份有限公司关于实施“XX转债”赎回（暨摘牌）的公告/第</w:t>
      </w:r>
      <w:r>
        <w:rPr>
          <w:rFonts w:ascii="仿宋" w:hAnsi="仿宋" w:eastAsia="仿宋_GB2312"/>
          <w:sz w:val="30"/>
          <w:szCs w:val="30"/>
        </w:rPr>
        <w:t>N</w:t>
      </w:r>
      <w:r>
        <w:rPr>
          <w:rFonts w:hint="eastAsia" w:ascii="仿宋" w:hAnsi="仿宋" w:eastAsia="仿宋_GB2312"/>
          <w:sz w:val="30"/>
          <w:szCs w:val="30"/>
        </w:rPr>
        <w:t>次提示性公告</w:t>
      </w:r>
    </w:p>
    <w:p w14:paraId="62B5FCBF">
      <w:pPr>
        <w:adjustRightInd w:val="0"/>
        <w:snapToGrid w:val="0"/>
        <w:spacing w:line="560" w:lineRule="exact"/>
        <w:ind w:firstLine="600" w:firstLineChars="200"/>
        <w:rPr>
          <w:rFonts w:ascii="仿宋" w:hAnsi="仿宋" w:eastAsia="仿宋_GB2312"/>
          <w:sz w:val="30"/>
          <w:szCs w:val="30"/>
        </w:rPr>
      </w:pPr>
    </w:p>
    <w:p w14:paraId="41D3505C">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6A313E52">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3F06424B">
      <w:pPr>
        <w:adjustRightInd w:val="0"/>
        <w:snapToGrid w:val="0"/>
        <w:spacing w:line="560" w:lineRule="exact"/>
        <w:ind w:firstLine="600" w:firstLineChars="200"/>
        <w:rPr>
          <w:rFonts w:ascii="仿宋" w:hAnsi="仿宋" w:eastAsia="仿宋_GB2312"/>
          <w:sz w:val="30"/>
          <w:szCs w:val="30"/>
        </w:rPr>
      </w:pPr>
    </w:p>
    <w:p w14:paraId="01C09D9E">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14:paraId="1243F1A2">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赎回登记日：XXXX年XX月XX日</w:t>
      </w:r>
    </w:p>
    <w:p w14:paraId="70EDF1EE">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赎回价格：XX.XX元/张</w:t>
      </w:r>
    </w:p>
    <w:p w14:paraId="06368CB7">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赎回款发放日： XXXX年XX月XX日</w:t>
      </w:r>
    </w:p>
    <w:p w14:paraId="6979EA0A">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最后交易日：XXXX年XX月XX日</w:t>
      </w:r>
    </w:p>
    <w:p w14:paraId="3BAF2CB8">
      <w:pPr>
        <w:adjustRightInd w:val="0"/>
        <w:snapToGrid w:val="0"/>
        <w:spacing w:line="560" w:lineRule="exact"/>
        <w:ind w:firstLine="600" w:firstLineChars="200"/>
        <w:rPr>
          <w:rFonts w:ascii="仿宋" w:hAnsi="仿宋" w:eastAsia="仿宋_GB2312"/>
          <w:sz w:val="30"/>
          <w:szCs w:val="30"/>
        </w:rPr>
      </w:pPr>
      <w:r>
        <w:rPr>
          <w:rFonts w:hint="eastAsia" w:ascii="仿宋_GB2312" w:hAnsi="Times New Roman" w:eastAsia="仿宋_GB2312" w:cs="仿宋_GB2312"/>
          <w:sz w:val="30"/>
          <w:szCs w:val="30"/>
        </w:rPr>
        <w:t>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转债”最后交易日）仅剩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转债”最后一个交易日。</w:t>
      </w:r>
    </w:p>
    <w:p w14:paraId="5B9D3C05">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最后转股日：XXXX年XX月XX日</w:t>
      </w:r>
    </w:p>
    <w:p w14:paraId="035E0D64">
      <w:pPr>
        <w:adjustRightInd w:val="0"/>
        <w:snapToGrid w:val="0"/>
        <w:spacing w:line="560" w:lineRule="exact"/>
        <w:ind w:firstLine="600" w:firstLineChars="200"/>
        <w:rPr>
          <w:rFonts w:ascii="仿宋" w:hAnsi="仿宋" w:eastAsia="仿宋_GB2312"/>
          <w:sz w:val="30"/>
          <w:szCs w:val="30"/>
        </w:rPr>
      </w:pPr>
      <w:r>
        <w:rPr>
          <w:rFonts w:hint="eastAsia" w:ascii="仿宋_GB2312" w:hAnsi="Times New Roman" w:eastAsia="仿宋_GB2312" w:cs="仿宋_GB2312"/>
          <w:sz w:val="30"/>
          <w:szCs w:val="30"/>
        </w:rPr>
        <w:t>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转债”最后转股日）仅剩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转债”最后一个转股日。</w:t>
      </w:r>
    </w:p>
    <w:p w14:paraId="09A0D448">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本次提前赎回完成后，XX转债将自XXXX年XX月XX日起在上海证券交易所摘牌。</w:t>
      </w:r>
    </w:p>
    <w:p w14:paraId="4B8A52D9">
      <w:pPr>
        <w:numPr>
          <w:ilvl w:val="0"/>
          <w:numId w:val="10"/>
        </w:numPr>
        <w:adjustRightInd w:val="0"/>
        <w:snapToGrid w:val="0"/>
        <w:spacing w:line="560" w:lineRule="exact"/>
        <w:ind w:left="0" w:firstLine="600" w:firstLineChars="200"/>
        <w:rPr>
          <w:rFonts w:ascii="仿宋" w:hAnsi="仿宋" w:eastAsia="仿宋_GB2312"/>
          <w:sz w:val="30"/>
          <w:szCs w:val="30"/>
        </w:rPr>
      </w:pPr>
      <w:r>
        <w:rPr>
          <w:rFonts w:hint="eastAsia" w:ascii="仿宋_GB2312" w:hAnsi="Times New Roman" w:eastAsia="仿宋_GB2312" w:cs="仿宋_GB2312"/>
          <w:sz w:val="30"/>
          <w:szCs w:val="30"/>
        </w:rPr>
        <w:t>投资者所持可转债除在</w:t>
      </w:r>
      <w:r>
        <w:rPr>
          <w:rFonts w:hint="eastAsia" w:ascii="仿宋_GB2312" w:hAnsi="Times New Roman" w:eastAsia="仿宋_GB2312" w:cs="仿宋_GB2312"/>
          <w:kern w:val="0"/>
          <w:sz w:val="30"/>
          <w:szCs w:val="30"/>
        </w:rPr>
        <w:t>规定时限内</w:t>
      </w:r>
      <w:r>
        <w:rPr>
          <w:rFonts w:hint="eastAsia" w:ascii="仿宋_GB2312" w:hAnsi="Times New Roman" w:eastAsia="仿宋_GB2312" w:cs="仿宋_GB2312"/>
          <w:sz w:val="30"/>
          <w:szCs w:val="30"/>
        </w:rPr>
        <w:t>通过二级市场继续交易或按照</w:t>
      </w:r>
      <w:r>
        <w:rPr>
          <w:rFonts w:hint="eastAsia" w:ascii="仿宋" w:hAnsi="仿宋" w:eastAsia="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w:t>
      </w:r>
      <w:r>
        <w:rPr>
          <w:rFonts w:hint="eastAsia" w:ascii="仿宋_GB2312" w:hAnsi="Times New Roman" w:eastAsia="仿宋_GB2312" w:cs="仿宋_GB2312"/>
          <w:bCs/>
          <w:sz w:val="30"/>
          <w:szCs w:val="30"/>
        </w:rPr>
        <w:t>（即XX元）</w:t>
      </w:r>
      <w:r>
        <w:rPr>
          <w:rFonts w:hint="eastAsia" w:ascii="仿宋_GB2312" w:hAnsi="Times New Roman" w:eastAsia="仿宋_GB2312" w:cs="仿宋_GB2312"/>
          <w:sz w:val="30"/>
          <w:szCs w:val="30"/>
        </w:rPr>
        <w:t>被强制赎回</w:t>
      </w:r>
      <w:r>
        <w:rPr>
          <w:rFonts w:hint="eastAsia" w:ascii="仿宋_GB2312" w:hAnsi="Times New Roman" w:eastAsia="仿宋_GB2312" w:cs="仿宋_GB2312"/>
          <w:kern w:val="0"/>
          <w:sz w:val="30"/>
          <w:szCs w:val="30"/>
        </w:rPr>
        <w:t>。若被强制赎回，可能面临较大投资损失</w:t>
      </w:r>
      <w:r>
        <w:rPr>
          <w:rFonts w:hint="eastAsia" w:ascii="仿宋_GB2312" w:hAnsi="Times New Roman" w:eastAsia="仿宋_GB2312" w:cs="仿宋_GB2312"/>
          <w:sz w:val="30"/>
          <w:szCs w:val="30"/>
        </w:rPr>
        <w:t>。</w:t>
      </w:r>
    </w:p>
    <w:p w14:paraId="7E568E16">
      <w:pPr>
        <w:numPr>
          <w:ilvl w:val="0"/>
          <w:numId w:val="10"/>
        </w:numPr>
        <w:adjustRightInd w:val="0"/>
        <w:snapToGrid w:val="0"/>
        <w:spacing w:line="560" w:lineRule="exact"/>
        <w:ind w:left="0" w:firstLine="602" w:firstLineChars="200"/>
        <w:rPr>
          <w:rFonts w:ascii="仿宋" w:hAnsi="仿宋" w:eastAsia="仿宋_GB2312"/>
          <w:sz w:val="30"/>
          <w:szCs w:val="30"/>
        </w:rPr>
      </w:pPr>
      <w:r>
        <w:rPr>
          <w:rFonts w:hint="eastAsia" w:ascii="仿宋_GB2312" w:hAnsi="Times New Roman" w:eastAsia="仿宋_GB2312" w:cs="仿宋_GB2312"/>
          <w:b/>
          <w:sz w:val="30"/>
          <w:szCs w:val="30"/>
        </w:rPr>
        <w:t>特提醒</w:t>
      </w:r>
      <w:r>
        <w:rPr>
          <w:rFonts w:ascii="仿宋_GB2312" w:hAnsi="Times New Roman" w:eastAsia="仿宋_GB2312" w:cs="仿宋_GB2312"/>
          <w:b/>
          <w:sz w:val="30"/>
          <w:szCs w:val="30"/>
        </w:rPr>
        <w:t>“</w:t>
      </w:r>
      <w:r>
        <w:rPr>
          <w:rFonts w:hint="eastAsia" w:ascii="仿宋" w:hAnsi="仿宋" w:eastAsia="仿宋_GB2312"/>
          <w:b/>
          <w:bCs/>
          <w:sz w:val="30"/>
          <w:szCs w:val="30"/>
        </w:rPr>
        <w:t>XX</w:t>
      </w:r>
      <w:r>
        <w:rPr>
          <w:rFonts w:hint="eastAsia" w:ascii="仿宋_GB2312" w:hAnsi="Times New Roman" w:eastAsia="仿宋_GB2312" w:cs="仿宋_GB2312"/>
          <w:b/>
          <w:sz w:val="30"/>
          <w:szCs w:val="30"/>
        </w:rPr>
        <w:t>转债</w:t>
      </w:r>
      <w:r>
        <w:rPr>
          <w:rFonts w:ascii="仿宋_GB2312" w:hAnsi="Times New Roman" w:eastAsia="仿宋_GB2312" w:cs="仿宋_GB2312"/>
          <w:b/>
          <w:sz w:val="30"/>
          <w:szCs w:val="30"/>
        </w:rPr>
        <w:t>”</w:t>
      </w:r>
      <w:r>
        <w:rPr>
          <w:rFonts w:hint="eastAsia" w:ascii="仿宋_GB2312" w:hAnsi="Times New Roman" w:eastAsia="仿宋_GB2312" w:cs="仿宋_GB2312"/>
          <w:b/>
          <w:sz w:val="30"/>
          <w:szCs w:val="30"/>
        </w:rPr>
        <w:t>持有人注意在限期内转股或卖出。</w:t>
      </w:r>
    </w:p>
    <w:p w14:paraId="32996E96">
      <w:pPr>
        <w:adjustRightInd w:val="0"/>
        <w:snapToGrid w:val="0"/>
        <w:spacing w:line="560" w:lineRule="exact"/>
        <w:ind w:left="600"/>
        <w:rPr>
          <w:rFonts w:ascii="仿宋" w:hAnsi="仿宋" w:eastAsia="仿宋_GB2312"/>
          <w:sz w:val="30"/>
          <w:szCs w:val="30"/>
        </w:rPr>
      </w:pPr>
    </w:p>
    <w:p w14:paraId="4E01CD01">
      <w:pPr>
        <w:pStyle w:val="7"/>
        <w:adjustRightInd w:val="0"/>
        <w:snapToGrid w:val="0"/>
        <w:spacing w:after="0" w:line="560" w:lineRule="exact"/>
        <w:ind w:left="0" w:leftChars="0"/>
        <w:rPr>
          <w:rFonts w:ascii="仿宋" w:hAnsi="仿宋" w:eastAsia="仿宋_GB2312"/>
          <w:sz w:val="30"/>
          <w:szCs w:val="30"/>
        </w:rPr>
      </w:pPr>
      <w:r>
        <w:rPr>
          <w:rFonts w:ascii="仿宋" w:hAnsi="仿宋" w:eastAsia="仿宋_GB2312"/>
          <w:sz w:val="30"/>
          <w:szCs w:val="30"/>
        </w:rPr>
        <w:t xml:space="preserve">    </w:t>
      </w:r>
      <w:r>
        <w:rPr>
          <w:rFonts w:hint="eastAsia" w:ascii="仿宋" w:hAnsi="仿宋" w:eastAsia="仿宋_GB2312"/>
          <w:sz w:val="30"/>
          <w:szCs w:val="30"/>
        </w:rPr>
        <w:t>XXXX股份有限公司（以下简称“本公司”）的股票自XXXX年XX月XX日至XXXX年XX月XX日连续XX个交易日内有XX个交易日收盘价格高于（或不低于）本公司“XXXXXX可转换公司债券”（以下简称“XX转债”）当期转股价格的XX％。根据本公司《可转换公司债券募集说明书》的约定，已触发可转债的赎回条款。本公司董事会第XX会议审议通过了关于提前赎回“XX转债”的议案,决定行使本公司可转债的提前赎回权,对“赎回登记日”登记在册的“XX转债”全部赎回。</w:t>
      </w:r>
    </w:p>
    <w:p w14:paraId="66BA76C8">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现依据《上市公司证券发行注册管理办法》《可转换公司债券管理办法》《上海证券交易所股票上市规则》和本公司《可转换公司债券募集说明书》的有关条款，就赎回有关事项向全体XX转债持有人公告如下：</w:t>
      </w:r>
    </w:p>
    <w:p w14:paraId="57005558">
      <w:pPr>
        <w:pStyle w:val="7"/>
        <w:adjustRightInd w:val="0"/>
        <w:snapToGrid w:val="0"/>
        <w:spacing w:after="0" w:line="560" w:lineRule="exact"/>
        <w:ind w:left="0" w:leftChars="0" w:firstLine="600" w:firstLineChars="200"/>
        <w:rPr>
          <w:rFonts w:ascii="仿宋" w:hAnsi="仿宋" w:eastAsia="仿宋_GB2312"/>
          <w:sz w:val="30"/>
          <w:szCs w:val="30"/>
        </w:rPr>
      </w:pPr>
    </w:p>
    <w:p w14:paraId="7413443D">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一、赎回条款</w:t>
      </w:r>
    </w:p>
    <w:p w14:paraId="7C3768BF">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披露《可转换公司债券募集说明书》约定的赎回条款，包括触发可转债赎回的条件、赎回的程序、赎回的价格等。</w:t>
      </w:r>
    </w:p>
    <w:p w14:paraId="6FD0AFDA">
      <w:pPr>
        <w:pStyle w:val="7"/>
        <w:adjustRightInd w:val="0"/>
        <w:snapToGrid w:val="0"/>
        <w:spacing w:after="0" w:line="560" w:lineRule="exact"/>
        <w:ind w:left="0" w:leftChars="0" w:firstLine="600" w:firstLineChars="200"/>
        <w:rPr>
          <w:rFonts w:ascii="仿宋" w:hAnsi="仿宋" w:eastAsia="仿宋_GB2312"/>
          <w:sz w:val="30"/>
          <w:szCs w:val="30"/>
        </w:rPr>
      </w:pPr>
    </w:p>
    <w:p w14:paraId="7941A9FB">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二、本次可转债赎回的有关事项</w:t>
      </w:r>
    </w:p>
    <w:p w14:paraId="0C99E101">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（一）赎回条件的成就情况</w:t>
      </w:r>
    </w:p>
    <w:p w14:paraId="7D566EB1">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公司股票自XXXX年XX月XX日至XXXX年XX月XX日连续XX个交易日内有XX个交易日收盘价格高于（或不低于）XX转债当期转股价格的XX％，已满足“XX转债”的赎回条件。</w:t>
      </w:r>
    </w:p>
    <w:p w14:paraId="2B0A84A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（二）赎回登记日</w:t>
      </w:r>
    </w:p>
    <w:p w14:paraId="48307D5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本次赎回对象为XXXX年XX月XX日收市后在中国证券登记结算有限责任公司上海分公司（以下简称“中登上海分公司”）登记在册的“XX转债”的全部持有人。</w:t>
      </w:r>
    </w:p>
    <w:p w14:paraId="526A79CE">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（三）赎回价格</w:t>
      </w:r>
    </w:p>
    <w:p w14:paraId="2777DF40">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根据本公司《可转换公司债券募集说明书》中关于提前赎回的约定，赎回价格为XX.XX元/张（应列明计算方法和结果）。</w:t>
      </w:r>
    </w:p>
    <w:p w14:paraId="3E5BFC2E">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（四）赎回程序</w:t>
      </w:r>
    </w:p>
    <w:p w14:paraId="7393A86F">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本公司将在赎回期结束前按规定披露“XX转债”赎回提示性公告，通知“XX转债”持有人有关本次赎回的各项事项。</w:t>
      </w:r>
    </w:p>
    <w:p w14:paraId="6F43C93F">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当本公司决定执行全部赎回时，在赎回登记日次一交易日起所有在中登上海分公司登记在册的XX转债将全部被冻结。</w:t>
      </w:r>
    </w:p>
    <w:p w14:paraId="5D68E78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本公司在本次赎回结束后，在中国证监会指定媒体上公告本次赎回结果和本次赎回对本公司的影响。</w:t>
      </w:r>
    </w:p>
    <w:p w14:paraId="56214184">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（五）赎回款发放日：XXXX年XX月XX日</w:t>
      </w:r>
    </w:p>
    <w:p w14:paraId="1C2D1B0C">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本公司将委托中登上海分公司通过其资金清算系统向赎回日登记在册并在上海证券交易所各会员单位办理了指定交易的持有人派发赎回款，同时减记持有人相应的“XX转债”数额。已办理全面指定交易的投资者可于发放日在其指定的证券营业部领取赎回款，未办理指定交易的投资者赎回款暂由中登上海分公司保管，待办理指定交易后再进行派发。</w:t>
      </w:r>
    </w:p>
    <w:p w14:paraId="7DAA56E1">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（六）交易和转股</w:t>
      </w:r>
    </w:p>
    <w:p w14:paraId="3E9868D4">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说明“XX转债”停止交易的相关安排。</w:t>
      </w:r>
      <w:r>
        <w:rPr>
          <w:rFonts w:hint="eastAsia" w:ascii="仿宋_GB2312" w:eastAsia="仿宋_GB2312" w:cs="仿宋_GB2312"/>
          <w:sz w:val="30"/>
          <w:szCs w:val="30"/>
        </w:rPr>
        <w:t>截至</w:t>
      </w:r>
      <w:r>
        <w:rPr>
          <w:rFonts w:hint="eastAsia" w:ascii="仿宋" w:hAnsi="仿宋" w:eastAsia="仿宋_GB2312"/>
          <w:sz w:val="30"/>
          <w:szCs w:val="30"/>
        </w:rPr>
        <w:t>XXXX</w:t>
      </w:r>
      <w:r>
        <w:rPr>
          <w:rFonts w:hint="eastAsia" w:ascii="仿宋_GB2312" w:eastAsia="仿宋_GB2312" w:cs="仿宋_GB2312"/>
          <w:sz w:val="30"/>
          <w:szCs w:val="30"/>
        </w:rPr>
        <w:t>年</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日收市后，距离</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w:t>
      </w:r>
      <w:r>
        <w:rPr>
          <w:rFonts w:hint="eastAsia" w:ascii="仿宋" w:hAnsi="仿宋" w:eastAsia="仿宋_GB2312"/>
          <w:sz w:val="30"/>
          <w:szCs w:val="30"/>
        </w:rPr>
        <w:t>XX</w:t>
      </w:r>
      <w:r>
        <w:rPr>
          <w:rFonts w:hint="eastAsia" w:ascii="仿宋_GB2312" w:eastAsia="仿宋_GB2312" w:cs="仿宋_GB2312"/>
          <w:sz w:val="30"/>
          <w:szCs w:val="30"/>
        </w:rPr>
        <w:t>转债”最后交易日）仅剩</w:t>
      </w:r>
      <w:r>
        <w:rPr>
          <w:rFonts w:hint="eastAsia" w:ascii="仿宋" w:hAnsi="仿宋" w:eastAsia="仿宋_GB2312"/>
          <w:sz w:val="30"/>
          <w:szCs w:val="30"/>
        </w:rPr>
        <w:t>XX</w:t>
      </w:r>
      <w:r>
        <w:rPr>
          <w:rFonts w:hint="eastAsia" w:ascii="仿宋_GB2312" w:eastAsia="仿宋_GB2312" w:cs="仿宋_GB2312"/>
          <w:sz w:val="30"/>
          <w:szCs w:val="30"/>
        </w:rPr>
        <w:t>个交易日，</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日为“</w:t>
      </w:r>
      <w:r>
        <w:rPr>
          <w:rFonts w:hint="eastAsia" w:ascii="仿宋" w:hAnsi="仿宋" w:eastAsia="仿宋_GB2312"/>
          <w:sz w:val="30"/>
          <w:szCs w:val="30"/>
        </w:rPr>
        <w:t>XX</w:t>
      </w:r>
      <w:r>
        <w:rPr>
          <w:rFonts w:hint="eastAsia" w:ascii="仿宋_GB2312" w:eastAsia="仿宋_GB2312" w:cs="仿宋_GB2312"/>
          <w:sz w:val="30"/>
          <w:szCs w:val="30"/>
        </w:rPr>
        <w:t>转债”最后一个交易日；距离</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w:t>
      </w:r>
      <w:r>
        <w:rPr>
          <w:rFonts w:hint="eastAsia" w:ascii="仿宋" w:hAnsi="仿宋" w:eastAsia="仿宋_GB2312"/>
          <w:sz w:val="30"/>
          <w:szCs w:val="30"/>
        </w:rPr>
        <w:t>XX</w:t>
      </w:r>
      <w:r>
        <w:rPr>
          <w:rFonts w:hint="eastAsia" w:ascii="仿宋_GB2312" w:eastAsia="仿宋_GB2312" w:cs="仿宋_GB2312"/>
          <w:sz w:val="30"/>
          <w:szCs w:val="30"/>
        </w:rPr>
        <w:t>转债”最后转股日）仅剩</w:t>
      </w:r>
      <w:r>
        <w:rPr>
          <w:rFonts w:hint="eastAsia" w:ascii="仿宋" w:hAnsi="仿宋" w:eastAsia="仿宋_GB2312"/>
          <w:sz w:val="30"/>
          <w:szCs w:val="30"/>
        </w:rPr>
        <w:t>XX</w:t>
      </w:r>
      <w:r>
        <w:rPr>
          <w:rFonts w:hint="eastAsia" w:ascii="仿宋_GB2312" w:eastAsia="仿宋_GB2312" w:cs="仿宋_GB2312"/>
          <w:sz w:val="30"/>
          <w:szCs w:val="30"/>
        </w:rPr>
        <w:t>个交易日，</w:t>
      </w:r>
      <w:r>
        <w:rPr>
          <w:rFonts w:hint="eastAsia" w:ascii="仿宋" w:hAnsi="仿宋" w:eastAsia="仿宋_GB2312"/>
          <w:sz w:val="30"/>
          <w:szCs w:val="30"/>
        </w:rPr>
        <w:t>XX</w:t>
      </w:r>
      <w:r>
        <w:rPr>
          <w:rFonts w:hint="eastAsia" w:ascii="仿宋_GB2312" w:eastAsia="仿宋_GB2312" w:cs="仿宋_GB2312"/>
          <w:sz w:val="30"/>
          <w:szCs w:val="30"/>
        </w:rPr>
        <w:t>月</w:t>
      </w:r>
      <w:r>
        <w:rPr>
          <w:rFonts w:hint="eastAsia" w:ascii="仿宋" w:hAnsi="仿宋" w:eastAsia="仿宋_GB2312"/>
          <w:sz w:val="30"/>
          <w:szCs w:val="30"/>
        </w:rPr>
        <w:t>XX</w:t>
      </w:r>
      <w:r>
        <w:rPr>
          <w:rFonts w:hint="eastAsia" w:ascii="仿宋_GB2312" w:eastAsia="仿宋_GB2312" w:cs="仿宋_GB2312"/>
          <w:sz w:val="30"/>
          <w:szCs w:val="30"/>
        </w:rPr>
        <w:t>日为“</w:t>
      </w:r>
      <w:r>
        <w:rPr>
          <w:rFonts w:hint="eastAsia" w:ascii="仿宋" w:hAnsi="仿宋" w:eastAsia="仿宋_GB2312"/>
          <w:sz w:val="30"/>
          <w:szCs w:val="30"/>
        </w:rPr>
        <w:t>XX</w:t>
      </w:r>
      <w:r>
        <w:rPr>
          <w:rFonts w:hint="eastAsia" w:ascii="仿宋_GB2312" w:eastAsia="仿宋_GB2312" w:cs="仿宋_GB2312"/>
          <w:sz w:val="30"/>
          <w:szCs w:val="30"/>
        </w:rPr>
        <w:t>转债”最后一个转股日。</w:t>
      </w:r>
    </w:p>
    <w:p w14:paraId="5F2A2241">
      <w:pPr>
        <w:adjustRightInd w:val="0"/>
        <w:snapToGrid w:val="0"/>
        <w:spacing w:line="560" w:lineRule="exact"/>
        <w:ind w:firstLine="600" w:firstLineChars="200"/>
        <w:rPr>
          <w:rFonts w:ascii="仿宋" w:hAnsi="仿宋" w:eastAsia="仿宋_GB2312" w:cs="Times New Roman"/>
          <w:sz w:val="30"/>
          <w:szCs w:val="30"/>
        </w:rPr>
      </w:pPr>
      <w:r>
        <w:rPr>
          <w:rFonts w:hint="eastAsia" w:ascii="仿宋" w:hAnsi="仿宋" w:eastAsia="仿宋_GB2312" w:cs="Times New Roman"/>
          <w:sz w:val="30"/>
          <w:szCs w:val="30"/>
        </w:rPr>
        <w:t>（七）摘牌</w:t>
      </w:r>
    </w:p>
    <w:p w14:paraId="4B7A7FA9">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自XXXX年XX月XX日起，本公司的“XX转债”将在上海证券交易所摘牌。</w:t>
      </w:r>
    </w:p>
    <w:p w14:paraId="55C2832D">
      <w:pPr>
        <w:adjustRightInd w:val="0"/>
        <w:snapToGrid w:val="0"/>
        <w:spacing w:line="560" w:lineRule="exact"/>
        <w:ind w:firstLine="600" w:firstLineChars="200"/>
        <w:rPr>
          <w:rFonts w:ascii="仿宋" w:hAnsi="仿宋" w:eastAsia="仿宋_GB2312"/>
          <w:color w:val="000000"/>
          <w:sz w:val="30"/>
          <w:szCs w:val="30"/>
        </w:rPr>
      </w:pPr>
    </w:p>
    <w:p w14:paraId="48ADF6A0">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三、本次可转债赎回的风险提示</w:t>
      </w:r>
    </w:p>
    <w:p w14:paraId="36F38A86">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日收市后，距离</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w:t>
      </w:r>
      <w:r>
        <w:rPr>
          <w:rFonts w:hint="eastAsia" w:ascii="仿宋" w:hAnsi="仿宋" w:eastAsia="仿宋_GB2312"/>
          <w:sz w:val="30"/>
          <w:szCs w:val="30"/>
        </w:rPr>
        <w:t>XX</w:t>
      </w:r>
      <w:r>
        <w:rPr>
          <w:rFonts w:hint="eastAsia" w:ascii="仿宋_GB2312" w:hAnsi="Times New Roman" w:eastAsia="仿宋_GB2312" w:cs="仿宋_GB2312"/>
          <w:sz w:val="30"/>
          <w:szCs w:val="30"/>
        </w:rPr>
        <w:t>转债”停止交易日/停止转股日）仅剩</w:t>
      </w:r>
      <w:r>
        <w:rPr>
          <w:rFonts w:hint="eastAsia" w:ascii="仿宋" w:hAnsi="仿宋" w:eastAsia="仿宋_GB2312"/>
          <w:sz w:val="30"/>
          <w:szCs w:val="30"/>
        </w:rPr>
        <w:t>XX</w:t>
      </w:r>
      <w:r>
        <w:rPr>
          <w:rFonts w:hint="eastAsia" w:ascii="仿宋_GB2312" w:hAnsi="Times New Roman" w:eastAsia="仿宋_GB2312" w:cs="仿宋_GB2312"/>
          <w:sz w:val="30"/>
          <w:szCs w:val="30"/>
        </w:rPr>
        <w:t>个交易日，</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日为“</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hint="eastAsia" w:ascii="仿宋_GB2312" w:hAnsi="Times New Roman" w:eastAsia="仿宋_GB2312" w:cs="仿宋_GB2312"/>
          <w:kern w:val="2"/>
          <w:sz w:val="30"/>
          <w:szCs w:val="30"/>
        </w:rPr>
        <w:t>最后一个交易日</w:t>
      </w:r>
      <w:r>
        <w:rPr>
          <w:rFonts w:hint="eastAsia" w:ascii="仿宋_GB2312" w:hAnsi="Times New Roman" w:eastAsia="仿宋_GB2312" w:cs="仿宋_GB2312"/>
          <w:sz w:val="30"/>
          <w:szCs w:val="30"/>
        </w:rPr>
        <w:t>/转股日。特提醒</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持有人注意在限期内转股或卖出。</w:t>
      </w:r>
      <w:r>
        <w:rPr>
          <w:rFonts w:ascii="仿宋_GB2312" w:hAnsi="Times New Roman" w:eastAsia="仿宋_GB2312" w:cs="仿宋_GB2312"/>
          <w:sz w:val="30"/>
          <w:szCs w:val="30"/>
        </w:rPr>
        <w:t xml:space="preserve"> </w:t>
      </w:r>
    </w:p>
    <w:p w14:paraId="6A85F9D9">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（二）投资者持有的</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存在被质押或被冻结的，建议在停止交易日前解除质押或冻结，以免出现因无法转股而被强制赎回的情形。</w:t>
      </w:r>
      <w:r>
        <w:rPr>
          <w:rFonts w:ascii="仿宋_GB2312" w:hAnsi="Times New Roman" w:eastAsia="仿宋_GB2312" w:cs="仿宋_GB2312"/>
          <w:sz w:val="30"/>
          <w:szCs w:val="30"/>
        </w:rPr>
        <w:t xml:space="preserve"> </w:t>
      </w:r>
    </w:p>
    <w:p w14:paraId="7862658E">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w:t>
      </w:r>
      <w:r>
        <w:rPr>
          <w:rFonts w:ascii="仿宋_GB2312" w:hAnsi="Times New Roman" w:eastAsia="仿宋_GB2312" w:cs="仿宋_GB2312"/>
          <w:sz w:val="30"/>
          <w:szCs w:val="30"/>
        </w:rPr>
        <w:t>赎回登记日收市后，未实施转股的“</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将全部冻结，停止交易和转股，将按照</w:t>
      </w:r>
      <w:r>
        <w:rPr>
          <w:rFonts w:hint="eastAsia" w:ascii="仿宋" w:hAnsi="仿宋" w:eastAsia="仿宋_GB2312"/>
          <w:sz w:val="30"/>
          <w:szCs w:val="30"/>
        </w:rPr>
        <w:t>XX</w:t>
      </w:r>
      <w:r>
        <w:rPr>
          <w:rFonts w:hint="eastAsia" w:ascii="仿宋_GB2312" w:hAnsi="Times New Roman" w:eastAsia="仿宋_GB2312" w:cs="仿宋_GB2312"/>
          <w:sz w:val="30"/>
          <w:szCs w:val="30"/>
        </w:rPr>
        <w:t>元/张的价格被强制赎回。本次赎回完成后，</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将在上海证券交易所摘牌</w:t>
      </w:r>
      <w:r>
        <w:rPr>
          <w:rFonts w:hint="eastAsia" w:ascii="仿宋" w:hAnsi="仿宋" w:eastAsia="仿宋_GB2312"/>
          <w:sz w:val="30"/>
          <w:szCs w:val="30"/>
        </w:rPr>
        <w:t>（赎回发行在外的全部可转债时）</w:t>
      </w:r>
      <w:r>
        <w:rPr>
          <w:rFonts w:hint="eastAsia" w:ascii="仿宋_GB2312" w:hAnsi="Times New Roman" w:eastAsia="仿宋_GB2312" w:cs="仿宋_GB2312"/>
          <w:sz w:val="30"/>
          <w:szCs w:val="30"/>
        </w:rPr>
        <w:t>。</w:t>
      </w:r>
      <w:r>
        <w:rPr>
          <w:rFonts w:ascii="仿宋_GB2312" w:hAnsi="Times New Roman" w:eastAsia="仿宋_GB2312" w:cs="仿宋_GB2312"/>
          <w:sz w:val="30"/>
          <w:szCs w:val="30"/>
        </w:rPr>
        <w:t xml:space="preserve"> </w:t>
      </w:r>
    </w:p>
    <w:p w14:paraId="139780D4">
      <w:pPr>
        <w:pStyle w:val="15"/>
        <w:shd w:val="clear" w:color="auto" w:fill="FFFFFF"/>
        <w:spacing w:before="0" w:beforeAutospacing="0" w:after="0" w:afterAutospacing="0" w:line="560" w:lineRule="exact"/>
        <w:ind w:firstLine="539"/>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w:t>
      </w:r>
      <w:r>
        <w:rPr>
          <w:rFonts w:ascii="仿宋_GB2312" w:hAnsi="Times New Roman" w:eastAsia="仿宋_GB2312" w:cs="仿宋_GB2312"/>
          <w:sz w:val="30"/>
          <w:szCs w:val="30"/>
        </w:rPr>
        <w:t>因目前“</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”二级市场价格（</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日收盘价为</w:t>
      </w:r>
      <w:r>
        <w:rPr>
          <w:rFonts w:hint="eastAsia" w:ascii="仿宋" w:hAnsi="仿宋" w:eastAsia="仿宋_GB2312"/>
          <w:sz w:val="30"/>
          <w:szCs w:val="30"/>
        </w:rPr>
        <w:t>XX</w:t>
      </w:r>
      <w:r>
        <w:rPr>
          <w:rFonts w:hint="eastAsia" w:ascii="仿宋_GB2312" w:hAnsi="Times New Roman" w:eastAsia="仿宋_GB2312" w:cs="仿宋_GB2312"/>
          <w:sz w:val="30"/>
          <w:szCs w:val="30"/>
        </w:rPr>
        <w:t>元/张）与赎回价格（</w:t>
      </w:r>
      <w:r>
        <w:rPr>
          <w:rFonts w:hint="eastAsia" w:ascii="仿宋" w:hAnsi="仿宋" w:eastAsia="仿宋_GB2312"/>
          <w:sz w:val="30"/>
          <w:szCs w:val="30"/>
        </w:rPr>
        <w:t>XX</w:t>
      </w:r>
      <w:r>
        <w:rPr>
          <w:rFonts w:hint="eastAsia" w:ascii="仿宋_GB2312" w:hAnsi="Times New Roman" w:eastAsia="仿宋_GB2312" w:cs="仿宋_GB2312"/>
          <w:sz w:val="30"/>
          <w:szCs w:val="30"/>
        </w:rPr>
        <w:t>元/张）差异较大，投资者如未及时转股或卖出，可能面临较大投资损失。</w:t>
      </w:r>
      <w:r>
        <w:rPr>
          <w:rFonts w:ascii="仿宋_GB2312" w:hAnsi="Times New Roman" w:eastAsia="仿宋_GB2312" w:cs="仿宋_GB2312"/>
          <w:sz w:val="30"/>
          <w:szCs w:val="30"/>
        </w:rPr>
        <w:t xml:space="preserve"> </w:t>
      </w:r>
    </w:p>
    <w:p w14:paraId="647DEDAB">
      <w:pPr>
        <w:pStyle w:val="15"/>
        <w:shd w:val="clear" w:color="auto" w:fill="FFFFFF"/>
        <w:spacing w:before="0" w:beforeAutospacing="0" w:after="0" w:afterAutospacing="0" w:line="560" w:lineRule="exact"/>
        <w:ind w:firstLine="536"/>
        <w:jc w:val="both"/>
        <w:rPr>
          <w:rFonts w:ascii="仿宋_GB2312" w:hAnsi="Times New Roman" w:eastAsia="仿宋_GB2312" w:cs="仿宋_GB2312"/>
          <w:b/>
          <w:sz w:val="30"/>
          <w:szCs w:val="30"/>
        </w:rPr>
      </w:pPr>
      <w:r>
        <w:rPr>
          <w:rFonts w:hint="eastAsia" w:ascii="仿宋_GB2312" w:hAnsi="Times New Roman" w:eastAsia="仿宋_GB2312" w:cs="仿宋_GB2312"/>
          <w:b/>
          <w:sz w:val="30"/>
          <w:szCs w:val="30"/>
        </w:rPr>
        <w:t>特提醒</w:t>
      </w:r>
      <w:r>
        <w:rPr>
          <w:rFonts w:ascii="仿宋_GB2312" w:hAnsi="Times New Roman" w:eastAsia="仿宋_GB2312" w:cs="仿宋_GB2312"/>
          <w:b/>
          <w:sz w:val="30"/>
          <w:szCs w:val="30"/>
        </w:rPr>
        <w:t>“</w:t>
      </w:r>
      <w:r>
        <w:rPr>
          <w:rFonts w:hint="eastAsia" w:ascii="仿宋" w:hAnsi="仿宋" w:eastAsia="仿宋_GB2312"/>
          <w:sz w:val="30"/>
          <w:szCs w:val="30"/>
        </w:rPr>
        <w:t>XX</w:t>
      </w:r>
      <w:r>
        <w:rPr>
          <w:rFonts w:hint="eastAsia" w:ascii="仿宋_GB2312" w:hAnsi="Times New Roman" w:eastAsia="仿宋_GB2312" w:cs="仿宋_GB2312"/>
          <w:b/>
          <w:sz w:val="30"/>
          <w:szCs w:val="30"/>
        </w:rPr>
        <w:t>转债</w:t>
      </w:r>
      <w:r>
        <w:rPr>
          <w:rFonts w:ascii="仿宋_GB2312" w:hAnsi="Times New Roman" w:eastAsia="仿宋_GB2312" w:cs="仿宋_GB2312"/>
          <w:b/>
          <w:sz w:val="30"/>
          <w:szCs w:val="30"/>
        </w:rPr>
        <w:t>”</w:t>
      </w:r>
      <w:r>
        <w:rPr>
          <w:rFonts w:hint="eastAsia" w:ascii="仿宋_GB2312" w:hAnsi="Times New Roman" w:eastAsia="仿宋_GB2312" w:cs="仿宋_GB2312"/>
          <w:b/>
          <w:sz w:val="30"/>
          <w:szCs w:val="30"/>
        </w:rPr>
        <w:t>持有人注意在限期内转股或卖出。</w:t>
      </w:r>
    </w:p>
    <w:p w14:paraId="3B542CC0">
      <w:pPr>
        <w:pStyle w:val="15"/>
        <w:shd w:val="clear" w:color="auto" w:fill="FFFFFF"/>
        <w:spacing w:before="0" w:beforeAutospacing="0" w:after="0" w:afterAutospacing="0" w:line="560" w:lineRule="exact"/>
        <w:ind w:firstLine="536"/>
        <w:jc w:val="both"/>
        <w:rPr>
          <w:rFonts w:ascii="仿宋_GB2312" w:hAnsi="Times New Roman" w:eastAsia="仿宋_GB2312" w:cs="仿宋_GB2312"/>
          <w:b/>
          <w:sz w:val="30"/>
          <w:szCs w:val="30"/>
        </w:rPr>
      </w:pPr>
    </w:p>
    <w:p w14:paraId="55C1B50A">
      <w:pPr>
        <w:pStyle w:val="7"/>
        <w:adjustRightInd w:val="0"/>
        <w:snapToGrid w:val="0"/>
        <w:spacing w:after="0" w:line="560" w:lineRule="exact"/>
        <w:ind w:left="0" w:leftChars="0" w:firstLine="602" w:firstLineChars="200"/>
        <w:rPr>
          <w:rFonts w:ascii="黑体" w:hAnsi="黑体" w:eastAsia="黑体"/>
          <w:b/>
          <w:bCs/>
          <w:sz w:val="30"/>
          <w:szCs w:val="30"/>
        </w:rPr>
      </w:pPr>
      <w:r>
        <w:rPr>
          <w:rFonts w:hint="eastAsia" w:ascii="黑体" w:hAnsi="黑体" w:eastAsia="黑体"/>
          <w:b/>
          <w:bCs/>
          <w:sz w:val="30"/>
          <w:szCs w:val="30"/>
        </w:rPr>
        <w:t>四、联系方式</w:t>
      </w:r>
    </w:p>
    <w:p w14:paraId="702BCFE3">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联系部门：</w:t>
      </w:r>
    </w:p>
    <w:p w14:paraId="4052428A">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联系电话：（XXXX）XXXXXXX</w:t>
      </w:r>
    </w:p>
    <w:p w14:paraId="58E076C6">
      <w:pPr>
        <w:pStyle w:val="7"/>
        <w:adjustRightInd w:val="0"/>
        <w:snapToGrid w:val="0"/>
        <w:spacing w:after="0" w:line="560" w:lineRule="exact"/>
        <w:ind w:left="0" w:leftChars="0" w:firstLine="600" w:firstLineChars="200"/>
        <w:rPr>
          <w:rFonts w:ascii="仿宋" w:hAnsi="仿宋" w:eastAsia="仿宋_GB2312"/>
          <w:sz w:val="30"/>
          <w:szCs w:val="30"/>
        </w:rPr>
      </w:pPr>
    </w:p>
    <w:p w14:paraId="2DE81332">
      <w:pPr>
        <w:pStyle w:val="7"/>
        <w:adjustRightInd w:val="0"/>
        <w:snapToGrid w:val="0"/>
        <w:spacing w:after="0" w:line="560" w:lineRule="exact"/>
        <w:ind w:left="0" w:leftChars="0" w:firstLine="600" w:firstLineChars="200"/>
        <w:rPr>
          <w:rFonts w:ascii="仿宋" w:hAnsi="仿宋" w:eastAsia="仿宋_GB2312"/>
          <w:sz w:val="30"/>
          <w:szCs w:val="30"/>
        </w:rPr>
      </w:pPr>
      <w:r>
        <w:rPr>
          <w:rFonts w:hint="eastAsia" w:ascii="仿宋" w:hAnsi="仿宋" w:eastAsia="仿宋_GB2312"/>
          <w:sz w:val="30"/>
          <w:szCs w:val="30"/>
        </w:rPr>
        <w:t>特此公告。</w:t>
      </w:r>
    </w:p>
    <w:p w14:paraId="57A90919">
      <w:pPr>
        <w:adjustRightInd w:val="0"/>
        <w:snapToGrid w:val="0"/>
        <w:spacing w:line="560" w:lineRule="exact"/>
        <w:ind w:firstLine="600" w:firstLineChars="200"/>
        <w:rPr>
          <w:rFonts w:ascii="仿宋" w:hAnsi="仿宋" w:eastAsia="仿宋_GB2312"/>
          <w:sz w:val="30"/>
          <w:szCs w:val="30"/>
        </w:rPr>
      </w:pPr>
    </w:p>
    <w:p w14:paraId="52CBA909">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6F48588F">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77AF662A">
      <w:pPr>
        <w:adjustRightInd w:val="0"/>
        <w:snapToGrid w:val="0"/>
        <w:spacing w:line="560" w:lineRule="exact"/>
        <w:ind w:firstLine="600" w:firstLineChars="200"/>
        <w:rPr>
          <w:rFonts w:ascii="仿宋" w:hAnsi="仿宋" w:eastAsia="仿宋_GB2312"/>
          <w:sz w:val="30"/>
          <w:szCs w:val="30"/>
        </w:rPr>
      </w:pPr>
    </w:p>
    <w:p w14:paraId="77CB06E0">
      <w:pPr>
        <w:widowControl/>
        <w:jc w:val="left"/>
        <w:rPr>
          <w:rFonts w:ascii="仿宋" w:hAnsi="仿宋" w:eastAsia="仿宋_GB2312"/>
          <w:sz w:val="30"/>
          <w:szCs w:val="30"/>
        </w:rPr>
      </w:pPr>
      <w:r>
        <w:rPr>
          <w:rFonts w:ascii="仿宋" w:hAnsi="仿宋" w:eastAsia="仿宋_GB2312"/>
          <w:sz w:val="30"/>
          <w:szCs w:val="30"/>
        </w:rPr>
        <w:br w:type="page"/>
      </w:r>
    </w:p>
    <w:p w14:paraId="63A628B8">
      <w:pPr>
        <w:pStyle w:val="4"/>
        <w:rPr>
          <w:sz w:val="32"/>
          <w:szCs w:val="32"/>
        </w:rPr>
      </w:pPr>
      <w:bookmarkStart w:id="44" w:name="_Toc108525215"/>
      <w:bookmarkStart w:id="45" w:name="_Toc50034154"/>
      <w:bookmarkStart w:id="46" w:name="_Toc359483101"/>
      <w:r>
        <w:rPr>
          <w:sz w:val="32"/>
          <w:szCs w:val="32"/>
        </w:rPr>
        <w:t>11.</w:t>
      </w:r>
      <w:r>
        <w:rPr>
          <w:rFonts w:hint="eastAsia"/>
          <w:sz w:val="32"/>
          <w:szCs w:val="32"/>
        </w:rPr>
        <w:t>上市公司可转债赎回结果暨股份变动公告</w:t>
      </w:r>
      <w:bookmarkEnd w:id="44"/>
      <w:bookmarkEnd w:id="45"/>
      <w:bookmarkEnd w:id="46"/>
    </w:p>
    <w:p w14:paraId="1DEDAB9C">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14:paraId="0F6B4680">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上市公司提前赎回或者到期赎回可转债时，适用本公告格式。</w:t>
      </w:r>
    </w:p>
    <w:p w14:paraId="767714EC">
      <w:pPr>
        <w:adjustRightInd w:val="0"/>
        <w:snapToGrid w:val="0"/>
        <w:spacing w:line="560" w:lineRule="exact"/>
        <w:ind w:firstLine="600" w:firstLineChars="200"/>
        <w:jc w:val="left"/>
        <w:rPr>
          <w:rFonts w:ascii="仿宋" w:hAnsi="仿宋" w:eastAsia="仿宋_GB2312"/>
          <w:sz w:val="30"/>
          <w:szCs w:val="30"/>
        </w:rPr>
      </w:pPr>
    </w:p>
    <w:p w14:paraId="113B6AAA">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11B01963">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5B27D51A">
      <w:pPr>
        <w:adjustRightInd w:val="0"/>
        <w:snapToGrid w:val="0"/>
        <w:spacing w:line="560" w:lineRule="exact"/>
        <w:ind w:firstLine="600" w:firstLineChars="200"/>
        <w:jc w:val="left"/>
        <w:rPr>
          <w:rFonts w:ascii="仿宋" w:hAnsi="仿宋" w:eastAsia="仿宋_GB2312"/>
          <w:sz w:val="30"/>
          <w:szCs w:val="30"/>
        </w:rPr>
      </w:pPr>
    </w:p>
    <w:p w14:paraId="0BF579F4">
      <w:pPr>
        <w:adjustRightInd w:val="0"/>
        <w:snapToGrid w:val="0"/>
        <w:spacing w:before="156" w:beforeLines="50" w:line="560" w:lineRule="exact"/>
        <w:jc w:val="center"/>
        <w:rPr>
          <w:rFonts w:ascii="仿宋" w:hAnsi="仿宋" w:eastAsia="仿宋_GB2312"/>
          <w:bCs/>
          <w:color w:val="000000"/>
          <w:sz w:val="30"/>
          <w:szCs w:val="30"/>
        </w:rPr>
      </w:pPr>
      <w:r>
        <w:rPr>
          <w:rFonts w:hint="eastAsia" w:ascii="仿宋" w:hAnsi="仿宋" w:eastAsia="仿宋_GB2312"/>
          <w:bCs/>
          <w:color w:val="000000"/>
          <w:sz w:val="30"/>
          <w:szCs w:val="30"/>
        </w:rPr>
        <w:t>XXXX股份有限公司关于“XX转债”</w:t>
      </w:r>
      <w:bookmarkStart w:id="47" w:name="OLE_LINK2"/>
      <w:bookmarkStart w:id="48" w:name="OLE_LINK4"/>
      <w:r>
        <w:rPr>
          <w:rFonts w:hint="eastAsia" w:ascii="仿宋" w:hAnsi="仿宋" w:eastAsia="仿宋_GB2312"/>
          <w:bCs/>
          <w:color w:val="000000"/>
          <w:sz w:val="30"/>
          <w:szCs w:val="30"/>
        </w:rPr>
        <w:t>赎回结果暨股份变动</w:t>
      </w:r>
      <w:bookmarkEnd w:id="47"/>
      <w:bookmarkEnd w:id="48"/>
      <w:r>
        <w:rPr>
          <w:rFonts w:hint="eastAsia" w:ascii="仿宋" w:hAnsi="仿宋" w:eastAsia="仿宋_GB2312"/>
          <w:bCs/>
          <w:color w:val="000000"/>
          <w:sz w:val="30"/>
          <w:szCs w:val="30"/>
        </w:rPr>
        <w:t>的公告</w:t>
      </w:r>
    </w:p>
    <w:p w14:paraId="1DDDE666">
      <w:pPr>
        <w:adjustRightInd w:val="0"/>
        <w:snapToGrid w:val="0"/>
        <w:spacing w:line="560" w:lineRule="exact"/>
        <w:ind w:firstLine="600" w:firstLineChars="200"/>
        <w:rPr>
          <w:rFonts w:ascii="仿宋" w:hAnsi="仿宋" w:eastAsia="仿宋_GB2312"/>
          <w:sz w:val="30"/>
          <w:szCs w:val="30"/>
        </w:rPr>
      </w:pPr>
    </w:p>
    <w:p w14:paraId="7B39766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7FED92C1">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5D2188F6">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p>
    <w:p w14:paraId="3F9AD6E7">
      <w:pPr>
        <w:tabs>
          <w:tab w:val="left" w:pos="0"/>
        </w:tabs>
        <w:autoSpaceDE w:val="0"/>
        <w:autoSpaceDN w:val="0"/>
        <w:adjustRightInd w:val="0"/>
        <w:snapToGrid w:val="0"/>
        <w:spacing w:line="560" w:lineRule="exact"/>
        <w:ind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重要内容提示:</w:t>
      </w:r>
    </w:p>
    <w:p w14:paraId="3C5138BC">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赎回数量：XXXXXX</w:t>
      </w:r>
    </w:p>
    <w:p w14:paraId="6125886B">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赎回兑付总金额：XXXXXX.XX元</w:t>
      </w:r>
    </w:p>
    <w:p w14:paraId="1FA92EE7">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赎回款发放日： XXXX年XX月XX日</w:t>
      </w:r>
    </w:p>
    <w:p w14:paraId="6C0F034D">
      <w:pPr>
        <w:numPr>
          <w:ilvl w:val="0"/>
          <w:numId w:val="7"/>
        </w:numPr>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可转债摘牌日：XXXX年XX月XX日 </w:t>
      </w:r>
    </w:p>
    <w:p w14:paraId="26F55043">
      <w:pPr>
        <w:adjustRightInd w:val="0"/>
        <w:snapToGrid w:val="0"/>
        <w:spacing w:line="560" w:lineRule="exact"/>
        <w:ind w:firstLine="602" w:firstLineChars="200"/>
        <w:rPr>
          <w:rFonts w:ascii="仿宋" w:hAnsi="仿宋" w:eastAsia="仿宋_GB2312"/>
          <w:b/>
          <w:color w:val="000000"/>
          <w:sz w:val="30"/>
          <w:szCs w:val="30"/>
        </w:rPr>
      </w:pPr>
    </w:p>
    <w:p w14:paraId="3B1C2DAD">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一、本次可转债赎回的公告情况</w:t>
      </w:r>
    </w:p>
    <w:p w14:paraId="65BEDF22">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（一）说明《可转换公司债券募集说明书》约定的赎回条件满足情况</w:t>
      </w:r>
    </w:p>
    <w:p w14:paraId="081CB8A1">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如：公司股票自XXXX年XX月XX日至XXXX年XX月XX日连续XX个交易日内有XX个交易日收盘价格高于（或不低于）当期转股价格的XX％，已满足赎回条件。</w:t>
      </w:r>
    </w:p>
    <w:p w14:paraId="40C4F426">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（二）简要介绍公司披露本次赎回事项的董事会决议公告及相关提示公告的情况；说明赎回登记日、赎回对象范围、赎回价格等事项。</w:t>
      </w:r>
    </w:p>
    <w:p w14:paraId="30BA863D">
      <w:pPr>
        <w:adjustRightInd w:val="0"/>
        <w:snapToGrid w:val="0"/>
        <w:spacing w:line="560" w:lineRule="exact"/>
        <w:ind w:firstLine="600" w:firstLineChars="200"/>
        <w:rPr>
          <w:rFonts w:ascii="仿宋" w:hAnsi="仿宋" w:eastAsia="仿宋_GB2312"/>
          <w:color w:val="000000"/>
          <w:sz w:val="30"/>
          <w:szCs w:val="30"/>
        </w:rPr>
      </w:pPr>
    </w:p>
    <w:p w14:paraId="7BE5770F">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二、本次可转债赎回的结果和赎回对公司的影响</w:t>
      </w:r>
    </w:p>
    <w:p w14:paraId="4F5F6EE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（一）简述截至赎回登记日可转债转股总量、赎回余额及占发行总额的比重、因可转债转股引起的股份变动等情况。</w:t>
      </w:r>
    </w:p>
    <w:p w14:paraId="74FF90C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截至</w:t>
      </w:r>
      <w:r>
        <w:rPr>
          <w:rFonts w:hint="eastAsia" w:ascii="仿宋" w:hAnsi="仿宋" w:eastAsia="仿宋_GB2312"/>
          <w:color w:val="000000"/>
          <w:sz w:val="30"/>
          <w:szCs w:val="30"/>
        </w:rPr>
        <w:t>XXXX年XX月XX日</w:t>
      </w:r>
      <w:r>
        <w:rPr>
          <w:rFonts w:hint="eastAsia" w:ascii="仿宋" w:hAnsi="仿宋" w:eastAsia="仿宋_GB2312"/>
          <w:sz w:val="30"/>
          <w:szCs w:val="30"/>
        </w:rPr>
        <w:t>，本公司的股本结构变动情况如下：</w:t>
      </w:r>
    </w:p>
    <w:p w14:paraId="5AF323D2">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 xml:space="preserve">                                           单位：股</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055"/>
        <w:gridCol w:w="1888"/>
        <w:gridCol w:w="2131"/>
      </w:tblGrid>
      <w:tr w14:paraId="74D0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95228D3">
            <w:pPr>
              <w:adjustRightInd w:val="0"/>
              <w:snapToGrid w:val="0"/>
              <w:spacing w:line="560" w:lineRule="exact"/>
              <w:ind w:firstLine="600" w:firstLineChars="200"/>
              <w:rPr>
                <w:rFonts w:ascii="仿宋" w:hAnsi="仿宋" w:eastAsia="仿宋_GB2312"/>
                <w:kern w:val="0"/>
                <w:sz w:val="30"/>
                <w:szCs w:val="30"/>
              </w:rPr>
            </w:pPr>
            <w:r>
              <w:rPr>
                <w:rFonts w:hint="eastAsia" w:ascii="仿宋" w:hAnsi="仿宋" w:eastAsia="仿宋_GB2312"/>
                <w:kern w:val="0"/>
                <w:sz w:val="30"/>
                <w:szCs w:val="30"/>
              </w:rPr>
              <w:t>股份类别</w:t>
            </w:r>
          </w:p>
        </w:tc>
        <w:tc>
          <w:tcPr>
            <w:tcW w:w="2055" w:type="dxa"/>
          </w:tcPr>
          <w:p w14:paraId="7B048800">
            <w:pPr>
              <w:adjustRightInd w:val="0"/>
              <w:snapToGrid w:val="0"/>
              <w:spacing w:line="560" w:lineRule="exact"/>
              <w:rPr>
                <w:rFonts w:ascii="仿宋" w:hAnsi="仿宋" w:eastAsia="仿宋_GB2312"/>
                <w:kern w:val="0"/>
                <w:sz w:val="30"/>
                <w:szCs w:val="30"/>
              </w:rPr>
            </w:pPr>
            <w:r>
              <w:rPr>
                <w:rFonts w:hint="eastAsia" w:ascii="仿宋" w:hAnsi="仿宋" w:eastAsia="仿宋_GB2312"/>
                <w:kern w:val="0"/>
                <w:sz w:val="30"/>
                <w:szCs w:val="30"/>
              </w:rPr>
              <w:t>变动前（</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c>
          <w:tcPr>
            <w:tcW w:w="1888" w:type="dxa"/>
          </w:tcPr>
          <w:p w14:paraId="6B70D991">
            <w:pPr>
              <w:adjustRightInd w:val="0"/>
              <w:snapToGrid w:val="0"/>
              <w:spacing w:line="560" w:lineRule="exact"/>
              <w:jc w:val="center"/>
              <w:rPr>
                <w:rFonts w:ascii="仿宋" w:hAnsi="仿宋" w:eastAsia="仿宋_GB2312"/>
                <w:kern w:val="0"/>
                <w:sz w:val="30"/>
                <w:szCs w:val="30"/>
              </w:rPr>
            </w:pPr>
            <w:r>
              <w:rPr>
                <w:rFonts w:hint="eastAsia" w:ascii="仿宋" w:hAnsi="仿宋" w:eastAsia="仿宋_GB2312"/>
                <w:kern w:val="0"/>
                <w:sz w:val="30"/>
                <w:szCs w:val="30"/>
              </w:rPr>
              <w:t>可转债转股</w:t>
            </w:r>
          </w:p>
        </w:tc>
        <w:tc>
          <w:tcPr>
            <w:tcW w:w="2131" w:type="dxa"/>
          </w:tcPr>
          <w:p w14:paraId="4AEBF620">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变动后（</w:t>
            </w:r>
            <w:r>
              <w:rPr>
                <w:rFonts w:hint="eastAsia" w:ascii="仿宋" w:hAnsi="仿宋" w:eastAsia="仿宋_GB2312" w:cs="宋体"/>
                <w:kern w:val="0"/>
                <w:sz w:val="30"/>
                <w:szCs w:val="30"/>
              </w:rPr>
              <w:t>XXXX</w:t>
            </w:r>
            <w:r>
              <w:rPr>
                <w:rFonts w:hint="eastAsia" w:ascii="仿宋_GB2312" w:hAnsi="仿宋_GB2312" w:eastAsia="仿宋_GB2312" w:cs="仿宋_GB2312"/>
                <w:kern w:val="0"/>
                <w:sz w:val="30"/>
                <w:szCs w:val="30"/>
              </w:rPr>
              <w:t>年</w:t>
            </w:r>
            <w:r>
              <w:rPr>
                <w:rFonts w:hint="eastAsia" w:ascii="仿宋" w:hAnsi="仿宋" w:eastAsia="仿宋_GB2312" w:cs="宋体"/>
                <w:kern w:val="0"/>
                <w:sz w:val="30"/>
                <w:szCs w:val="30"/>
              </w:rPr>
              <w:t>XX</w:t>
            </w:r>
            <w:r>
              <w:rPr>
                <w:rFonts w:hint="eastAsia" w:ascii="仿宋" w:hAnsi="仿宋" w:eastAsia="仿宋_GB2312"/>
                <w:kern w:val="0"/>
                <w:sz w:val="30"/>
                <w:szCs w:val="30"/>
              </w:rPr>
              <w:t>月</w:t>
            </w:r>
            <w:r>
              <w:rPr>
                <w:rFonts w:hint="eastAsia" w:ascii="仿宋" w:hAnsi="仿宋" w:eastAsia="仿宋_GB2312" w:cs="宋体"/>
                <w:kern w:val="0"/>
                <w:sz w:val="30"/>
                <w:szCs w:val="30"/>
              </w:rPr>
              <w:t>XX</w:t>
            </w:r>
            <w:r>
              <w:rPr>
                <w:rFonts w:hint="eastAsia" w:ascii="仿宋_GB2312" w:hAnsi="仿宋_GB2312" w:eastAsia="仿宋_GB2312" w:cs="仿宋_GB2312"/>
                <w:kern w:val="0"/>
                <w:sz w:val="30"/>
                <w:szCs w:val="30"/>
              </w:rPr>
              <w:t>日）</w:t>
            </w:r>
          </w:p>
        </w:tc>
      </w:tr>
      <w:tr w14:paraId="44A6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48CC4B30">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有限售条件流通股</w:t>
            </w:r>
          </w:p>
        </w:tc>
        <w:tc>
          <w:tcPr>
            <w:tcW w:w="2055" w:type="dxa"/>
          </w:tcPr>
          <w:p w14:paraId="1498B442">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14:paraId="61E65A90">
            <w:pPr>
              <w:adjustRightInd w:val="0"/>
              <w:snapToGrid w:val="0"/>
              <w:spacing w:line="560" w:lineRule="exact"/>
              <w:ind w:firstLine="600" w:firstLineChars="200"/>
              <w:jc w:val="center"/>
              <w:rPr>
                <w:rFonts w:ascii="仿宋" w:hAnsi="仿宋" w:eastAsia="仿宋"/>
                <w:kern w:val="0"/>
                <w:sz w:val="30"/>
                <w:szCs w:val="30"/>
              </w:rPr>
            </w:pPr>
          </w:p>
        </w:tc>
        <w:tc>
          <w:tcPr>
            <w:tcW w:w="2131" w:type="dxa"/>
          </w:tcPr>
          <w:p w14:paraId="40C46C04">
            <w:pPr>
              <w:adjustRightInd w:val="0"/>
              <w:snapToGrid w:val="0"/>
              <w:spacing w:line="560" w:lineRule="exact"/>
              <w:ind w:firstLine="600" w:firstLineChars="200"/>
              <w:jc w:val="center"/>
              <w:rPr>
                <w:rFonts w:ascii="仿宋" w:hAnsi="仿宋" w:eastAsia="仿宋"/>
                <w:kern w:val="0"/>
                <w:sz w:val="30"/>
                <w:szCs w:val="30"/>
              </w:rPr>
            </w:pPr>
          </w:p>
        </w:tc>
      </w:tr>
      <w:tr w14:paraId="364E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297F2429">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无限售条件流通股</w:t>
            </w:r>
          </w:p>
        </w:tc>
        <w:tc>
          <w:tcPr>
            <w:tcW w:w="2055" w:type="dxa"/>
          </w:tcPr>
          <w:p w14:paraId="3C371BAF">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14:paraId="319A9682">
            <w:pPr>
              <w:adjustRightInd w:val="0"/>
              <w:snapToGrid w:val="0"/>
              <w:spacing w:line="560" w:lineRule="exact"/>
              <w:ind w:firstLine="600" w:firstLineChars="200"/>
              <w:jc w:val="center"/>
              <w:rPr>
                <w:rFonts w:ascii="仿宋" w:hAnsi="仿宋" w:eastAsia="仿宋"/>
                <w:kern w:val="0"/>
                <w:sz w:val="30"/>
                <w:szCs w:val="30"/>
              </w:rPr>
            </w:pPr>
          </w:p>
        </w:tc>
        <w:tc>
          <w:tcPr>
            <w:tcW w:w="2131" w:type="dxa"/>
          </w:tcPr>
          <w:p w14:paraId="50748242">
            <w:pPr>
              <w:adjustRightInd w:val="0"/>
              <w:snapToGrid w:val="0"/>
              <w:spacing w:line="560" w:lineRule="exact"/>
              <w:ind w:firstLine="600" w:firstLineChars="200"/>
              <w:jc w:val="center"/>
              <w:rPr>
                <w:rFonts w:ascii="仿宋" w:hAnsi="仿宋" w:eastAsia="仿宋"/>
                <w:kern w:val="0"/>
                <w:sz w:val="30"/>
                <w:szCs w:val="30"/>
              </w:rPr>
            </w:pPr>
          </w:p>
        </w:tc>
      </w:tr>
      <w:tr w14:paraId="38B0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0E2AF021">
            <w:pPr>
              <w:adjustRightInd w:val="0"/>
              <w:snapToGrid w:val="0"/>
              <w:spacing w:line="560" w:lineRule="exact"/>
              <w:rPr>
                <w:rFonts w:ascii="仿宋" w:hAnsi="仿宋" w:eastAsia="仿宋"/>
                <w:kern w:val="0"/>
                <w:sz w:val="30"/>
                <w:szCs w:val="30"/>
              </w:rPr>
            </w:pPr>
            <w:r>
              <w:rPr>
                <w:rFonts w:hint="eastAsia" w:ascii="仿宋" w:hAnsi="仿宋" w:eastAsia="仿宋_GB2312"/>
                <w:kern w:val="0"/>
                <w:sz w:val="30"/>
                <w:szCs w:val="30"/>
              </w:rPr>
              <w:t>总股本</w:t>
            </w:r>
          </w:p>
        </w:tc>
        <w:tc>
          <w:tcPr>
            <w:tcW w:w="2055" w:type="dxa"/>
          </w:tcPr>
          <w:p w14:paraId="0CCB73BC">
            <w:pPr>
              <w:adjustRightInd w:val="0"/>
              <w:snapToGrid w:val="0"/>
              <w:spacing w:line="560" w:lineRule="exact"/>
              <w:ind w:firstLine="600" w:firstLineChars="200"/>
              <w:jc w:val="center"/>
              <w:rPr>
                <w:rFonts w:ascii="仿宋" w:hAnsi="仿宋" w:eastAsia="仿宋"/>
                <w:kern w:val="0"/>
                <w:sz w:val="30"/>
                <w:szCs w:val="30"/>
              </w:rPr>
            </w:pPr>
          </w:p>
        </w:tc>
        <w:tc>
          <w:tcPr>
            <w:tcW w:w="1888" w:type="dxa"/>
          </w:tcPr>
          <w:p w14:paraId="68FA4380">
            <w:pPr>
              <w:adjustRightInd w:val="0"/>
              <w:snapToGrid w:val="0"/>
              <w:spacing w:line="560" w:lineRule="exact"/>
              <w:ind w:firstLine="600" w:firstLineChars="200"/>
              <w:jc w:val="center"/>
              <w:rPr>
                <w:rFonts w:ascii="仿宋" w:hAnsi="仿宋" w:eastAsia="仿宋_GB2312"/>
                <w:kern w:val="0"/>
                <w:sz w:val="30"/>
                <w:szCs w:val="30"/>
              </w:rPr>
            </w:pPr>
          </w:p>
        </w:tc>
        <w:tc>
          <w:tcPr>
            <w:tcW w:w="2131" w:type="dxa"/>
          </w:tcPr>
          <w:p w14:paraId="09E6B645">
            <w:pPr>
              <w:adjustRightInd w:val="0"/>
              <w:snapToGrid w:val="0"/>
              <w:spacing w:line="560" w:lineRule="exact"/>
              <w:ind w:firstLine="600" w:firstLineChars="200"/>
              <w:jc w:val="center"/>
              <w:rPr>
                <w:rFonts w:ascii="仿宋" w:hAnsi="仿宋" w:eastAsia="仿宋_GB2312"/>
                <w:kern w:val="0"/>
                <w:sz w:val="30"/>
                <w:szCs w:val="30"/>
              </w:rPr>
            </w:pPr>
          </w:p>
        </w:tc>
      </w:tr>
    </w:tbl>
    <w:p w14:paraId="2F98599E">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（二）说明可转债开始在上海证券交易所停止交易及转股、未转股的可转债被冻结的日期、数量。</w:t>
      </w:r>
    </w:p>
    <w:p w14:paraId="1F5511FB">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（三）根据中国证券登记结算有限责任公司上海分公司提供的数据，公告本次赎回的赎回数量、公司本次赎回兑付的总金额，本次赎回的赎回款发放日。</w:t>
      </w:r>
    </w:p>
    <w:p w14:paraId="71A0FC5B">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（四）说明本次赎回对公司现金流、资产状况、股本情况等方面的影响。</w:t>
      </w:r>
    </w:p>
    <w:p w14:paraId="58F8BC83">
      <w:pPr>
        <w:adjustRightInd w:val="0"/>
        <w:snapToGrid w:val="0"/>
        <w:spacing w:line="560" w:lineRule="exact"/>
        <w:ind w:firstLine="600" w:firstLineChars="200"/>
        <w:rPr>
          <w:rFonts w:ascii="仿宋" w:hAnsi="仿宋" w:eastAsia="仿宋_GB2312"/>
          <w:color w:val="000000"/>
          <w:sz w:val="30"/>
          <w:szCs w:val="30"/>
        </w:rPr>
      </w:pPr>
    </w:p>
    <w:p w14:paraId="36DD5453">
      <w:pPr>
        <w:widowControl/>
        <w:adjustRightInd w:val="0"/>
        <w:snapToGrid w:val="0"/>
        <w:spacing w:line="560" w:lineRule="exact"/>
        <w:ind w:firstLine="602" w:firstLineChars="200"/>
        <w:rPr>
          <w:rFonts w:ascii="仿宋" w:hAnsi="仿宋" w:eastAsia="仿宋_GB2312"/>
          <w:sz w:val="30"/>
          <w:szCs w:val="30"/>
        </w:rPr>
      </w:pPr>
      <w:r>
        <w:rPr>
          <w:rFonts w:hint="eastAsia" w:ascii="黑体" w:hAnsi="黑体" w:eastAsia="黑体" w:cs="宋体"/>
          <w:b/>
          <w:bCs/>
          <w:kern w:val="0"/>
          <w:sz w:val="30"/>
          <w:szCs w:val="30"/>
        </w:rPr>
        <w:t>三、转股前后公司相关股东持股变化（如适用）</w:t>
      </w:r>
    </w:p>
    <w:p w14:paraId="54670BD9">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上市公司股本变动，可能导致公司</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w:t>
      </w:r>
      <w:r>
        <w:rPr>
          <w:rFonts w:hint="eastAsia" w:eastAsia="仿宋_GB2312" w:cs="Times New Roman"/>
          <w:color w:val="000000"/>
          <w:sz w:val="30"/>
          <w:szCs w:val="30"/>
        </w:rPr>
        <w:t>。存在前述情况的，公司应当</w:t>
      </w:r>
      <w:r>
        <w:rPr>
          <w:rFonts w:hint="eastAsia" w:ascii="仿宋" w:hAnsi="仿宋" w:eastAsia="仿宋_GB2312"/>
          <w:bCs/>
          <w:sz w:val="30"/>
          <w:szCs w:val="30"/>
        </w:rPr>
        <w:t>列示转股前后，上述股东及其一致行动人的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14:paraId="54A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9276D70">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0813CF6A">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9AD6873">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53C0619">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814FB63">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67F2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4E1B003">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3DF0AFF">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1939A59F">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2CE67585">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D8B3A7C">
            <w:pPr>
              <w:adjustRightInd w:val="0"/>
              <w:snapToGrid w:val="0"/>
              <w:spacing w:line="360" w:lineRule="auto"/>
              <w:jc w:val="center"/>
              <w:rPr>
                <w:rFonts w:ascii="仿宋_GB2312" w:hAnsi="楷体" w:eastAsia="仿宋_GB2312" w:cs="楷体"/>
                <w:szCs w:val="20"/>
              </w:rPr>
            </w:pPr>
          </w:p>
        </w:tc>
      </w:tr>
      <w:tr w14:paraId="434D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133F580">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AB4AA50">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593E3EDE">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43AC11FC">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3F60A882">
            <w:pPr>
              <w:adjustRightInd w:val="0"/>
              <w:snapToGrid w:val="0"/>
              <w:spacing w:line="360" w:lineRule="auto"/>
              <w:jc w:val="center"/>
              <w:rPr>
                <w:rFonts w:ascii="仿宋_GB2312" w:hAnsi="楷体" w:eastAsia="仿宋_GB2312" w:cs="楷体"/>
                <w:szCs w:val="20"/>
              </w:rPr>
            </w:pPr>
          </w:p>
        </w:tc>
      </w:tr>
      <w:tr w14:paraId="3799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6FC6838">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482FB52">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259F22FF">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2C3DD13E">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E48F621">
            <w:pPr>
              <w:adjustRightInd w:val="0"/>
              <w:snapToGrid w:val="0"/>
              <w:spacing w:line="360" w:lineRule="auto"/>
              <w:jc w:val="center"/>
              <w:rPr>
                <w:rFonts w:ascii="仿宋_GB2312" w:hAnsi="楷体" w:eastAsia="仿宋_GB2312" w:cs="楷体"/>
                <w:szCs w:val="20"/>
              </w:rPr>
            </w:pPr>
          </w:p>
        </w:tc>
      </w:tr>
      <w:tr w14:paraId="4A90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3D8F845">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6C6C0D6">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625E40E2">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23068F1">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1F52EC84">
            <w:pPr>
              <w:adjustRightInd w:val="0"/>
              <w:snapToGrid w:val="0"/>
              <w:spacing w:line="360" w:lineRule="auto"/>
              <w:jc w:val="center"/>
              <w:rPr>
                <w:rFonts w:ascii="仿宋_GB2312" w:hAnsi="楷体" w:eastAsia="仿宋_GB2312" w:cs="楷体"/>
                <w:szCs w:val="20"/>
              </w:rPr>
            </w:pPr>
          </w:p>
        </w:tc>
      </w:tr>
      <w:tr w14:paraId="696E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4D08A51B">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7416262A">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14:paraId="3E39F16C">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6C1D98FF">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14:paraId="777B7189">
            <w:pPr>
              <w:adjustRightInd w:val="0"/>
              <w:snapToGrid w:val="0"/>
              <w:spacing w:line="360" w:lineRule="auto"/>
              <w:jc w:val="center"/>
              <w:rPr>
                <w:rFonts w:ascii="仿宋_GB2312" w:hAnsi="楷体" w:eastAsia="仿宋_GB2312" w:cs="楷体"/>
                <w:szCs w:val="20"/>
              </w:rPr>
            </w:pPr>
          </w:p>
        </w:tc>
      </w:tr>
    </w:tbl>
    <w:p w14:paraId="0E922BC0">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股东如有一致行动人参照股东A进行披露，先合并计算持股列示，后单独列示；股东如无一致行动人参照股东B进行披露</w:t>
      </w:r>
      <w:r>
        <w:rPr>
          <w:rFonts w:hint="eastAsia" w:ascii="仿宋_GB2312" w:hAnsi="宋体" w:eastAsia="仿宋_GB2312" w:cs="宋体"/>
          <w:color w:val="000000"/>
          <w:kern w:val="0"/>
          <w:sz w:val="24"/>
        </w:rPr>
        <w:t>。</w:t>
      </w:r>
    </w:p>
    <w:p w14:paraId="51AB19D5">
      <w:pPr>
        <w:adjustRightInd w:val="0"/>
        <w:snapToGrid w:val="0"/>
        <w:spacing w:line="560" w:lineRule="exact"/>
        <w:ind w:firstLine="600" w:firstLineChars="200"/>
        <w:rPr>
          <w:rFonts w:ascii="仿宋" w:hAnsi="仿宋" w:eastAsia="仿宋_GB2312"/>
          <w:bCs/>
          <w:sz w:val="30"/>
          <w:szCs w:val="30"/>
        </w:rPr>
      </w:pPr>
    </w:p>
    <w:p w14:paraId="2C529386">
      <w:pPr>
        <w:adjustRightInd w:val="0"/>
        <w:snapToGrid w:val="0"/>
        <w:spacing w:line="560" w:lineRule="exact"/>
        <w:ind w:firstLine="600" w:firstLineChars="200"/>
        <w:rPr>
          <w:rFonts w:ascii="仿宋" w:hAnsi="仿宋" w:eastAsia="仿宋_GB2312"/>
          <w:color w:val="000000"/>
          <w:sz w:val="30"/>
          <w:szCs w:val="30"/>
        </w:rPr>
      </w:pPr>
    </w:p>
    <w:p w14:paraId="7ACCC487">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46793F79">
      <w:pPr>
        <w:adjustRightInd w:val="0"/>
        <w:snapToGrid w:val="0"/>
        <w:spacing w:line="560" w:lineRule="exact"/>
        <w:ind w:firstLine="600" w:firstLineChars="200"/>
        <w:rPr>
          <w:rFonts w:ascii="仿宋" w:hAnsi="仿宋" w:eastAsia="仿宋_GB2312"/>
          <w:color w:val="000000"/>
          <w:sz w:val="30"/>
          <w:szCs w:val="30"/>
        </w:rPr>
      </w:pPr>
    </w:p>
    <w:p w14:paraId="7F374378">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sz w:val="30"/>
          <w:szCs w:val="30"/>
        </w:rPr>
        <w:t xml:space="preserve">    </w:t>
      </w:r>
      <w:r>
        <w:rPr>
          <w:rFonts w:ascii="仿宋" w:hAnsi="仿宋" w:eastAsia="仿宋_GB2312"/>
          <w:color w:val="000000"/>
          <w:sz w:val="30"/>
          <w:szCs w:val="30"/>
        </w:rPr>
        <w:t>XXXX</w:t>
      </w:r>
      <w:r>
        <w:rPr>
          <w:rFonts w:hint="eastAsia" w:ascii="仿宋" w:hAnsi="仿宋" w:eastAsia="仿宋_GB2312"/>
          <w:color w:val="000000"/>
          <w:sz w:val="30"/>
          <w:szCs w:val="30"/>
        </w:rPr>
        <w:t>股份有限公司董事会</w:t>
      </w:r>
    </w:p>
    <w:p w14:paraId="23A6177A">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w:t>
      </w:r>
      <w:r>
        <w:rPr>
          <w:rFonts w:ascii="仿宋" w:hAnsi="仿宋" w:eastAsia="仿宋_GB2312"/>
          <w:color w:val="000000"/>
          <w:sz w:val="30"/>
          <w:szCs w:val="30"/>
        </w:rPr>
        <w:t xml:space="preserve">  </w:t>
      </w:r>
      <w:r>
        <w:rPr>
          <w:rFonts w:hint="eastAsia" w:ascii="仿宋" w:hAnsi="仿宋" w:eastAsia="仿宋_GB2312"/>
          <w:color w:val="000000"/>
          <w:sz w:val="30"/>
          <w:szCs w:val="30"/>
        </w:rPr>
        <w:t>月</w:t>
      </w:r>
      <w:r>
        <w:rPr>
          <w:rFonts w:ascii="仿宋" w:hAnsi="仿宋" w:eastAsia="仿宋_GB2312"/>
          <w:color w:val="000000"/>
          <w:sz w:val="30"/>
          <w:szCs w:val="30"/>
        </w:rPr>
        <w:t xml:space="preserve">  </w:t>
      </w:r>
      <w:r>
        <w:rPr>
          <w:rFonts w:hint="eastAsia" w:ascii="仿宋" w:hAnsi="仿宋" w:eastAsia="仿宋_GB2312"/>
          <w:color w:val="000000"/>
          <w:sz w:val="30"/>
          <w:szCs w:val="30"/>
        </w:rPr>
        <w:t>日</w:t>
      </w:r>
    </w:p>
    <w:p w14:paraId="6945C035">
      <w:pPr>
        <w:adjustRightInd w:val="0"/>
        <w:snapToGrid w:val="0"/>
        <w:spacing w:line="560" w:lineRule="exact"/>
        <w:ind w:firstLine="600" w:firstLineChars="200"/>
        <w:jc w:val="right"/>
        <w:rPr>
          <w:rFonts w:ascii="仿宋" w:hAnsi="仿宋" w:eastAsia="仿宋_GB2312"/>
          <w:color w:val="000000"/>
          <w:sz w:val="30"/>
          <w:szCs w:val="30"/>
        </w:rPr>
      </w:pPr>
    </w:p>
    <w:p w14:paraId="28893D6F">
      <w:pPr>
        <w:numPr>
          <w:ilvl w:val="0"/>
          <w:numId w:val="8"/>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报备文件</w:t>
      </w:r>
    </w:p>
    <w:p w14:paraId="504E0B7E">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中国证券登记结算有限责任公司上海分公司提供的赎回结果证明。</w:t>
      </w:r>
    </w:p>
    <w:p w14:paraId="6A5ADD5E">
      <w:pPr>
        <w:adjustRightInd w:val="0"/>
        <w:snapToGrid w:val="0"/>
        <w:spacing w:line="560" w:lineRule="exact"/>
        <w:ind w:firstLine="602" w:firstLineChars="200"/>
        <w:rPr>
          <w:rFonts w:ascii="仿宋" w:hAnsi="仿宋" w:eastAsia="仿宋_GB2312"/>
          <w:b/>
          <w:color w:val="000000"/>
          <w:sz w:val="30"/>
          <w:szCs w:val="30"/>
        </w:rPr>
      </w:pPr>
    </w:p>
    <w:p w14:paraId="375226EC">
      <w:pPr>
        <w:numPr>
          <w:ilvl w:val="0"/>
          <w:numId w:val="8"/>
        </w:numPr>
        <w:adjustRightInd w:val="0"/>
        <w:snapToGrid w:val="0"/>
        <w:spacing w:line="560" w:lineRule="exact"/>
        <w:ind w:left="0" w:firstLine="602" w:firstLineChars="200"/>
        <w:rPr>
          <w:rFonts w:ascii="仿宋" w:hAnsi="仿宋" w:eastAsia="仿宋_GB2312"/>
          <w:b/>
          <w:sz w:val="30"/>
          <w:szCs w:val="30"/>
        </w:rPr>
      </w:pPr>
      <w:r>
        <w:rPr>
          <w:rFonts w:hint="eastAsia" w:ascii="仿宋" w:hAnsi="仿宋" w:eastAsia="仿宋_GB2312"/>
          <w:b/>
          <w:sz w:val="30"/>
          <w:szCs w:val="30"/>
        </w:rPr>
        <w:t>注意事项</w:t>
      </w:r>
    </w:p>
    <w:p w14:paraId="4B9038D4">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1.赎回登记日(P日)的次一交易日（P+1日）：中国证券登记结算有限责任公司上海分公司</w:t>
      </w:r>
      <w:r>
        <w:rPr>
          <w:rFonts w:ascii="仿宋" w:hAnsi="仿宋" w:eastAsia="仿宋_GB2312"/>
          <w:color w:val="000000"/>
          <w:sz w:val="30"/>
          <w:szCs w:val="30"/>
        </w:rPr>
        <w:t>收到足额赎回资金后，进行清算交收，并向发行人出具赎回结果确认证明</w:t>
      </w:r>
      <w:r>
        <w:rPr>
          <w:rFonts w:hint="eastAsia" w:ascii="仿宋" w:hAnsi="仿宋" w:eastAsia="仿宋_GB2312"/>
          <w:color w:val="000000"/>
          <w:sz w:val="30"/>
          <w:szCs w:val="30"/>
        </w:rPr>
        <w:t>；</w:t>
      </w:r>
      <w:r>
        <w:rPr>
          <w:rFonts w:ascii="仿宋" w:hAnsi="仿宋" w:eastAsia="仿宋_GB2312"/>
          <w:color w:val="000000"/>
          <w:sz w:val="30"/>
          <w:szCs w:val="30"/>
        </w:rPr>
        <w:t>发行人向</w:t>
      </w:r>
      <w:r>
        <w:rPr>
          <w:rFonts w:hint="eastAsia" w:ascii="仿宋" w:hAnsi="仿宋" w:eastAsia="仿宋_GB2312"/>
          <w:color w:val="000000"/>
          <w:sz w:val="30"/>
          <w:szCs w:val="30"/>
        </w:rPr>
        <w:t>上海证券交易所</w:t>
      </w:r>
      <w:r>
        <w:rPr>
          <w:rFonts w:ascii="仿宋" w:hAnsi="仿宋" w:eastAsia="仿宋_GB2312"/>
          <w:color w:val="000000"/>
          <w:sz w:val="30"/>
          <w:szCs w:val="30"/>
        </w:rPr>
        <w:t>提交</w:t>
      </w:r>
      <w:r>
        <w:rPr>
          <w:rFonts w:hint="eastAsia" w:ascii="仿宋" w:hAnsi="仿宋" w:eastAsia="仿宋_GB2312"/>
          <w:color w:val="000000"/>
          <w:sz w:val="30"/>
          <w:szCs w:val="30"/>
        </w:rPr>
        <w:t>可转债赎回结果公告</w:t>
      </w:r>
      <w:r>
        <w:rPr>
          <w:rFonts w:ascii="仿宋" w:hAnsi="仿宋" w:eastAsia="仿宋_GB2312"/>
          <w:color w:val="000000"/>
          <w:sz w:val="30"/>
          <w:szCs w:val="30"/>
        </w:rPr>
        <w:t>、股份变动公告</w:t>
      </w:r>
      <w:r>
        <w:rPr>
          <w:rFonts w:hint="eastAsia" w:ascii="仿宋" w:hAnsi="仿宋" w:eastAsia="仿宋_GB2312"/>
          <w:color w:val="000000"/>
          <w:sz w:val="30"/>
          <w:szCs w:val="30"/>
        </w:rPr>
        <w:t>。</w:t>
      </w:r>
      <w:r>
        <w:rPr>
          <w:rFonts w:ascii="仿宋" w:hAnsi="仿宋" w:eastAsia="仿宋_GB2312"/>
          <w:color w:val="000000"/>
          <w:sz w:val="30"/>
          <w:szCs w:val="30"/>
        </w:rPr>
        <w:t xml:space="preserve"> </w:t>
      </w:r>
    </w:p>
    <w:p w14:paraId="72DDAC34">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2.（P+2日）：</w:t>
      </w:r>
      <w:r>
        <w:rPr>
          <w:rFonts w:ascii="仿宋" w:hAnsi="仿宋" w:eastAsia="仿宋_GB2312"/>
          <w:color w:val="000000"/>
          <w:sz w:val="30"/>
          <w:szCs w:val="30"/>
        </w:rPr>
        <w:t>发行人刊登</w:t>
      </w:r>
      <w:r>
        <w:rPr>
          <w:rFonts w:hint="eastAsia" w:ascii="仿宋" w:hAnsi="仿宋" w:eastAsia="仿宋_GB2312"/>
          <w:color w:val="000000"/>
          <w:sz w:val="30"/>
          <w:szCs w:val="30"/>
        </w:rPr>
        <w:t>上市公司可转债赎回结果公告、</w:t>
      </w:r>
      <w:r>
        <w:rPr>
          <w:rFonts w:ascii="仿宋" w:hAnsi="仿宋" w:eastAsia="仿宋_GB2312"/>
          <w:color w:val="000000"/>
          <w:sz w:val="30"/>
          <w:szCs w:val="30"/>
        </w:rPr>
        <w:t>股份变动公告</w:t>
      </w:r>
      <w:r>
        <w:rPr>
          <w:rFonts w:hint="eastAsia" w:ascii="仿宋" w:hAnsi="仿宋" w:eastAsia="仿宋_GB2312"/>
          <w:color w:val="000000"/>
          <w:sz w:val="30"/>
          <w:szCs w:val="30"/>
        </w:rPr>
        <w:t>；上海证券交易所</w:t>
      </w:r>
      <w:r>
        <w:rPr>
          <w:rFonts w:ascii="仿宋" w:hAnsi="仿宋" w:eastAsia="仿宋_GB2312"/>
          <w:color w:val="000000"/>
          <w:sz w:val="30"/>
          <w:szCs w:val="30"/>
        </w:rPr>
        <w:t>刊登交易所公告。</w:t>
      </w:r>
    </w:p>
    <w:p w14:paraId="5B1062DF">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3.</w:t>
      </w:r>
      <w:r>
        <w:rPr>
          <w:rFonts w:ascii="仿宋" w:hAnsi="仿宋" w:eastAsia="仿宋_GB2312"/>
          <w:color w:val="000000"/>
          <w:sz w:val="30"/>
          <w:szCs w:val="30"/>
        </w:rPr>
        <w:t>摘牌日</w:t>
      </w:r>
      <w:r>
        <w:rPr>
          <w:rFonts w:hint="eastAsia" w:ascii="仿宋" w:hAnsi="仿宋" w:eastAsia="仿宋_GB2312"/>
          <w:color w:val="000000"/>
          <w:sz w:val="30"/>
          <w:szCs w:val="30"/>
        </w:rPr>
        <w:t>（如适用）</w:t>
      </w:r>
      <w:r>
        <w:rPr>
          <w:rFonts w:ascii="仿宋" w:hAnsi="仿宋" w:eastAsia="仿宋_GB2312"/>
          <w:color w:val="000000"/>
          <w:sz w:val="30"/>
          <w:szCs w:val="30"/>
        </w:rPr>
        <w:t>一般与</w:t>
      </w:r>
      <w:r>
        <w:rPr>
          <w:rFonts w:hint="eastAsia" w:ascii="仿宋" w:hAnsi="仿宋" w:eastAsia="仿宋_GB2312"/>
          <w:color w:val="000000"/>
          <w:sz w:val="30"/>
          <w:szCs w:val="30"/>
        </w:rPr>
        <w:t>赎回款发放日</w:t>
      </w:r>
      <w:r>
        <w:rPr>
          <w:rFonts w:ascii="仿宋" w:hAnsi="仿宋" w:eastAsia="仿宋_GB2312"/>
          <w:color w:val="000000"/>
          <w:sz w:val="30"/>
          <w:szCs w:val="30"/>
        </w:rPr>
        <w:t>为同一</w:t>
      </w:r>
      <w:r>
        <w:rPr>
          <w:rFonts w:hint="eastAsia" w:ascii="仿宋" w:hAnsi="仿宋" w:eastAsia="仿宋_GB2312"/>
          <w:color w:val="000000"/>
          <w:sz w:val="30"/>
          <w:szCs w:val="30"/>
        </w:rPr>
        <w:t>日。</w:t>
      </w:r>
      <w:r>
        <w:rPr>
          <w:rFonts w:ascii="仿宋" w:hAnsi="仿宋" w:eastAsia="仿宋_GB2312"/>
          <w:color w:val="000000"/>
          <w:sz w:val="30"/>
          <w:szCs w:val="30"/>
        </w:rPr>
        <w:br w:type="page"/>
      </w:r>
    </w:p>
    <w:p w14:paraId="0EFC81F4">
      <w:pPr>
        <w:pStyle w:val="3"/>
        <w:rPr>
          <w:rFonts w:ascii="黑体" w:hAnsi="黑体" w:eastAsia="黑体"/>
        </w:rPr>
      </w:pPr>
      <w:bookmarkStart w:id="49" w:name="_Toc108525216"/>
      <w:r>
        <w:rPr>
          <w:rFonts w:hint="eastAsia" w:ascii="黑体" w:hAnsi="黑体" w:eastAsia="黑体"/>
        </w:rPr>
        <w:t>四、可转债交易异常波动和风险提示</w:t>
      </w:r>
      <w:bookmarkEnd w:id="49"/>
    </w:p>
    <w:p w14:paraId="3725614F">
      <w:pPr>
        <w:pStyle w:val="4"/>
        <w:rPr>
          <w:sz w:val="32"/>
          <w:szCs w:val="32"/>
        </w:rPr>
      </w:pPr>
      <w:bookmarkStart w:id="50" w:name="_Toc108525217"/>
      <w:r>
        <w:rPr>
          <w:rFonts w:hint="eastAsia"/>
          <w:sz w:val="32"/>
          <w:szCs w:val="32"/>
        </w:rPr>
        <w:t>1</w:t>
      </w:r>
      <w:r>
        <w:rPr>
          <w:sz w:val="32"/>
          <w:szCs w:val="32"/>
        </w:rPr>
        <w:t>2.</w:t>
      </w:r>
      <w:r>
        <w:rPr>
          <w:rFonts w:hint="eastAsia"/>
          <w:sz w:val="32"/>
          <w:szCs w:val="32"/>
        </w:rPr>
        <w:t>上市公司可转债交易（严重）异常波动/风险提示公告</w:t>
      </w:r>
      <w:bookmarkEnd w:id="50"/>
    </w:p>
    <w:p w14:paraId="56BB5A42">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14:paraId="1EE45650">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1、可转债交易出现异常波动或者严重异常波动情形的，应当适用本公告格式。前述可转债交易异常波动，是指《上海证券交易所可转换公司债券交易实施细则》等规定的可转债交易异常波动情形。</w:t>
      </w:r>
    </w:p>
    <w:p w14:paraId="7C0E7D40">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2、可转债交易涨跌幅、交易换手率、转股溢价率等指标出现异常，上市公司按照监管部门相关要求或者主动进行核查，并</w:t>
      </w:r>
      <w:r>
        <w:rPr>
          <w:rFonts w:ascii="仿宋" w:hAnsi="仿宋" w:eastAsia="仿宋_GB2312"/>
          <w:sz w:val="30"/>
          <w:szCs w:val="30"/>
        </w:rPr>
        <w:t>向市场充分提示风险</w:t>
      </w:r>
      <w:r>
        <w:rPr>
          <w:rFonts w:hint="eastAsia" w:ascii="仿宋" w:hAnsi="仿宋" w:eastAsia="仿宋_GB2312"/>
          <w:sz w:val="30"/>
          <w:szCs w:val="30"/>
        </w:rPr>
        <w:t>时，适用本公告格式。</w:t>
      </w:r>
    </w:p>
    <w:p w14:paraId="575BBC55">
      <w:pPr>
        <w:widowControl/>
        <w:shd w:val="clear" w:color="auto" w:fill="FFFFFF"/>
        <w:spacing w:line="560" w:lineRule="exact"/>
        <w:ind w:firstLine="600" w:firstLineChars="200"/>
        <w:jc w:val="left"/>
        <w:rPr>
          <w:rFonts w:ascii="仿宋_GB2312" w:hAnsi="Times New Roman" w:eastAsia="仿宋_GB2312" w:cs="仿宋_GB2312"/>
          <w:sz w:val="30"/>
          <w:szCs w:val="30"/>
        </w:rPr>
      </w:pPr>
    </w:p>
    <w:p w14:paraId="10BC5BAC">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0CA49EFC">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3139AED6">
      <w:pPr>
        <w:adjustRightInd w:val="0"/>
        <w:snapToGrid w:val="0"/>
        <w:spacing w:line="560" w:lineRule="exact"/>
        <w:jc w:val="left"/>
        <w:rPr>
          <w:rFonts w:ascii="仿宋" w:hAnsi="仿宋" w:eastAsia="仿宋_GB2312"/>
          <w:sz w:val="30"/>
          <w:szCs w:val="30"/>
        </w:rPr>
      </w:pPr>
    </w:p>
    <w:p w14:paraId="361AE52C">
      <w:pPr>
        <w:pStyle w:val="34"/>
        <w:widowControl/>
        <w:shd w:val="clear" w:color="auto" w:fill="FFFFFF"/>
        <w:spacing w:line="560" w:lineRule="exact"/>
        <w:ind w:left="420" w:firstLine="0" w:firstLineChars="0"/>
        <w:jc w:val="center"/>
        <w:rPr>
          <w:rFonts w:ascii="仿宋_GB2312" w:hAnsi="Times New Roman" w:eastAsia="仿宋_GB2312" w:cs="仿宋_GB2312"/>
          <w:sz w:val="30"/>
          <w:szCs w:val="30"/>
        </w:rPr>
      </w:pPr>
      <w:r>
        <w:rPr>
          <w:rFonts w:hint="eastAsia" w:ascii="仿宋" w:hAnsi="仿宋" w:eastAsia="仿宋_GB2312"/>
          <w:sz w:val="30"/>
          <w:szCs w:val="30"/>
        </w:rPr>
        <w:t>XXXX</w:t>
      </w:r>
      <w:r>
        <w:rPr>
          <w:rFonts w:hint="eastAsia" w:ascii="仿宋_GB2312" w:hAnsi="Times New Roman" w:eastAsia="仿宋_GB2312" w:cs="仿宋_GB2312"/>
          <w:sz w:val="30"/>
          <w:szCs w:val="30"/>
        </w:rPr>
        <w:t>股份有限公司关于“</w:t>
      </w:r>
      <w:r>
        <w:rPr>
          <w:rFonts w:hint="eastAsia" w:ascii="仿宋" w:hAnsi="仿宋" w:eastAsia="仿宋_GB2312"/>
          <w:sz w:val="30"/>
          <w:szCs w:val="30"/>
        </w:rPr>
        <w:t>XX</w:t>
      </w:r>
      <w:r>
        <w:rPr>
          <w:rFonts w:hint="eastAsia" w:ascii="仿宋_GB2312" w:hAnsi="Times New Roman" w:eastAsia="仿宋_GB2312" w:cs="仿宋_GB2312"/>
          <w:sz w:val="30"/>
          <w:szCs w:val="30"/>
        </w:rPr>
        <w:t>转债”交易异常波动/严重异常波动/风险提示公告</w:t>
      </w:r>
    </w:p>
    <w:p w14:paraId="49736CD0">
      <w:pPr>
        <w:adjustRightInd w:val="0"/>
        <w:snapToGrid w:val="0"/>
        <w:spacing w:line="560" w:lineRule="exact"/>
        <w:ind w:firstLine="600" w:firstLineChars="200"/>
        <w:rPr>
          <w:rFonts w:ascii="仿宋" w:hAnsi="仿宋" w:eastAsia="仿宋_GB2312"/>
          <w:sz w:val="30"/>
          <w:szCs w:val="30"/>
        </w:rPr>
      </w:pPr>
    </w:p>
    <w:p w14:paraId="65927FD6">
      <w:pPr>
        <w:pBdr>
          <w:top w:val="single" w:color="auto" w:sz="4" w:space="1"/>
          <w:left w:val="single" w:color="auto" w:sz="4" w:space="4"/>
          <w:bottom w:val="single" w:color="auto" w:sz="4" w:space="1"/>
          <w:right w:val="single" w:color="auto" w:sz="4" w:space="4"/>
        </w:pBdr>
        <w:adjustRightInd w:val="0"/>
        <w:snapToGrid w:val="0"/>
        <w:spacing w:line="360" w:lineRule="auto"/>
        <w:rPr>
          <w:rFonts w:ascii="仿宋" w:hAnsi="仿宋" w:eastAsia="仿宋_GB2312"/>
          <w:sz w:val="30"/>
          <w:szCs w:val="30"/>
        </w:rPr>
      </w:pPr>
      <w:r>
        <w:rPr>
          <w:rFonts w:hint="eastAsia" w:ascii="宋体" w:hAnsi="宋体"/>
          <w:color w:val="000000"/>
          <w:sz w:val="24"/>
        </w:rPr>
        <w:t xml:space="preserve">    </w:t>
      </w:r>
      <w:r>
        <w:rPr>
          <w:rFonts w:ascii="宋体" w:hAnsi="宋体"/>
          <w:color w:val="000000"/>
          <w:sz w:val="24"/>
        </w:rPr>
        <w:t xml:space="preserve"> </w:t>
      </w:r>
      <w:r>
        <w:rPr>
          <w:rFonts w:hint="eastAsia" w:ascii="仿宋" w:hAnsi="仿宋" w:eastAsia="仿宋_GB2312"/>
          <w:sz w:val="30"/>
          <w:szCs w:val="30"/>
        </w:rPr>
        <w:t>本公司董事会及全体董事保证本公告内容不存在任何虚假记载、误导性陈述或者重大遗漏，并对其内容的真实性、准确性和完整性承担法律责任。</w:t>
      </w:r>
    </w:p>
    <w:p w14:paraId="5B8DF07A">
      <w:pPr>
        <w:pBdr>
          <w:top w:val="single" w:color="auto" w:sz="4" w:space="1"/>
          <w:left w:val="single" w:color="auto" w:sz="4" w:space="4"/>
          <w:bottom w:val="single" w:color="auto" w:sz="4" w:space="1"/>
          <w:right w:val="single" w:color="auto" w:sz="4" w:space="4"/>
        </w:pBdr>
        <w:adjustRightInd w:val="0"/>
        <w:snapToGrid w:val="0"/>
        <w:spacing w:line="360" w:lineRule="auto"/>
        <w:rPr>
          <w:rFonts w:ascii="宋体" w:hAnsi="宋体"/>
          <w:color w:val="000000"/>
          <w:sz w:val="24"/>
        </w:rPr>
      </w:pPr>
      <w:r>
        <w:rPr>
          <w:rFonts w:hint="eastAsia" w:ascii="仿宋" w:hAnsi="仿宋" w:eastAsia="仿宋_GB2312"/>
          <w:sz w:val="30"/>
          <w:szCs w:val="30"/>
        </w:rPr>
        <w:t xml:space="preserve">    如有董事对临时公告内容的真实性、准确性和完整性无法保证或存在异议的，公司应当在公告中作特别提示。</w:t>
      </w:r>
    </w:p>
    <w:p w14:paraId="34AA90FD">
      <w:pPr>
        <w:widowControl/>
        <w:shd w:val="clear" w:color="auto" w:fill="FFFFFF"/>
        <w:spacing w:line="560" w:lineRule="exact"/>
        <w:jc w:val="left"/>
        <w:rPr>
          <w:rFonts w:ascii="仿宋" w:hAnsi="仿宋" w:eastAsia="仿宋_GB2312"/>
          <w:sz w:val="30"/>
          <w:szCs w:val="30"/>
        </w:rPr>
      </w:pPr>
    </w:p>
    <w:p w14:paraId="6A814FB8">
      <w:pPr>
        <w:widowControl/>
        <w:shd w:val="clear" w:color="auto" w:fill="FFFFFF"/>
        <w:spacing w:line="560" w:lineRule="exact"/>
        <w:ind w:firstLine="602" w:firstLineChars="200"/>
        <w:jc w:val="left"/>
        <w:rPr>
          <w:rFonts w:ascii="仿宋_GB2312" w:hAnsi="Times New Roman" w:eastAsia="仿宋_GB2312" w:cs="仿宋_GB2312"/>
          <w:b/>
          <w:kern w:val="0"/>
          <w:sz w:val="30"/>
          <w:szCs w:val="30"/>
        </w:rPr>
      </w:pPr>
      <w:r>
        <w:rPr>
          <w:rFonts w:hint="eastAsia" w:ascii="仿宋_GB2312" w:hAnsi="Times New Roman" w:eastAsia="仿宋_GB2312" w:cs="仿宋_GB2312"/>
          <w:b/>
          <w:kern w:val="0"/>
          <w:sz w:val="30"/>
          <w:szCs w:val="30"/>
        </w:rPr>
        <w:t>重要内容提示：</w:t>
      </w:r>
    </w:p>
    <w:p w14:paraId="6DCCF3E4">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交易异常波动/严重异常波动情形；或者</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日盘中涨幅/跌幅达</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%，换手率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kern w:val="0"/>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14:paraId="6392DDAC">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截至</w:t>
      </w:r>
      <w:r>
        <w:rPr>
          <w:rFonts w:hint="eastAsia" w:ascii="仿宋" w:hAnsi="仿宋" w:eastAsia="仿宋_GB2312"/>
          <w:sz w:val="30"/>
          <w:szCs w:val="30"/>
        </w:rPr>
        <w:t>XXXX</w:t>
      </w:r>
      <w:r>
        <w:rPr>
          <w:rFonts w:hint="eastAsia" w:ascii="仿宋_GB2312" w:hAnsi="Times New Roman" w:eastAsia="仿宋_GB2312" w:cs="仿宋_GB2312"/>
          <w:kern w:val="0"/>
          <w:sz w:val="30"/>
          <w:szCs w:val="30"/>
        </w:rPr>
        <w:t>年</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月</w:t>
      </w:r>
      <w:r>
        <w:rPr>
          <w:rFonts w:hint="eastAsia" w:ascii="仿宋" w:hAnsi="仿宋" w:eastAsia="仿宋_GB2312"/>
          <w:sz w:val="30"/>
          <w:szCs w:val="30"/>
        </w:rPr>
        <w:t>XX</w:t>
      </w:r>
      <w:r>
        <w:rPr>
          <w:rFonts w:hint="eastAsia" w:ascii="仿宋_GB2312" w:hAnsi="Times New Roman" w:eastAsia="仿宋_GB2312" w:cs="仿宋_GB2312"/>
          <w:kern w:val="0"/>
          <w:sz w:val="30"/>
          <w:szCs w:val="30"/>
        </w:rPr>
        <w:t>日，</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kern w:val="0"/>
          <w:sz w:val="30"/>
          <w:szCs w:val="30"/>
        </w:rPr>
        <w:t>价格</w:t>
      </w:r>
      <w:r>
        <w:rPr>
          <w:rFonts w:hint="eastAsia" w:ascii="仿宋" w:hAnsi="仿宋" w:eastAsia="仿宋_GB2312"/>
          <w:sz w:val="30"/>
          <w:szCs w:val="30"/>
        </w:rPr>
        <w:t>XX</w:t>
      </w:r>
      <w:r>
        <w:rPr>
          <w:rFonts w:hint="eastAsia" w:ascii="仿宋_GB2312" w:hAnsi="Times New Roman" w:eastAsia="仿宋_GB2312" w:cs="仿宋_GB2312"/>
          <w:kern w:val="0"/>
          <w:sz w:val="30"/>
          <w:szCs w:val="30"/>
        </w:rPr>
        <w:t>元/张，</w:t>
      </w:r>
      <w:r>
        <w:rPr>
          <w:rFonts w:hint="eastAsia" w:ascii="仿宋_GB2312" w:hAnsi="Times New Roman" w:eastAsia="仿宋_GB2312" w:cs="仿宋_GB2312"/>
          <w:sz w:val="30"/>
          <w:szCs w:val="30"/>
        </w:rPr>
        <w:t>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Times New Roman" w:eastAsia="仿宋_GB2312" w:cs="仿宋_GB2312"/>
          <w:kern w:val="0"/>
          <w:sz w:val="30"/>
          <w:szCs w:val="30"/>
        </w:rPr>
        <w:t>转股溢价率</w:t>
      </w:r>
      <w:r>
        <w:rPr>
          <w:rFonts w:hint="eastAsia" w:ascii="仿宋" w:hAnsi="仿宋" w:eastAsia="仿宋_GB2312"/>
          <w:sz w:val="30"/>
          <w:szCs w:val="30"/>
        </w:rPr>
        <w:t>XX</w:t>
      </w:r>
      <w:r>
        <w:rPr>
          <w:rFonts w:hint="eastAsia" w:ascii="仿宋_GB2312" w:hAnsi="Times New Roman" w:eastAsia="仿宋_GB2312" w:cs="仿宋_GB2312"/>
          <w:kern w:val="0"/>
          <w:sz w:val="30"/>
          <w:szCs w:val="30"/>
        </w:rPr>
        <w:t>%。</w:t>
      </w:r>
    </w:p>
    <w:p w14:paraId="64A4FA53">
      <w:pPr>
        <w:pStyle w:val="34"/>
        <w:widowControl/>
        <w:numPr>
          <w:ilvl w:val="0"/>
          <w:numId w:val="9"/>
        </w:numPr>
        <w:shd w:val="clear" w:color="auto" w:fill="FFFFFF"/>
        <w:spacing w:line="560" w:lineRule="exact"/>
        <w:ind w:firstLine="600"/>
        <w:jc w:val="left"/>
        <w:rPr>
          <w:rFonts w:ascii="仿宋_GB2312" w:hAnsi="Times New Roman" w:eastAsia="仿宋_GB2312" w:cs="仿宋_GB2312"/>
          <w:kern w:val="0"/>
          <w:sz w:val="30"/>
          <w:szCs w:val="30"/>
        </w:rPr>
      </w:pPr>
      <w:r>
        <w:rPr>
          <w:rFonts w:hint="eastAsia" w:ascii="仿宋_GB2312" w:hAnsi="Times New Roman" w:eastAsia="仿宋_GB2312" w:cs="仿宋_GB2312"/>
          <w:kern w:val="0"/>
          <w:sz w:val="30"/>
          <w:szCs w:val="30"/>
        </w:rPr>
        <w:t xml:space="preserve">上市公司核查的相关重大信息或重大风险提示。 </w:t>
      </w:r>
    </w:p>
    <w:p w14:paraId="46F784F3">
      <w:pPr>
        <w:pStyle w:val="15"/>
        <w:shd w:val="clear" w:color="auto" w:fill="FFFFFF"/>
        <w:spacing w:before="0" w:beforeAutospacing="0" w:after="0" w:afterAutospacing="0" w:line="560" w:lineRule="exact"/>
        <w:ind w:firstLine="602" w:firstLineChars="200"/>
        <w:rPr>
          <w:rFonts w:ascii="仿宋" w:hAnsi="仿宋" w:eastAsia="仿宋_GB2312"/>
          <w:b/>
          <w:color w:val="000000"/>
          <w:sz w:val="30"/>
          <w:szCs w:val="30"/>
        </w:rPr>
      </w:pPr>
    </w:p>
    <w:p w14:paraId="4CECEEE6">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14:paraId="2075FA08">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 w:hAnsi="仿宋" w:eastAsia="仿宋_GB2312"/>
          <w:sz w:val="30"/>
          <w:szCs w:val="30"/>
        </w:rPr>
        <w:t>说明可转债发行上市的基本情况，包括发行日期、数量、面值、总额、利率、期限，上市日期、交易代码、转债简称，以及</w:t>
      </w:r>
      <w:r>
        <w:rPr>
          <w:rFonts w:hint="eastAsia" w:ascii="仿宋_GB2312" w:hAnsi="仿宋_GB2312" w:eastAsia="仿宋_GB2312" w:cs="仿宋_GB2312"/>
          <w:sz w:val="30"/>
          <w:szCs w:val="30"/>
        </w:rPr>
        <w:t>可转债开始转股的日期、转股价格等。</w:t>
      </w:r>
    </w:p>
    <w:p w14:paraId="748689D2">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p>
    <w:p w14:paraId="69DCD5FD">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二、可转债交易异常波动/严重异常波动/相关交易指标异常的具体情况</w:t>
      </w:r>
    </w:p>
    <w:p w14:paraId="5F75B8A8">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上市公司应当说明可转债交易异常波动/严重异常波动的具体情形及发生时间等。</w:t>
      </w:r>
    </w:p>
    <w:p w14:paraId="15A98E68">
      <w:pPr>
        <w:pStyle w:val="15"/>
        <w:shd w:val="clear" w:color="auto" w:fill="FFFFFF"/>
        <w:spacing w:before="0" w:beforeAutospacing="0" w:after="0" w:afterAutospacing="0" w:line="560" w:lineRule="exact"/>
        <w:ind w:firstLine="480" w:firstLineChars="200"/>
        <w:jc w:val="both"/>
        <w:rPr>
          <w:rFonts w:ascii="楷体" w:hAnsi="楷体" w:eastAsia="楷体" w:cstheme="minorBidi"/>
          <w:kern w:val="2"/>
          <w:sz w:val="24"/>
          <w:szCs w:val="24"/>
        </w:rPr>
      </w:pPr>
      <w:r>
        <w:rPr>
          <w:rFonts w:hint="eastAsia" w:ascii="楷体" w:hAnsi="楷体" w:eastAsia="楷体" w:cstheme="minorBidi"/>
          <w:kern w:val="2"/>
          <w:sz w:val="24"/>
          <w:szCs w:val="24"/>
        </w:rPr>
        <w:t>（编制提醒：触及《上海证券交易所可转换公司债券</w:t>
      </w:r>
      <w:r>
        <w:rPr>
          <w:rFonts w:hint="eastAsia" w:ascii="楷体" w:hAnsi="楷体" w:eastAsia="楷体"/>
          <w:sz w:val="24"/>
          <w:szCs w:val="24"/>
        </w:rPr>
        <w:t>交易</w:t>
      </w:r>
      <w:r>
        <w:rPr>
          <w:rFonts w:hint="eastAsia" w:ascii="楷体" w:hAnsi="楷体" w:eastAsia="楷体" w:cstheme="minorBidi"/>
          <w:kern w:val="2"/>
          <w:sz w:val="24"/>
          <w:szCs w:val="24"/>
        </w:rPr>
        <w:t>实施细则》规定的异常波动标准的，应当表述为“公司可转债交易连续</w:t>
      </w:r>
      <w:r>
        <w:rPr>
          <w:rFonts w:ascii="楷体" w:hAnsi="楷体" w:eastAsia="楷体" w:cstheme="minorBidi"/>
          <w:kern w:val="2"/>
          <w:sz w:val="24"/>
          <w:szCs w:val="24"/>
        </w:rPr>
        <w:t>3个交易日内日收盘价格涨/跌幅偏离值累计达XX%”等。</w:t>
      </w:r>
      <w:r>
        <w:rPr>
          <w:rFonts w:hint="eastAsia" w:ascii="楷体" w:hAnsi="楷体" w:eastAsia="楷体" w:cstheme="minorBidi"/>
          <w:kern w:val="2"/>
          <w:sz w:val="24"/>
          <w:szCs w:val="24"/>
        </w:rPr>
        <w:t>触及《上海证券交易所可转换公司债券交易实施细则》规定的严重异常波动标准的，应当表述为</w:t>
      </w:r>
      <w:r>
        <w:rPr>
          <w:rFonts w:ascii="楷体" w:hAnsi="楷体" w:eastAsia="楷体" w:cstheme="minorBidi"/>
          <w:kern w:val="2"/>
          <w:sz w:val="24"/>
          <w:szCs w:val="24"/>
        </w:rPr>
        <w:t>“</w:t>
      </w:r>
      <w:r>
        <w:rPr>
          <w:rFonts w:hint="eastAsia" w:ascii="楷体" w:hAnsi="楷体" w:eastAsia="楷体" w:cstheme="minorBidi"/>
          <w:kern w:val="2"/>
          <w:sz w:val="24"/>
          <w:szCs w:val="24"/>
        </w:rPr>
        <w:t>公司可转债交易连续</w:t>
      </w:r>
      <w:r>
        <w:rPr>
          <w:rFonts w:ascii="楷体" w:hAnsi="楷体" w:eastAsia="楷体" w:cstheme="minorBidi"/>
          <w:kern w:val="2"/>
          <w:sz w:val="24"/>
          <w:szCs w:val="24"/>
        </w:rPr>
        <w:t>10个交易日内3次出现同向异常波动情形/连续10个交易日内日收盘价格涨跌幅偏离值累计达到+100%（-50%）/连续30个交易日内日收盘价格涨跌幅偏离值累计达到+200%（-70%）”</w:t>
      </w:r>
      <w:r>
        <w:rPr>
          <w:rFonts w:hint="eastAsia" w:ascii="楷体" w:hAnsi="楷体" w:eastAsia="楷体" w:cstheme="minorBidi"/>
          <w:kern w:val="2"/>
          <w:sz w:val="24"/>
          <w:szCs w:val="24"/>
        </w:rPr>
        <w:t>等。如上市公司可转债交易出现严重异常波动的多种情形，应当列明出现的所有情形。）</w:t>
      </w:r>
    </w:p>
    <w:p w14:paraId="44B3BA59">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w:t>
      </w:r>
      <w:r>
        <w:rPr>
          <w:rFonts w:hint="eastAsia" w:ascii="仿宋" w:hAnsi="仿宋" w:eastAsia="仿宋_GB2312"/>
          <w:sz w:val="30"/>
          <w:szCs w:val="30"/>
        </w:rPr>
        <w:t>可转债交易涨跌幅、交易换手率、转股溢价率等指标出现异常</w:t>
      </w:r>
      <w:r>
        <w:rPr>
          <w:rFonts w:hint="eastAsia" w:ascii="仿宋_GB2312" w:hAnsi="仿宋_GB2312" w:eastAsia="仿宋_GB2312" w:cs="仿宋_GB2312"/>
          <w:sz w:val="30"/>
          <w:szCs w:val="30"/>
        </w:rPr>
        <w:t>，可转债交易虽未触及异常波动情形，但上市公司认为相关可转债交易未能反映公司实际情况的，应当说明可转债交易波动的具体情形。例如，“公司可转债交易</w:t>
      </w:r>
      <w:r>
        <w:rPr>
          <w:rFonts w:hint="eastAsia" w:ascii="仿宋_GB2312" w:hAnsi="Times New Roman" w:eastAsia="仿宋_GB2312" w:cs="仿宋_GB2312"/>
          <w:sz w:val="30"/>
          <w:szCs w:val="30"/>
        </w:rPr>
        <w:t>近期价格波动较大，</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日盘中涨/跌幅达</w:t>
      </w:r>
      <w:r>
        <w:rPr>
          <w:rFonts w:hint="eastAsia" w:ascii="仿宋" w:hAnsi="仿宋" w:eastAsia="仿宋_GB2312"/>
          <w:sz w:val="30"/>
          <w:szCs w:val="30"/>
        </w:rPr>
        <w:t>XX</w:t>
      </w:r>
      <w:r>
        <w:rPr>
          <w:rFonts w:hint="eastAsia" w:ascii="仿宋_GB2312" w:hAnsi="Times New Roman" w:eastAsia="仿宋_GB2312" w:cs="仿宋_GB2312"/>
          <w:sz w:val="30"/>
          <w:szCs w:val="30"/>
        </w:rPr>
        <w:t>%，当日收盘涨幅/跌幅</w:t>
      </w:r>
      <w:r>
        <w:rPr>
          <w:rFonts w:hint="eastAsia" w:ascii="仿宋" w:hAnsi="仿宋" w:eastAsia="仿宋_GB2312"/>
          <w:sz w:val="30"/>
          <w:szCs w:val="30"/>
        </w:rPr>
        <w:t>XX</w:t>
      </w:r>
      <w:r>
        <w:rPr>
          <w:rFonts w:hint="eastAsia" w:ascii="仿宋_GB2312" w:hAnsi="Times New Roman" w:eastAsia="仿宋_GB2312" w:cs="仿宋_GB2312"/>
          <w:sz w:val="30"/>
          <w:szCs w:val="30"/>
        </w:rPr>
        <w:t>%，换手率</w:t>
      </w:r>
      <w:r>
        <w:rPr>
          <w:rFonts w:hint="eastAsia" w:ascii="仿宋" w:hAnsi="仿宋" w:eastAsia="仿宋_GB2312"/>
          <w:sz w:val="30"/>
          <w:szCs w:val="30"/>
        </w:rPr>
        <w:t>XX</w:t>
      </w:r>
      <w:r>
        <w:rPr>
          <w:rFonts w:hint="eastAsia" w:ascii="仿宋_GB2312" w:hAnsi="Times New Roman" w:eastAsia="仿宋_GB2312" w:cs="仿宋_GB2312"/>
          <w:sz w:val="30"/>
          <w:szCs w:val="30"/>
        </w:rPr>
        <w:t>%。最近</w:t>
      </w:r>
      <w:r>
        <w:rPr>
          <w:rFonts w:hint="eastAsia" w:ascii="仿宋" w:hAnsi="仿宋" w:eastAsia="仿宋_GB2312"/>
          <w:sz w:val="30"/>
          <w:szCs w:val="30"/>
        </w:rPr>
        <w:t>XX个交易日，累计</w:t>
      </w:r>
      <w:r>
        <w:rPr>
          <w:rFonts w:hint="eastAsia" w:ascii="仿宋_GB2312" w:hAnsi="Times New Roman" w:eastAsia="仿宋_GB2312" w:cs="仿宋_GB2312"/>
          <w:sz w:val="30"/>
          <w:szCs w:val="30"/>
        </w:rPr>
        <w:t>涨幅/跌幅达到</w:t>
      </w:r>
      <w:r>
        <w:rPr>
          <w:rFonts w:hint="eastAsia" w:ascii="仿宋" w:hAnsi="仿宋" w:eastAsia="仿宋_GB2312"/>
          <w:sz w:val="30"/>
          <w:szCs w:val="30"/>
        </w:rPr>
        <w:t>XX</w:t>
      </w:r>
      <w:r>
        <w:rPr>
          <w:rFonts w:hint="eastAsia" w:ascii="仿宋_GB2312" w:hAnsi="Times New Roman" w:eastAsia="仿宋_GB2312" w:cs="仿宋_GB2312"/>
          <w:sz w:val="30"/>
          <w:szCs w:val="30"/>
        </w:rPr>
        <w:t>%</w:t>
      </w:r>
      <w:r>
        <w:rPr>
          <w:rFonts w:hint="eastAsia" w:ascii="仿宋_GB2312" w:hAnsi="仿宋_GB2312" w:eastAsia="仿宋_GB2312" w:cs="仿宋_GB2312"/>
          <w:sz w:val="30"/>
          <w:szCs w:val="30"/>
        </w:rPr>
        <w:t>”等。</w:t>
      </w:r>
    </w:p>
    <w:p w14:paraId="06FCD49A">
      <w:pPr>
        <w:autoSpaceDE w:val="0"/>
        <w:autoSpaceDN w:val="0"/>
        <w:adjustRightInd w:val="0"/>
        <w:snapToGrid w:val="0"/>
        <w:spacing w:line="560" w:lineRule="exact"/>
        <w:ind w:firstLine="600" w:firstLineChars="200"/>
        <w:rPr>
          <w:rFonts w:ascii="仿宋" w:hAnsi="仿宋" w:eastAsia="仿宋_GB2312"/>
          <w:sz w:val="30"/>
          <w:szCs w:val="30"/>
        </w:rPr>
      </w:pPr>
    </w:p>
    <w:p w14:paraId="3898DE3F">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三、上市公司关注并核查的相关情况</w:t>
      </w:r>
    </w:p>
    <w:p w14:paraId="52A9457B">
      <w:pPr>
        <w:pStyle w:val="15"/>
        <w:shd w:val="clear" w:color="auto" w:fill="FFFFFF"/>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上市公司可转债交易出现异常波动或严重异常波动等情形的，上市公司应当自查核实如下事项，并向控股股东、实际控制人等相关方函询相关情况。同时，应当就核查发现的重大事项、相关进展及变化的实际情况等予以披露。上市公司经核查认为相关重大事项不存在或未有相关进展、变化的，也应当说明核查事项、核查过程及核查结果。</w:t>
      </w:r>
    </w:p>
    <w:p w14:paraId="3CF1FCF1">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（一）是否存在导致可转债价格异常波动或者相关交易指标出现异常的未披露事项，包括公司</w:t>
      </w:r>
      <w:r>
        <w:rPr>
          <w:rFonts w:hint="eastAsia" w:ascii="仿宋_GB2312" w:eastAsia="仿宋_GB2312"/>
          <w:color w:val="000000"/>
          <w:sz w:val="30"/>
          <w:szCs w:val="30"/>
        </w:rPr>
        <w:t>日常经营情况及外部环境是否或预计将要发生重大变化、近期是否签订重大合同等</w:t>
      </w:r>
      <w:r>
        <w:rPr>
          <w:rFonts w:hint="eastAsia" w:ascii="仿宋_GB2312" w:hAnsi="仿宋_GB2312" w:eastAsia="仿宋_GB2312" w:cs="仿宋_GB2312"/>
          <w:kern w:val="0"/>
          <w:sz w:val="30"/>
          <w:szCs w:val="30"/>
        </w:rPr>
        <w:t>，公司或其控股股东、实际控制人、相关方等是否正在筹划涉及上市公司的重大资产重组、</w:t>
      </w:r>
      <w:r>
        <w:rPr>
          <w:rFonts w:hint="eastAsia" w:ascii="仿宋_GB2312" w:eastAsia="仿宋_GB2312"/>
          <w:color w:val="000000"/>
          <w:sz w:val="30"/>
          <w:szCs w:val="30"/>
        </w:rPr>
        <w:t>股份发行、收购</w:t>
      </w:r>
      <w:r>
        <w:rPr>
          <w:rFonts w:hint="eastAsia" w:ascii="仿宋_GB2312" w:hAnsi="仿宋_GB2312" w:eastAsia="仿宋_GB2312" w:cs="仿宋_GB2312"/>
          <w:kern w:val="0"/>
          <w:sz w:val="30"/>
          <w:szCs w:val="30"/>
        </w:rPr>
        <w:t>等重大事项，以及是否涉及相关</w:t>
      </w:r>
      <w:r>
        <w:rPr>
          <w:rFonts w:hint="eastAsia" w:ascii="仿宋_GB2312" w:eastAsia="仿宋_GB2312"/>
          <w:color w:val="000000"/>
          <w:sz w:val="30"/>
          <w:szCs w:val="30"/>
        </w:rPr>
        <w:t>媒体报道、市场传闻、热点概念情况等，并说明</w:t>
      </w:r>
      <w:r>
        <w:rPr>
          <w:rFonts w:hint="eastAsia" w:ascii="仿宋_GB2312" w:hAnsi="仿宋_GB2312" w:eastAsia="仿宋_GB2312" w:cs="仿宋_GB2312"/>
          <w:kern w:val="0"/>
          <w:sz w:val="30"/>
          <w:szCs w:val="30"/>
        </w:rPr>
        <w:t>前期披露的信息是否存在需要更正、补充之处；</w:t>
      </w:r>
    </w:p>
    <w:p w14:paraId="5F04C7CD">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（二）可转债价格偏离可转债价值的程度；</w:t>
      </w:r>
    </w:p>
    <w:p w14:paraId="3F5D3537">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（三）上市公司董事、高级管理人员、实际控制人、控股股东及其一致行动人买卖公司可转债的情况；</w:t>
      </w:r>
    </w:p>
    <w:p w14:paraId="3F2499BC">
      <w:pPr>
        <w:spacing w:line="56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（四）是否存在其他</w:t>
      </w:r>
      <w:r>
        <w:rPr>
          <w:rFonts w:hint="eastAsia" w:ascii="仿宋_GB2312" w:eastAsia="仿宋_GB2312"/>
          <w:color w:val="000000"/>
          <w:sz w:val="30"/>
          <w:szCs w:val="30"/>
        </w:rPr>
        <w:t>导致可转债</w:t>
      </w:r>
      <w:r>
        <w:rPr>
          <w:rFonts w:hint="eastAsia" w:ascii="仿宋_GB2312" w:hAnsi="仿宋_GB2312" w:eastAsia="仿宋_GB2312" w:cs="仿宋_GB2312"/>
          <w:kern w:val="0"/>
          <w:sz w:val="30"/>
          <w:szCs w:val="30"/>
        </w:rPr>
        <w:t>交易异常的重大信息或者重大风险事项，并说明是否存在违反信息公平披露的情形。</w:t>
      </w:r>
    </w:p>
    <w:p w14:paraId="0906031B">
      <w:pPr>
        <w:spacing w:line="560" w:lineRule="exact"/>
        <w:ind w:firstLine="600" w:firstLineChars="200"/>
        <w:rPr>
          <w:rFonts w:ascii="仿宋_GB2312" w:hAnsi="仿宋_GB2312" w:eastAsia="仿宋_GB2312" w:cs="仿宋_GB2312"/>
          <w:kern w:val="0"/>
          <w:sz w:val="30"/>
          <w:szCs w:val="30"/>
        </w:rPr>
      </w:pPr>
    </w:p>
    <w:p w14:paraId="630266F0">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四、可转债交易风险提示</w:t>
      </w:r>
    </w:p>
    <w:p w14:paraId="2A1862AB">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（一）截至</w:t>
      </w:r>
      <w:r>
        <w:rPr>
          <w:rFonts w:hint="eastAsia" w:ascii="仿宋" w:hAnsi="仿宋" w:eastAsia="仿宋_GB2312"/>
          <w:sz w:val="30"/>
          <w:szCs w:val="30"/>
        </w:rPr>
        <w:t>XXXX</w:t>
      </w:r>
      <w:r>
        <w:rPr>
          <w:rFonts w:hint="eastAsia" w:ascii="仿宋_GB2312" w:hAnsi="Times New Roman" w:eastAsia="仿宋_GB2312" w:cs="仿宋_GB2312"/>
          <w:sz w:val="30"/>
          <w:szCs w:val="30"/>
        </w:rPr>
        <w:t>年</w:t>
      </w:r>
      <w:r>
        <w:rPr>
          <w:rFonts w:hint="eastAsia" w:ascii="仿宋" w:hAnsi="仿宋" w:eastAsia="仿宋_GB2312"/>
          <w:sz w:val="30"/>
          <w:szCs w:val="30"/>
        </w:rPr>
        <w:t>XX</w:t>
      </w:r>
      <w:r>
        <w:rPr>
          <w:rFonts w:hint="eastAsia" w:ascii="仿宋_GB2312" w:hAnsi="Times New Roman" w:eastAsia="仿宋_GB2312" w:cs="仿宋_GB2312"/>
          <w:sz w:val="30"/>
          <w:szCs w:val="30"/>
        </w:rPr>
        <w:t>月</w:t>
      </w:r>
      <w:r>
        <w:rPr>
          <w:rFonts w:hint="eastAsia" w:ascii="仿宋" w:hAnsi="仿宋" w:eastAsia="仿宋_GB2312"/>
          <w:sz w:val="30"/>
          <w:szCs w:val="30"/>
        </w:rPr>
        <w:t>XX</w:t>
      </w:r>
      <w:r>
        <w:rPr>
          <w:rFonts w:hint="eastAsia" w:ascii="仿宋_GB2312" w:hAnsi="Times New Roman" w:eastAsia="仿宋_GB2312" w:cs="仿宋_GB2312"/>
          <w:sz w:val="30"/>
          <w:szCs w:val="30"/>
        </w:rPr>
        <w:t>日，可转债价格</w:t>
      </w:r>
      <w:r>
        <w:rPr>
          <w:rFonts w:hint="eastAsia" w:ascii="仿宋" w:hAnsi="仿宋" w:eastAsia="仿宋_GB2312"/>
          <w:sz w:val="30"/>
          <w:szCs w:val="30"/>
        </w:rPr>
        <w:t>XX</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张，相对于票面价格溢价</w:t>
      </w:r>
      <w:r>
        <w:rPr>
          <w:rFonts w:hint="eastAsia" w:ascii="仿宋" w:hAnsi="仿宋" w:eastAsia="仿宋_GB2312"/>
          <w:sz w:val="30"/>
          <w:szCs w:val="30"/>
        </w:rPr>
        <w:t>XX</w:t>
      </w:r>
      <w:r>
        <w:rPr>
          <w:rFonts w:hint="eastAsia" w:ascii="仿宋_GB2312" w:hAnsi="Times New Roman" w:eastAsia="仿宋_GB2312" w:cs="仿宋_GB2312"/>
          <w:sz w:val="30"/>
          <w:szCs w:val="30"/>
        </w:rPr>
        <w:t>%。同时，</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按照当前转股价格转换后的价值为</w:t>
      </w:r>
      <w:r>
        <w:rPr>
          <w:rFonts w:hint="eastAsia" w:ascii="仿宋" w:hAnsi="仿宋" w:eastAsia="仿宋_GB2312"/>
          <w:sz w:val="30"/>
          <w:szCs w:val="30"/>
        </w:rPr>
        <w:t>XX</w:t>
      </w:r>
      <w:r>
        <w:rPr>
          <w:rFonts w:hint="eastAsia" w:ascii="仿宋_GB2312" w:hAnsi="Times New Roman" w:eastAsia="仿宋_GB2312" w:cs="仿宋_GB2312"/>
          <w:sz w:val="30"/>
          <w:szCs w:val="30"/>
        </w:rPr>
        <w:t>元（转股价值），可转债价格相对于转股价值溢价</w:t>
      </w:r>
      <w:r>
        <w:rPr>
          <w:rFonts w:hint="eastAsia" w:ascii="仿宋" w:hAnsi="仿宋" w:eastAsia="仿宋_GB2312"/>
          <w:sz w:val="30"/>
          <w:szCs w:val="30"/>
        </w:rPr>
        <w:t>XX</w:t>
      </w:r>
      <w:r>
        <w:rPr>
          <w:rFonts w:hint="eastAsia" w:ascii="仿宋_GB2312" w:hAnsi="Times New Roman" w:eastAsia="仿宋_GB2312" w:cs="仿宋_GB2312"/>
          <w:sz w:val="30"/>
          <w:szCs w:val="30"/>
        </w:rPr>
        <w:t>%。当前</w:t>
      </w:r>
      <w:r>
        <w:rPr>
          <w:rFonts w:ascii="仿宋_GB2312" w:hAnsi="Times New Roman" w:eastAsia="仿宋_GB2312" w:cs="仿宋_GB2312"/>
          <w:sz w:val="30"/>
          <w:szCs w:val="30"/>
        </w:rPr>
        <w:t>“</w:t>
      </w:r>
      <w:r>
        <w:rPr>
          <w:rFonts w:hint="eastAsia" w:ascii="仿宋" w:hAnsi="仿宋" w:eastAsia="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存在较大的估值风险。</w:t>
      </w:r>
      <w:r>
        <w:rPr>
          <w:rFonts w:ascii="仿宋_GB2312" w:hAnsi="Times New Roman" w:eastAsia="仿宋_GB2312" w:cs="仿宋_GB2312"/>
          <w:sz w:val="30"/>
          <w:szCs w:val="30"/>
        </w:rPr>
        <w:t xml:space="preserve"> </w:t>
      </w:r>
    </w:p>
    <w:p w14:paraId="7AF14DDE">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（二）可转债可能触发赎回条款的风险提示。（如适用）</w:t>
      </w:r>
    </w:p>
    <w:p w14:paraId="04A033EB">
      <w:pPr>
        <w:pStyle w:val="15"/>
        <w:shd w:val="clear" w:color="auto" w:fill="FFFFFF"/>
        <w:spacing w:before="0" w:beforeAutospacing="0" w:after="0" w:afterAutospacing="0" w:line="560" w:lineRule="exact"/>
        <w:ind w:firstLine="480" w:firstLineChars="200"/>
        <w:jc w:val="both"/>
        <w:rPr>
          <w:rFonts w:ascii="楷体" w:hAnsi="楷体" w:eastAsia="楷体" w:cstheme="minorBidi"/>
          <w:kern w:val="2"/>
          <w:sz w:val="24"/>
          <w:szCs w:val="24"/>
        </w:rPr>
      </w:pPr>
      <w:r>
        <w:rPr>
          <w:rFonts w:hint="eastAsia" w:ascii="楷体" w:hAnsi="楷体" w:eastAsia="楷体" w:cstheme="minorBidi"/>
          <w:kern w:val="2"/>
          <w:sz w:val="24"/>
          <w:szCs w:val="24"/>
        </w:rPr>
        <w:t>（编制提醒：比如，根据募集说明书相关约定，当公司</w:t>
      </w:r>
      <w:r>
        <w:rPr>
          <w:rFonts w:ascii="楷体" w:hAnsi="楷体" w:eastAsia="楷体" w:cstheme="minorBidi"/>
          <w:kern w:val="2"/>
          <w:sz w:val="24"/>
          <w:szCs w:val="24"/>
        </w:rPr>
        <w:t>A</w:t>
      </w:r>
      <w:r>
        <w:rPr>
          <w:rFonts w:hint="eastAsia" w:ascii="楷体" w:hAnsi="楷体" w:eastAsia="楷体" w:cstheme="minorBidi"/>
          <w:kern w:val="2"/>
          <w:sz w:val="24"/>
          <w:szCs w:val="24"/>
        </w:rPr>
        <w:t xml:space="preserve">股股票连续XX个交易日中至少有XX个交易日的收盘价格不低于当期转股价格的 </w:t>
      </w:r>
      <w:r>
        <w:rPr>
          <w:rFonts w:ascii="楷体" w:hAnsi="楷体" w:eastAsia="楷体" w:cstheme="minorBidi"/>
          <w:kern w:val="2"/>
          <w:sz w:val="24"/>
          <w:szCs w:val="24"/>
        </w:rPr>
        <w:t>130%</w:t>
      </w:r>
      <w:r>
        <w:rPr>
          <w:rFonts w:hint="eastAsia" w:ascii="楷体" w:hAnsi="楷体" w:eastAsia="楷体" w:cstheme="minorBidi"/>
          <w:kern w:val="2"/>
          <w:sz w:val="24"/>
          <w:szCs w:val="24"/>
        </w:rPr>
        <w:t>（含</w:t>
      </w:r>
      <w:r>
        <w:rPr>
          <w:rFonts w:ascii="楷体" w:hAnsi="楷体" w:eastAsia="楷体" w:cstheme="minorBidi"/>
          <w:kern w:val="2"/>
          <w:sz w:val="24"/>
          <w:szCs w:val="24"/>
        </w:rPr>
        <w:t>130%</w:t>
      </w:r>
      <w:r>
        <w:rPr>
          <w:rFonts w:hint="eastAsia" w:ascii="楷体" w:hAnsi="楷体" w:eastAsia="楷体" w:cstheme="minorBidi"/>
          <w:kern w:val="2"/>
          <w:sz w:val="24"/>
          <w:szCs w:val="24"/>
        </w:rPr>
        <w:t>），发行人有权按照债券面值加当期应计利息的价格赎回全部或部分未转股的可转债。截至XXXX年XX月XX日，公司股票在任何连续XX个交易日中已有XX个交易日的收盘价格不低于当期转股价格的</w:t>
      </w:r>
      <w:r>
        <w:rPr>
          <w:rFonts w:ascii="楷体" w:hAnsi="楷体" w:eastAsia="楷体" w:cstheme="minorBidi"/>
          <w:kern w:val="2"/>
          <w:sz w:val="24"/>
          <w:szCs w:val="24"/>
        </w:rPr>
        <w:t>130%</w:t>
      </w:r>
      <w:r>
        <w:rPr>
          <w:rFonts w:hint="eastAsia" w:ascii="楷体" w:hAnsi="楷体" w:eastAsia="楷体" w:cstheme="minorBidi"/>
          <w:kern w:val="2"/>
          <w:sz w:val="24"/>
          <w:szCs w:val="24"/>
        </w:rPr>
        <w:t>（触及时适用），存在一定的赎回风险。或者，根据募集说明书相关约定，当本次发行的可转换公司债券未转股余额不足</w:t>
      </w:r>
      <w:r>
        <w:rPr>
          <w:rFonts w:ascii="楷体" w:hAnsi="楷体" w:eastAsia="楷体" w:cstheme="minorBidi"/>
          <w:kern w:val="2"/>
          <w:sz w:val="24"/>
          <w:szCs w:val="24"/>
        </w:rPr>
        <w:t>3,000</w:t>
      </w:r>
      <w:r>
        <w:rPr>
          <w:rFonts w:hint="eastAsia" w:ascii="楷体" w:hAnsi="楷体" w:eastAsia="楷体" w:cstheme="minorBidi"/>
          <w:kern w:val="2"/>
          <w:sz w:val="24"/>
          <w:szCs w:val="24"/>
        </w:rPr>
        <w:t>万元时，发行人将按照面值加当期应计利息的价格赎回全部未转股的可转债。截至XXXX年XX月XX日，本次发行的可转换公司债券未转股余额仅为XX万元（小于10,</w:t>
      </w:r>
      <w:r>
        <w:rPr>
          <w:rFonts w:ascii="楷体" w:hAnsi="楷体" w:eastAsia="楷体" w:cstheme="minorBidi"/>
          <w:kern w:val="2"/>
          <w:sz w:val="24"/>
          <w:szCs w:val="24"/>
        </w:rPr>
        <w:t>000</w:t>
      </w:r>
      <w:r>
        <w:rPr>
          <w:rFonts w:hint="eastAsia" w:ascii="楷体" w:hAnsi="楷体" w:eastAsia="楷体" w:cstheme="minorBidi"/>
          <w:kern w:val="2"/>
          <w:sz w:val="24"/>
          <w:szCs w:val="24"/>
        </w:rPr>
        <w:t>万元时适用），存在一定的赎回风险。</w:t>
      </w:r>
      <w:r>
        <w:rPr>
          <w:rFonts w:ascii="楷体" w:hAnsi="楷体" w:eastAsia="楷体" w:cstheme="minorBidi"/>
          <w:kern w:val="2"/>
          <w:sz w:val="24"/>
          <w:szCs w:val="24"/>
        </w:rPr>
        <w:t xml:space="preserve"> </w:t>
      </w:r>
      <w:r>
        <w:rPr>
          <w:rFonts w:hint="eastAsia" w:ascii="楷体" w:hAnsi="楷体" w:eastAsia="楷体" w:cstheme="minorBidi"/>
          <w:kern w:val="2"/>
          <w:sz w:val="24"/>
          <w:szCs w:val="24"/>
        </w:rPr>
        <w:t>）</w:t>
      </w:r>
    </w:p>
    <w:p w14:paraId="48B96A3D">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（三）若</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触发赎回条款、且公司决定赎回，投资者所持可转债除在规定时限内通过二级市场继续交易或按照</w:t>
      </w:r>
      <w:r>
        <w:rPr>
          <w:rFonts w:ascii="仿宋_GB2312" w:hAnsi="Times New Roman" w:eastAsia="仿宋_GB2312" w:cs="仿宋_GB2312"/>
          <w:sz w:val="30"/>
          <w:szCs w:val="30"/>
        </w:rPr>
        <w:t>XX</w:t>
      </w:r>
      <w:r>
        <w:rPr>
          <w:rFonts w:hint="eastAsia" w:ascii="仿宋_GB2312" w:hAnsi="Times New Roman" w:eastAsia="仿宋_GB2312" w:cs="仿宋_GB2312"/>
          <w:sz w:val="30"/>
          <w:szCs w:val="30"/>
        </w:rPr>
        <w:t>元的转股价格进行转股外，仅能选择以</w:t>
      </w:r>
      <w:r>
        <w:rPr>
          <w:rFonts w:ascii="仿宋_GB2312" w:hAnsi="Times New Roman" w:eastAsia="仿宋_GB2312" w:cs="仿宋_GB2312"/>
          <w:sz w:val="30"/>
          <w:szCs w:val="30"/>
        </w:rPr>
        <w:t>100</w:t>
      </w:r>
      <w:r>
        <w:rPr>
          <w:rFonts w:hint="eastAsia" w:ascii="仿宋_GB2312" w:hAnsi="Times New Roman" w:eastAsia="仿宋_GB2312" w:cs="仿宋_GB2312"/>
          <w:sz w:val="30"/>
          <w:szCs w:val="30"/>
        </w:rPr>
        <w:t>元</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张的票面价格加当期应计利息（即XX元）被强制赎回，可能面临较大投资损失。（如适用）</w:t>
      </w:r>
    </w:p>
    <w:p w14:paraId="171B16E9">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四）其他上市公司认为必要的风险提示。如果异常波动发生在定期报告披露期间，未披露业绩预告的，公司应说明是否不存在需披露业绩预告的情况；已披露业绩预告、业绩快报的，公司应说明是否不存在应更正情况；若应当披露业绩预告或更正公告的，应当同时进行披露。不存在需披露业绩预告情况的，还应说明未公开的定期业绩信息是否已向除为公司审计的会计师事务所以外的第三方提供；如有，说明相关情况并披露主要财务指标。</w:t>
      </w:r>
    </w:p>
    <w:p w14:paraId="6417AA84">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p>
    <w:p w14:paraId="029503B7">
      <w:pPr>
        <w:pStyle w:val="15"/>
        <w:shd w:val="clear" w:color="auto" w:fill="FFFFFF"/>
        <w:spacing w:before="0" w:beforeAutospacing="0" w:after="0" w:afterAutospacing="0" w:line="560" w:lineRule="exact"/>
        <w:ind w:firstLine="602" w:firstLineChars="200"/>
        <w:jc w:val="both"/>
        <w:rPr>
          <w:rFonts w:ascii="黑体" w:hAnsi="黑体" w:eastAsia="黑体" w:cstheme="minorBidi"/>
          <w:b/>
          <w:color w:val="000000"/>
          <w:kern w:val="2"/>
          <w:sz w:val="30"/>
          <w:szCs w:val="30"/>
        </w:rPr>
      </w:pPr>
      <w:r>
        <w:rPr>
          <w:rFonts w:hint="eastAsia" w:ascii="黑体" w:hAnsi="黑体" w:eastAsia="黑体" w:cstheme="minorBidi"/>
          <w:b/>
          <w:color w:val="000000"/>
          <w:kern w:val="2"/>
          <w:sz w:val="30"/>
          <w:szCs w:val="30"/>
        </w:rPr>
        <w:t>五、董事会声明及相关方承诺</w:t>
      </w:r>
    </w:p>
    <w:p w14:paraId="26F3AC41">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一）上市公司董事会根据本公告格式要求进行核查后，应当作出如下声明：“本公司董事会确认，（除前述第三部分涉及的披露事项外）本公司没有任何根据《股票上市规则》等有关规定应披露而未披露的事项或与该等事项有关的筹划、商谈、意向、协议等，董事会也未获悉根据《股票上市规则》等有关规定应披露而未披露的、对本公司股票及可转债交易价格可能产生较大影响的信息；公司前期披露的信息不存在需要更正、补充之处。”</w:t>
      </w:r>
    </w:p>
    <w:p w14:paraId="73F3B177">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二）上市公司、控股股东、实际控制人及相关方等在公告中披露目前未筹划涉及上市公司的重大资产重组、股份发行、收购、债务重组、业务重组、资产剥离、资产注入、股份回购、股权激励、破产重整、重大业务合作、引进战略投资者等重大事项的，可以在公告中承诺3个月内不筹划前述事项。</w:t>
      </w:r>
    </w:p>
    <w:p w14:paraId="0792A1E6">
      <w:pPr>
        <w:pStyle w:val="15"/>
        <w:shd w:val="clear" w:color="auto" w:fill="FFFFFF"/>
        <w:spacing w:before="0" w:beforeAutospacing="0" w:after="0" w:afterAutospacing="0" w:line="560" w:lineRule="exact"/>
        <w:ind w:firstLine="600" w:firstLineChars="200"/>
        <w:jc w:val="both"/>
        <w:rPr>
          <w:rFonts w:ascii="仿宋_GB2312" w:hAnsi="Times New Roman" w:eastAsia="仿宋_GB2312" w:cs="仿宋_GB2312"/>
          <w:sz w:val="30"/>
          <w:szCs w:val="30"/>
        </w:rPr>
      </w:pPr>
      <w:r>
        <w:rPr>
          <w:rFonts w:hint="eastAsia" w:ascii="仿宋_GB2312" w:hAnsi="Times New Roman" w:eastAsia="仿宋_GB2312" w:cs="仿宋_GB2312"/>
          <w:sz w:val="30"/>
          <w:szCs w:val="30"/>
        </w:rPr>
        <w:t>敬请广大投资者注意</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XX转债</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的二级市场交易风险、估值风险（和赎回风险）等。</w:t>
      </w:r>
    </w:p>
    <w:p w14:paraId="28E4871C">
      <w:pPr>
        <w:adjustRightInd w:val="0"/>
        <w:snapToGrid w:val="0"/>
        <w:spacing w:line="560" w:lineRule="exact"/>
        <w:ind w:firstLine="600" w:firstLineChars="200"/>
        <w:rPr>
          <w:rFonts w:ascii="仿宋" w:hAnsi="仿宋" w:eastAsia="仿宋_GB2312"/>
          <w:sz w:val="30"/>
          <w:szCs w:val="30"/>
        </w:rPr>
      </w:pPr>
    </w:p>
    <w:p w14:paraId="7224D57D">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69DE424F">
      <w:pPr>
        <w:adjustRightInd w:val="0"/>
        <w:snapToGrid w:val="0"/>
        <w:spacing w:line="560" w:lineRule="exact"/>
        <w:ind w:firstLine="600" w:firstLineChars="200"/>
        <w:rPr>
          <w:rFonts w:ascii="仿宋" w:hAnsi="仿宋" w:eastAsia="仿宋_GB2312"/>
          <w:sz w:val="30"/>
          <w:szCs w:val="30"/>
        </w:rPr>
      </w:pPr>
    </w:p>
    <w:p w14:paraId="6CC4C835">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00F25969">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1DB5803D">
      <w:pPr>
        <w:pStyle w:val="15"/>
        <w:shd w:val="clear" w:color="auto" w:fill="FFFFFF"/>
        <w:spacing w:before="0" w:beforeAutospacing="0" w:after="0" w:afterAutospacing="0"/>
        <w:ind w:firstLine="536"/>
        <w:rPr>
          <w:rFonts w:ascii="仿宋" w:hAnsi="仿宋" w:eastAsia="仿宋_GB2312"/>
          <w:sz w:val="30"/>
          <w:szCs w:val="30"/>
        </w:rPr>
      </w:pPr>
      <w:r>
        <w:rPr>
          <w:rFonts w:ascii="仿宋" w:hAnsi="仿宋" w:eastAsia="仿宋_GB2312"/>
          <w:sz w:val="30"/>
          <w:szCs w:val="30"/>
        </w:rPr>
        <w:br w:type="page"/>
      </w:r>
    </w:p>
    <w:p w14:paraId="340C34E3">
      <w:pPr>
        <w:pStyle w:val="3"/>
        <w:rPr>
          <w:rFonts w:ascii="黑体" w:hAnsi="黑体" w:eastAsia="黑体"/>
        </w:rPr>
      </w:pPr>
      <w:bookmarkStart w:id="51" w:name="_Toc108525218"/>
      <w:r>
        <w:rPr>
          <w:rFonts w:hint="eastAsia" w:ascii="黑体" w:hAnsi="黑体" w:eastAsia="黑体"/>
        </w:rPr>
        <w:t>五、可转债付息、到期兑付暨摘牌</w:t>
      </w:r>
      <w:bookmarkEnd w:id="51"/>
    </w:p>
    <w:p w14:paraId="2779A922">
      <w:pPr>
        <w:pStyle w:val="4"/>
        <w:rPr>
          <w:sz w:val="32"/>
          <w:szCs w:val="32"/>
        </w:rPr>
      </w:pPr>
      <w:bookmarkStart w:id="52" w:name="_Toc108525219"/>
      <w:r>
        <w:rPr>
          <w:rFonts w:hint="eastAsia"/>
          <w:sz w:val="32"/>
          <w:szCs w:val="32"/>
        </w:rPr>
        <w:t>1</w:t>
      </w:r>
      <w:r>
        <w:rPr>
          <w:sz w:val="32"/>
          <w:szCs w:val="32"/>
        </w:rPr>
        <w:t>3.</w:t>
      </w:r>
      <w:r>
        <w:rPr>
          <w:rFonts w:hint="eastAsia"/>
          <w:sz w:val="32"/>
          <w:szCs w:val="32"/>
        </w:rPr>
        <w:t>上市公司可转债付息公告</w:t>
      </w:r>
      <w:bookmarkEnd w:id="52"/>
    </w:p>
    <w:p w14:paraId="7A47409C">
      <w:pPr>
        <w:adjustRightInd w:val="0"/>
        <w:snapToGrid w:val="0"/>
        <w:spacing w:line="560" w:lineRule="exact"/>
        <w:jc w:val="left"/>
        <w:rPr>
          <w:rFonts w:ascii="仿宋" w:hAnsi="仿宋" w:eastAsia="仿宋_GB2312"/>
          <w:sz w:val="30"/>
          <w:szCs w:val="30"/>
        </w:rPr>
      </w:pPr>
    </w:p>
    <w:p w14:paraId="197C96BB">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51A029EE">
      <w:pPr>
        <w:adjustRightInd w:val="0"/>
        <w:snapToGrid w:val="0"/>
        <w:spacing w:line="560" w:lineRule="exact"/>
        <w:jc w:val="left"/>
        <w:rPr>
          <w:rFonts w:ascii="仿宋" w:hAnsi="仿宋" w:eastAsia="仿宋_GB2312"/>
          <w:sz w:val="30"/>
          <w:szCs w:val="30"/>
        </w:rPr>
      </w:pPr>
      <w:r>
        <w:rPr>
          <w:rFonts w:ascii="仿宋" w:hAnsi="仿宋" w:eastAsia="仿宋_GB2312"/>
          <w:sz w:val="30"/>
          <w:szCs w:val="30"/>
        </w:rPr>
        <w:t>转债代码：</w:t>
      </w:r>
      <w:r>
        <w:rPr>
          <w:rFonts w:hint="eastAsia" w:ascii="仿宋" w:hAnsi="仿宋" w:eastAsia="仿宋_GB2312"/>
          <w:sz w:val="30"/>
          <w:szCs w:val="30"/>
        </w:rPr>
        <w:t xml:space="preserve">             </w:t>
      </w:r>
      <w:r>
        <w:rPr>
          <w:rFonts w:ascii="仿宋" w:hAnsi="仿宋" w:eastAsia="仿宋_GB2312"/>
          <w:sz w:val="30"/>
          <w:szCs w:val="30"/>
        </w:rPr>
        <w:t>转债简称：</w:t>
      </w:r>
    </w:p>
    <w:p w14:paraId="111DA46E">
      <w:pPr>
        <w:adjustRightInd w:val="0"/>
        <w:snapToGrid w:val="0"/>
        <w:spacing w:line="560" w:lineRule="exact"/>
        <w:ind w:firstLine="600" w:firstLineChars="200"/>
        <w:rPr>
          <w:rFonts w:ascii="仿宋" w:hAnsi="仿宋" w:eastAsia="仿宋_GB2312"/>
          <w:sz w:val="30"/>
          <w:szCs w:val="30"/>
        </w:rPr>
      </w:pPr>
    </w:p>
    <w:p w14:paraId="56C4FCFD">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XXXX股份有限公司关于“XX转债”付息公告</w:t>
      </w:r>
    </w:p>
    <w:p w14:paraId="1A34ED78">
      <w:pPr>
        <w:adjustRightInd w:val="0"/>
        <w:snapToGrid w:val="0"/>
        <w:spacing w:line="560" w:lineRule="exact"/>
        <w:ind w:firstLine="600" w:firstLineChars="200"/>
        <w:rPr>
          <w:rFonts w:ascii="仿宋" w:hAnsi="仿宋" w:eastAsia="仿宋_GB2312"/>
          <w:sz w:val="30"/>
          <w:szCs w:val="30"/>
        </w:rPr>
      </w:pPr>
    </w:p>
    <w:p w14:paraId="528C882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3C3D6128">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4B18740C">
      <w:pPr>
        <w:adjustRightInd w:val="0"/>
        <w:snapToGrid w:val="0"/>
        <w:spacing w:line="560" w:lineRule="exact"/>
        <w:ind w:firstLine="600" w:firstLineChars="200"/>
        <w:rPr>
          <w:rFonts w:ascii="仿宋" w:hAnsi="仿宋" w:eastAsia="仿宋_GB2312"/>
          <w:sz w:val="30"/>
          <w:szCs w:val="30"/>
        </w:rPr>
      </w:pPr>
    </w:p>
    <w:p w14:paraId="6CFBF691">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14:paraId="1E157CB2">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可转债付息债权登记日：XXXX年XX月XX日</w:t>
      </w:r>
    </w:p>
    <w:p w14:paraId="5BAD2266">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可转债除息日：XXXX年XX月XX日</w:t>
      </w:r>
    </w:p>
    <w:p w14:paraId="6AB8EFDA">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可转债兑息日: XXXX年XX月XX日</w:t>
      </w:r>
    </w:p>
    <w:p w14:paraId="50949384">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lang w:eastAsia="zh-CN"/>
        </w:rPr>
        <w:t>本次</w:t>
      </w:r>
      <w:r>
        <w:rPr>
          <w:rFonts w:hint="eastAsia" w:ascii="仿宋" w:hAnsi="仿宋" w:eastAsia="仿宋_GB2312"/>
          <w:sz w:val="30"/>
          <w:szCs w:val="30"/>
        </w:rPr>
        <w:t>每百元兑息金额（</w:t>
      </w:r>
      <w:r>
        <w:rPr>
          <w:rFonts w:hint="eastAsia" w:ascii="仿宋" w:hAnsi="仿宋" w:eastAsia="仿宋_GB2312"/>
          <w:sz w:val="30"/>
          <w:szCs w:val="30"/>
          <w:lang w:eastAsia="zh-CN"/>
        </w:rPr>
        <w:t>含税</w:t>
      </w:r>
      <w:r>
        <w:rPr>
          <w:rFonts w:hint="eastAsia" w:ascii="仿宋" w:hAnsi="仿宋" w:eastAsia="仿宋_GB2312"/>
          <w:sz w:val="30"/>
          <w:szCs w:val="30"/>
        </w:rPr>
        <w:t>）：XX元</w:t>
      </w:r>
    </w:p>
    <w:p w14:paraId="100C8A0E">
      <w:pPr>
        <w:adjustRightInd w:val="0"/>
        <w:snapToGrid w:val="0"/>
        <w:spacing w:line="560" w:lineRule="exact"/>
        <w:ind w:firstLine="600" w:firstLineChars="200"/>
        <w:rPr>
          <w:rFonts w:ascii="仿宋" w:hAnsi="仿宋" w:eastAsia="仿宋_GB2312"/>
          <w:sz w:val="30"/>
          <w:szCs w:val="30"/>
        </w:rPr>
      </w:pPr>
    </w:p>
    <w:p w14:paraId="2A7105D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于XXXX年XX月XX日发行的可转换公司债券将于XXXX年XX月XX日开始支付自XXXX年XX月XX日至XXXX年XX月XX日期间的利息。根据本公司《可转换公司债券募集说明书》有关条款的规定，现将有关事项公告如下：</w:t>
      </w:r>
      <w:r>
        <w:rPr>
          <w:rFonts w:ascii="仿宋" w:hAnsi="仿宋" w:eastAsia="仿宋_GB2312"/>
          <w:sz w:val="30"/>
          <w:szCs w:val="30"/>
        </w:rPr>
        <w:t xml:space="preserve"> </w:t>
      </w:r>
    </w:p>
    <w:p w14:paraId="20F95CF3">
      <w:pPr>
        <w:adjustRightInd w:val="0"/>
        <w:snapToGrid w:val="0"/>
        <w:spacing w:line="560" w:lineRule="exact"/>
        <w:ind w:firstLine="600" w:firstLineChars="200"/>
        <w:rPr>
          <w:rFonts w:ascii="仿宋" w:hAnsi="仿宋" w:eastAsia="仿宋_GB2312"/>
          <w:sz w:val="30"/>
          <w:szCs w:val="30"/>
        </w:rPr>
      </w:pPr>
    </w:p>
    <w:p w14:paraId="549D55A3">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一、可转债发行上市概况</w:t>
      </w:r>
    </w:p>
    <w:p w14:paraId="77EA7C01">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说明可转债发行上市的基本情况，包括发行日期、数量、面值、总额、利率、期限，上市日期、交易代码、转债简称，以及可转债开始转股的日期、转股价格等。</w:t>
      </w:r>
    </w:p>
    <w:p w14:paraId="7056BA82">
      <w:pPr>
        <w:widowControl/>
        <w:adjustRightInd w:val="0"/>
        <w:snapToGrid w:val="0"/>
        <w:spacing w:line="560" w:lineRule="exact"/>
        <w:ind w:firstLine="600" w:firstLineChars="200"/>
        <w:rPr>
          <w:rFonts w:ascii="仿宋" w:hAnsi="仿宋" w:eastAsia="仿宋_GB2312"/>
          <w:bCs/>
          <w:sz w:val="30"/>
          <w:szCs w:val="30"/>
        </w:rPr>
      </w:pPr>
    </w:p>
    <w:p w14:paraId="6A17457D">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二、本次付息方案</w:t>
      </w:r>
    </w:p>
    <w:p w14:paraId="65B80E1A">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根据《可转换公司债券募集说明书》约定的付息期限与方式，说明本期票面利率、每张可转债派发利息等。</w:t>
      </w:r>
    </w:p>
    <w:p w14:paraId="4FB318AD">
      <w:pPr>
        <w:widowControl/>
        <w:adjustRightInd w:val="0"/>
        <w:snapToGrid w:val="0"/>
        <w:spacing w:line="560" w:lineRule="exact"/>
        <w:ind w:firstLine="600" w:firstLineChars="200"/>
        <w:rPr>
          <w:rFonts w:ascii="仿宋" w:hAnsi="仿宋" w:eastAsia="仿宋_GB2312"/>
          <w:bCs/>
          <w:sz w:val="30"/>
          <w:szCs w:val="30"/>
        </w:rPr>
      </w:pPr>
    </w:p>
    <w:p w14:paraId="4C8F2894">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三、付息债权登记日、除息日和兑息日</w:t>
      </w:r>
    </w:p>
    <w:p w14:paraId="3423846D">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说明可转债的付息债权登记日、除息日和兑息日。</w:t>
      </w:r>
    </w:p>
    <w:p w14:paraId="0D992173">
      <w:pPr>
        <w:widowControl/>
        <w:adjustRightInd w:val="0"/>
        <w:snapToGrid w:val="0"/>
        <w:spacing w:line="560" w:lineRule="exact"/>
        <w:ind w:firstLine="600" w:firstLineChars="200"/>
        <w:rPr>
          <w:rFonts w:ascii="仿宋" w:hAnsi="仿宋" w:eastAsia="仿宋_GB2312"/>
          <w:bCs/>
          <w:sz w:val="30"/>
          <w:szCs w:val="30"/>
        </w:rPr>
      </w:pPr>
    </w:p>
    <w:p w14:paraId="15BA3764">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四、付息对象</w:t>
      </w:r>
      <w:r>
        <w:rPr>
          <w:rFonts w:ascii="黑体" w:hAnsi="黑体" w:eastAsia="黑体"/>
          <w:b/>
          <w:color w:val="000000"/>
          <w:sz w:val="30"/>
          <w:szCs w:val="30"/>
        </w:rPr>
        <w:t xml:space="preserve"> </w:t>
      </w:r>
    </w:p>
    <w:p w14:paraId="1D130F23">
      <w:pPr>
        <w:widowControl/>
        <w:adjustRightInd w:val="0"/>
        <w:snapToGrid w:val="0"/>
        <w:spacing w:line="560" w:lineRule="exact"/>
        <w:ind w:firstLine="600" w:firstLineChars="200"/>
        <w:rPr>
          <w:rFonts w:ascii="仿宋" w:hAnsi="仿宋" w:eastAsia="仿宋_GB2312"/>
          <w:bCs/>
          <w:sz w:val="30"/>
          <w:szCs w:val="30"/>
        </w:rPr>
      </w:pPr>
      <w:r>
        <w:rPr>
          <w:rFonts w:hint="eastAsia" w:ascii="仿宋" w:hAnsi="仿宋" w:eastAsia="仿宋_GB2312"/>
          <w:bCs/>
          <w:sz w:val="30"/>
          <w:szCs w:val="30"/>
        </w:rPr>
        <w:t>本次付息对象为截止XXXX年XX月XX日上海证券交易所收市后，在中国证券登记结算有限责任公司上海分公司登记在册的全体“XX转债”持有人。</w:t>
      </w:r>
    </w:p>
    <w:p w14:paraId="12137C9B">
      <w:pPr>
        <w:widowControl/>
        <w:adjustRightInd w:val="0"/>
        <w:snapToGrid w:val="0"/>
        <w:spacing w:line="560" w:lineRule="exact"/>
        <w:ind w:firstLine="600" w:firstLineChars="200"/>
        <w:rPr>
          <w:rFonts w:ascii="仿宋" w:hAnsi="仿宋" w:eastAsia="仿宋_GB2312"/>
          <w:bCs/>
          <w:sz w:val="30"/>
          <w:szCs w:val="30"/>
        </w:rPr>
      </w:pPr>
    </w:p>
    <w:p w14:paraId="6AB01641">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五、付息方法</w:t>
      </w:r>
      <w:r>
        <w:rPr>
          <w:rFonts w:ascii="黑体" w:hAnsi="黑体" w:eastAsia="黑体"/>
          <w:b/>
          <w:color w:val="000000"/>
          <w:sz w:val="30"/>
          <w:szCs w:val="30"/>
        </w:rPr>
        <w:t xml:space="preserve"> </w:t>
      </w:r>
    </w:p>
    <w:p w14:paraId="51CAD2A1">
      <w:pPr>
        <w:autoSpaceDE w:val="0"/>
        <w:autoSpaceDN w:val="0"/>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一）本公司与中国证券登记结算有限责任公司上海分公司签订委托代理债券兑付、兑息协议，委托中国证券登记结算有限责任公司上海分公司进行债券兑付、兑息。如本公司未按时足额将债券兑付、兑息资金划入中国证券登记结算有限责任公司上海分公司指定的银行账户，则中国证券登记结算有限责任公司上海分公司将根据协议终止委托代理债券兑付、兑息服务，后续兑付、兑息工作由本公司自行负责办理，相关实施事宜以本公司的公告为准。</w:t>
      </w:r>
      <w:r>
        <w:rPr>
          <w:rFonts w:ascii="仿宋" w:hAnsi="仿宋" w:eastAsia="仿宋_GB2312"/>
          <w:sz w:val="30"/>
          <w:szCs w:val="30"/>
        </w:rPr>
        <w:t xml:space="preserve"> </w:t>
      </w:r>
      <w:r>
        <w:rPr>
          <w:rFonts w:hint="eastAsia" w:ascii="仿宋" w:hAnsi="仿宋" w:eastAsia="仿宋_GB2312"/>
          <w:sz w:val="30"/>
          <w:szCs w:val="30"/>
        </w:rPr>
        <w:t>公司将在本期兑息日</w:t>
      </w:r>
      <w:r>
        <w:rPr>
          <w:rFonts w:ascii="仿宋" w:hAnsi="仿宋" w:eastAsia="仿宋_GB2312"/>
          <w:sz w:val="30"/>
          <w:szCs w:val="30"/>
        </w:rPr>
        <w:t>2</w:t>
      </w:r>
      <w:r>
        <w:rPr>
          <w:rFonts w:hint="eastAsia" w:ascii="仿宋" w:hAnsi="仿宋" w:eastAsia="仿宋_GB2312"/>
          <w:sz w:val="30"/>
          <w:szCs w:val="30"/>
        </w:rPr>
        <w:t>个交易日前将本期债券的利息足额划付至中国证券登记结算有限责任公司上海分公司指定的银行账户。（二）中国证券登记结算有限责任公司上海分公司在收到款项后，通过资金结算系统将债券利息划付给相应的兑付机构（证券公司或中国证券登记结算有限责任公司上海分公司认可的其他机构），投资者于兑付机构领取债券利息。”</w:t>
      </w:r>
    </w:p>
    <w:p w14:paraId="3673D654">
      <w:pPr>
        <w:autoSpaceDE w:val="0"/>
        <w:autoSpaceDN w:val="0"/>
        <w:adjustRightInd w:val="0"/>
        <w:snapToGrid w:val="0"/>
        <w:spacing w:line="560" w:lineRule="exact"/>
        <w:ind w:firstLine="675" w:firstLineChars="225"/>
        <w:rPr>
          <w:rFonts w:ascii="仿宋" w:hAnsi="仿宋" w:eastAsia="仿宋_GB2312"/>
          <w:sz w:val="30"/>
          <w:szCs w:val="30"/>
        </w:rPr>
      </w:pPr>
    </w:p>
    <w:p w14:paraId="34E5D981">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六、关于投资者缴纳债券利息所得税的说明</w:t>
      </w:r>
      <w:r>
        <w:rPr>
          <w:rFonts w:ascii="黑体" w:hAnsi="黑体" w:eastAsia="黑体"/>
          <w:b/>
          <w:color w:val="000000"/>
          <w:sz w:val="30"/>
          <w:szCs w:val="30"/>
        </w:rPr>
        <w:t xml:space="preserve"> </w:t>
      </w:r>
    </w:p>
    <w:p w14:paraId="563ED473">
      <w:pPr>
        <w:widowControl/>
        <w:adjustRightInd w:val="0"/>
        <w:snapToGrid w:val="0"/>
        <w:spacing w:line="560" w:lineRule="exact"/>
        <w:ind w:firstLine="675" w:firstLineChars="225"/>
        <w:rPr>
          <w:rFonts w:ascii="仿宋" w:hAnsi="仿宋" w:eastAsia="仿宋_GB2312"/>
          <w:sz w:val="30"/>
          <w:szCs w:val="30"/>
        </w:rPr>
      </w:pPr>
      <w:r>
        <w:rPr>
          <w:rFonts w:hint="eastAsia" w:ascii="仿宋" w:hAnsi="仿宋" w:eastAsia="仿宋_GB2312"/>
          <w:sz w:val="30"/>
          <w:szCs w:val="30"/>
        </w:rPr>
        <w:t>说明根据《中华人民共和国个人所得税法》《中华人民共和国企业所得税法》以及其他相关税收法规和文件的规定，本期可转债投资者缴纳利息所得税的情况。</w:t>
      </w:r>
    </w:p>
    <w:p w14:paraId="161BB23D">
      <w:pPr>
        <w:widowControl/>
        <w:adjustRightInd w:val="0"/>
        <w:snapToGrid w:val="0"/>
        <w:spacing w:line="560" w:lineRule="exact"/>
        <w:ind w:firstLine="675" w:firstLineChars="225"/>
        <w:rPr>
          <w:rFonts w:ascii="仿宋" w:hAnsi="仿宋" w:eastAsia="仿宋_GB2312"/>
          <w:sz w:val="30"/>
          <w:szCs w:val="30"/>
        </w:rPr>
      </w:pPr>
    </w:p>
    <w:p w14:paraId="2221430A">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七、相关机构及联系方法</w:t>
      </w:r>
    </w:p>
    <w:p w14:paraId="476F09EF">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（一）发行人</w:t>
      </w:r>
    </w:p>
    <w:p w14:paraId="06ED00A5">
      <w:pPr>
        <w:widowControl/>
        <w:adjustRightInd w:val="0"/>
        <w:snapToGrid w:val="0"/>
        <w:spacing w:line="560" w:lineRule="exact"/>
        <w:ind w:firstLine="525" w:firstLineChars="175"/>
        <w:rPr>
          <w:rFonts w:ascii="仿宋" w:hAnsi="仿宋" w:eastAsia="仿宋_GB2312"/>
          <w:sz w:val="30"/>
          <w:szCs w:val="30"/>
        </w:rPr>
      </w:pPr>
      <w:r>
        <w:rPr>
          <w:rFonts w:hint="eastAsia" w:ascii="仿宋" w:hAnsi="仿宋" w:eastAsia="仿宋_GB2312"/>
          <w:sz w:val="30"/>
          <w:szCs w:val="30"/>
        </w:rPr>
        <w:t>（二）保荐人、可转债受托管理人</w:t>
      </w:r>
    </w:p>
    <w:p w14:paraId="6D0839A9">
      <w:pPr>
        <w:adjustRightInd w:val="0"/>
        <w:snapToGrid w:val="0"/>
        <w:spacing w:line="560" w:lineRule="exact"/>
        <w:ind w:firstLine="600" w:firstLineChars="200"/>
        <w:rPr>
          <w:rFonts w:ascii="仿宋" w:hAnsi="仿宋" w:eastAsia="仿宋_GB2312"/>
          <w:sz w:val="30"/>
          <w:szCs w:val="30"/>
        </w:rPr>
      </w:pPr>
    </w:p>
    <w:p w14:paraId="3689529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6FED7C32">
      <w:pPr>
        <w:adjustRightInd w:val="0"/>
        <w:snapToGrid w:val="0"/>
        <w:spacing w:line="560" w:lineRule="exact"/>
        <w:ind w:firstLine="600" w:firstLineChars="200"/>
        <w:rPr>
          <w:rFonts w:ascii="仿宋" w:hAnsi="仿宋" w:eastAsia="仿宋_GB2312"/>
          <w:sz w:val="30"/>
          <w:szCs w:val="30"/>
        </w:rPr>
      </w:pPr>
    </w:p>
    <w:p w14:paraId="003D12EA">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266751D5">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7DE5EA96">
      <w:pPr>
        <w:adjustRightInd w:val="0"/>
        <w:snapToGrid w:val="0"/>
        <w:spacing w:line="560" w:lineRule="exact"/>
        <w:ind w:firstLine="600" w:firstLineChars="200"/>
        <w:rPr>
          <w:rFonts w:ascii="仿宋" w:hAnsi="仿宋" w:eastAsia="仿宋_GB2312"/>
          <w:sz w:val="30"/>
          <w:szCs w:val="30"/>
        </w:rPr>
      </w:pPr>
    </w:p>
    <w:p w14:paraId="7D9A9BC4">
      <w:pPr>
        <w:pStyle w:val="4"/>
        <w:rPr>
          <w:sz w:val="32"/>
          <w:szCs w:val="32"/>
        </w:rPr>
      </w:pPr>
      <w:bookmarkStart w:id="53" w:name="_Toc108525220"/>
      <w:bookmarkStart w:id="54" w:name="_Toc50034101"/>
      <w:bookmarkStart w:id="55" w:name="_Toc340839656"/>
      <w:bookmarkStart w:id="56" w:name="_Toc330904173"/>
      <w:r>
        <w:rPr>
          <w:rFonts w:hint="eastAsia"/>
          <w:sz w:val="32"/>
          <w:szCs w:val="32"/>
        </w:rPr>
        <w:t>1</w:t>
      </w:r>
      <w:r>
        <w:rPr>
          <w:sz w:val="32"/>
          <w:szCs w:val="32"/>
        </w:rPr>
        <w:t>4.</w:t>
      </w:r>
      <w:r>
        <w:rPr>
          <w:rFonts w:hint="eastAsia"/>
          <w:sz w:val="32"/>
          <w:szCs w:val="32"/>
        </w:rPr>
        <w:t>上市公司可转债到期兑付暨摘牌公告</w:t>
      </w:r>
      <w:bookmarkEnd w:id="53"/>
      <w:bookmarkEnd w:id="54"/>
      <w:bookmarkEnd w:id="55"/>
      <w:bookmarkEnd w:id="56"/>
    </w:p>
    <w:p w14:paraId="17F92C6F">
      <w:pPr>
        <w:tabs>
          <w:tab w:val="left" w:pos="0"/>
        </w:tabs>
        <w:autoSpaceDE w:val="0"/>
        <w:autoSpaceDN w:val="0"/>
        <w:adjustRightInd w:val="0"/>
        <w:snapToGrid w:val="0"/>
        <w:spacing w:line="560" w:lineRule="exact"/>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适用情形：</w:t>
      </w:r>
    </w:p>
    <w:p w14:paraId="370379C8">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hint="eastAsia" w:ascii="仿宋" w:hAnsi="仿宋" w:eastAsia="仿宋_GB2312"/>
          <w:sz w:val="30"/>
          <w:szCs w:val="30"/>
        </w:rPr>
        <w:t>上市公司可转债到期兑付及摘牌时，适用本公告格式。</w:t>
      </w:r>
    </w:p>
    <w:p w14:paraId="6D8E2DF2">
      <w:pPr>
        <w:adjustRightInd w:val="0"/>
        <w:snapToGrid w:val="0"/>
        <w:spacing w:line="560" w:lineRule="exact"/>
        <w:ind w:firstLine="600" w:firstLineChars="200"/>
        <w:rPr>
          <w:rFonts w:ascii="仿宋" w:hAnsi="仿宋"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、上市公司在可转债转股期结束的20个交易日前，披露提示性公告，</w:t>
      </w:r>
      <w:r>
        <w:rPr>
          <w:rFonts w:hint="eastAsia" w:ascii="仿宋" w:hAnsi="仿宋" w:eastAsia="仿宋_GB2312"/>
          <w:sz w:val="30"/>
          <w:szCs w:val="30"/>
        </w:rPr>
        <w:t>适用本公告格式</w:t>
      </w:r>
      <w:r>
        <w:rPr>
          <w:rFonts w:hint="eastAsia" w:ascii="仿宋_GB2312" w:hAnsi="宋体" w:eastAsia="仿宋_GB2312"/>
          <w:sz w:val="30"/>
          <w:szCs w:val="30"/>
        </w:rPr>
        <w:t>。</w:t>
      </w:r>
    </w:p>
    <w:p w14:paraId="15D65E69">
      <w:pPr>
        <w:adjustRightInd w:val="0"/>
        <w:snapToGrid w:val="0"/>
        <w:spacing w:line="560" w:lineRule="exact"/>
        <w:ind w:firstLine="600" w:firstLineChars="200"/>
        <w:rPr>
          <w:rFonts w:ascii="仿宋" w:hAnsi="仿宋" w:eastAsia="仿宋_GB2312"/>
          <w:sz w:val="30"/>
          <w:szCs w:val="30"/>
        </w:rPr>
      </w:pPr>
    </w:p>
    <w:p w14:paraId="3654D38F">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证券代码：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证券简称：</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公告编号：</w:t>
      </w:r>
    </w:p>
    <w:p w14:paraId="400F1840">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转债代码：</w:t>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ab/>
      </w:r>
      <w:r>
        <w:rPr>
          <w:rFonts w:hint="eastAsia" w:ascii="仿宋" w:hAnsi="仿宋" w:eastAsia="仿宋_GB2312"/>
          <w:sz w:val="30"/>
          <w:szCs w:val="30"/>
        </w:rPr>
        <w:t>转债简称：</w:t>
      </w:r>
    </w:p>
    <w:p w14:paraId="5D1B6DC3">
      <w:pPr>
        <w:adjustRightInd w:val="0"/>
        <w:snapToGrid w:val="0"/>
        <w:spacing w:line="560" w:lineRule="exact"/>
        <w:ind w:firstLine="600" w:firstLineChars="200"/>
        <w:rPr>
          <w:rFonts w:ascii="仿宋" w:hAnsi="仿宋" w:eastAsia="仿宋_GB2312"/>
          <w:sz w:val="30"/>
          <w:szCs w:val="30"/>
        </w:rPr>
      </w:pPr>
    </w:p>
    <w:p w14:paraId="58A6C39E">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XXXX股份有限公司关于“XX转债”到期兑付暨摘牌的公告/提示性公告</w:t>
      </w:r>
    </w:p>
    <w:p w14:paraId="2DC5F2FA">
      <w:pPr>
        <w:adjustRightInd w:val="0"/>
        <w:snapToGrid w:val="0"/>
        <w:spacing w:line="560" w:lineRule="exact"/>
        <w:ind w:firstLine="600" w:firstLineChars="200"/>
        <w:rPr>
          <w:rFonts w:ascii="仿宋" w:hAnsi="仿宋" w:eastAsia="仿宋_GB2312"/>
          <w:sz w:val="30"/>
          <w:szCs w:val="30"/>
        </w:rPr>
      </w:pPr>
    </w:p>
    <w:p w14:paraId="4D7ABB21">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5A03AA0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61181E89">
      <w:pPr>
        <w:adjustRightInd w:val="0"/>
        <w:snapToGrid w:val="0"/>
        <w:spacing w:line="560" w:lineRule="exact"/>
        <w:ind w:firstLine="600" w:firstLineChars="200"/>
        <w:rPr>
          <w:rFonts w:ascii="仿宋" w:hAnsi="仿宋" w:eastAsia="仿宋_GB2312"/>
          <w:sz w:val="30"/>
          <w:szCs w:val="30"/>
        </w:rPr>
      </w:pPr>
    </w:p>
    <w:p w14:paraId="402B68CD">
      <w:pPr>
        <w:adjustRightInd w:val="0"/>
        <w:snapToGrid w:val="0"/>
        <w:spacing w:line="560" w:lineRule="exact"/>
        <w:ind w:firstLine="602" w:firstLineChars="200"/>
        <w:rPr>
          <w:rFonts w:ascii="仿宋" w:hAnsi="仿宋" w:eastAsia="仿宋_GB2312"/>
          <w:b/>
          <w:sz w:val="30"/>
          <w:szCs w:val="30"/>
        </w:rPr>
      </w:pPr>
      <w:r>
        <w:rPr>
          <w:rFonts w:hint="eastAsia" w:ascii="仿宋" w:hAnsi="仿宋" w:eastAsia="仿宋_GB2312"/>
          <w:b/>
          <w:sz w:val="30"/>
          <w:szCs w:val="30"/>
        </w:rPr>
        <w:t>重要内容提示：</w:t>
      </w:r>
    </w:p>
    <w:p w14:paraId="3C7D2635">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可转债到期日和兑付登记日：XXXX年XX月XX日</w:t>
      </w:r>
    </w:p>
    <w:p w14:paraId="22CECCF6">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兑付本息金额：XX.XX元人民币/张</w:t>
      </w:r>
    </w:p>
    <w:p w14:paraId="199FC54B">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兑付资金发放日: XXXX年XX月XX日</w:t>
      </w:r>
    </w:p>
    <w:p w14:paraId="36A8D498">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可转债摘牌日: XXXX年XX月XX日</w:t>
      </w:r>
    </w:p>
    <w:p w14:paraId="5D4FBF14">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可转债最后交易日：XXXX年XX月XX日</w:t>
      </w:r>
    </w:p>
    <w:p w14:paraId="5744205B">
      <w:pPr>
        <w:numPr>
          <w:ilvl w:val="0"/>
          <w:numId w:val="6"/>
        </w:numPr>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可转债最后转股日：XXXX年XX月XX日</w:t>
      </w:r>
    </w:p>
    <w:p w14:paraId="6766E1E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自XXXX年XX月XX日（可转债停止交易起始日）至XXXX年XX月XX日（可转债转股期结束日），“XX转债”持有人仍可以依据约定的条件将“XX转债”转换为公司股票。</w:t>
      </w:r>
    </w:p>
    <w:p w14:paraId="32570452">
      <w:pPr>
        <w:adjustRightInd w:val="0"/>
        <w:snapToGrid w:val="0"/>
        <w:spacing w:line="560" w:lineRule="exact"/>
        <w:ind w:firstLine="600" w:firstLineChars="200"/>
        <w:rPr>
          <w:rFonts w:ascii="仿宋" w:hAnsi="仿宋" w:eastAsia="仿宋_GB2312"/>
          <w:sz w:val="30"/>
          <w:szCs w:val="30"/>
        </w:rPr>
      </w:pPr>
    </w:p>
    <w:p w14:paraId="284897F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经中国证监会XXXX号文批准，于XXXX年XX月XX日通过上海证券交易所向社会公开发行XXXX万元人民币可转换公司债券，期限为XX年(即XXXX年XX月XX日～XXXX年XX月XX日)，XXXX年XX月XX日起在上海证券交易所挂牌交易，证券简称为“XX转债”，证券代码为“XXXXXX”。</w:t>
      </w:r>
    </w:p>
    <w:p w14:paraId="343948B8">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XX转债自XXXX年XX月XX日进入转股期，截至XXXX年XX月XX日（到期日）共有XXXX万元人民币已转为本公司股票，本次兑付的本金为XXXX万元人民币，利息为XXXX万元人民币，兑付总额为XXXX万元人民币。（如适用）</w:t>
      </w:r>
    </w:p>
    <w:p w14:paraId="20FFF2E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根据《上市公司证券发行注册管理办法》、《上海证券交易所股票上市规则》及本公司《可转换公司债券募集说明书》，现将XX转债到期兑付摘牌事项公告如下：</w:t>
      </w:r>
    </w:p>
    <w:p w14:paraId="1EF1451C">
      <w:pPr>
        <w:adjustRightInd w:val="0"/>
        <w:snapToGrid w:val="0"/>
        <w:spacing w:line="560" w:lineRule="exact"/>
        <w:ind w:firstLine="600" w:firstLineChars="200"/>
        <w:rPr>
          <w:rFonts w:ascii="仿宋" w:hAnsi="仿宋" w:eastAsia="仿宋_GB2312"/>
          <w:sz w:val="30"/>
          <w:szCs w:val="30"/>
        </w:rPr>
      </w:pPr>
    </w:p>
    <w:p w14:paraId="54B00FAF">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一、兑付方案</w:t>
      </w:r>
    </w:p>
    <w:p w14:paraId="44CCB9F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披露公司《可转换公司债券募集说明书》的有关约定，说明每张可转债公司兑付金额以及本次兑付总金额。</w:t>
      </w:r>
    </w:p>
    <w:p w14:paraId="1BB0EBD2">
      <w:pPr>
        <w:adjustRightInd w:val="0"/>
        <w:snapToGrid w:val="0"/>
        <w:spacing w:line="560" w:lineRule="exact"/>
        <w:ind w:firstLine="600" w:firstLineChars="200"/>
        <w:rPr>
          <w:rFonts w:ascii="仿宋" w:hAnsi="仿宋" w:eastAsia="仿宋_GB2312"/>
          <w:sz w:val="30"/>
          <w:szCs w:val="30"/>
        </w:rPr>
      </w:pPr>
    </w:p>
    <w:p w14:paraId="1D46A4AE">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二、可转债停止交易日</w:t>
      </w:r>
    </w:p>
    <w:p w14:paraId="6C5798E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“XX转债”将于XXXX年XX月XX日开始停止交易，XX月XX日为“XX转债”最后交易日。</w:t>
      </w:r>
    </w:p>
    <w:p w14:paraId="66201A2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在停止交易后、转股期结束前（即自XXXX年XX月XX日至XXXX年XX月XX日），“XX转债”持有人仍可以依据约定的条件将“XX转债”转换为公司股票。</w:t>
      </w:r>
    </w:p>
    <w:p w14:paraId="3FAD611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公司股票当前收盘价（XX元/股）与转股价格（XX元/股）存在一定差异，请投资者注意转股可能存在的风险。（如适用）</w:t>
      </w:r>
    </w:p>
    <w:p w14:paraId="009282B1">
      <w:pPr>
        <w:adjustRightInd w:val="0"/>
        <w:snapToGrid w:val="0"/>
        <w:spacing w:line="560" w:lineRule="exact"/>
        <w:ind w:firstLine="600" w:firstLineChars="200"/>
        <w:rPr>
          <w:rFonts w:ascii="仿宋" w:hAnsi="仿宋" w:eastAsia="仿宋_GB2312"/>
          <w:sz w:val="30"/>
          <w:szCs w:val="30"/>
        </w:rPr>
      </w:pPr>
    </w:p>
    <w:p w14:paraId="2850AF84">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三、兑付债权登记日（可转债到期日）</w:t>
      </w:r>
    </w:p>
    <w:p w14:paraId="268D9DC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到期日和兑付登记日为XXXX年XX月XX日，本次兑付的对象为截止XXXX年XX月XX日上海证券交易所收市后在中国证券登记结算有限责任公司上海分公司（以下简称“中登上海分公司”）登记在册的XX转债全体持有人。</w:t>
      </w:r>
    </w:p>
    <w:p w14:paraId="59B1BEF7">
      <w:pPr>
        <w:adjustRightInd w:val="0"/>
        <w:snapToGrid w:val="0"/>
        <w:spacing w:line="560" w:lineRule="exact"/>
        <w:ind w:firstLine="600" w:firstLineChars="200"/>
        <w:rPr>
          <w:rFonts w:ascii="仿宋" w:hAnsi="仿宋" w:eastAsia="仿宋_GB2312"/>
          <w:sz w:val="30"/>
          <w:szCs w:val="30"/>
        </w:rPr>
      </w:pPr>
    </w:p>
    <w:p w14:paraId="57FE4379">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四、兑付本息金额与兑付资金发放日</w:t>
      </w:r>
    </w:p>
    <w:p w14:paraId="414B345C">
      <w:pPr>
        <w:adjustRightInd w:val="0"/>
        <w:snapToGrid w:val="0"/>
        <w:spacing w:line="560" w:lineRule="exact"/>
        <w:ind w:firstLine="564" w:firstLineChars="188"/>
        <w:rPr>
          <w:rFonts w:ascii="仿宋" w:hAnsi="仿宋" w:eastAsia="仿宋_GB2312"/>
          <w:sz w:val="30"/>
          <w:szCs w:val="30"/>
        </w:rPr>
      </w:pPr>
      <w:r>
        <w:rPr>
          <w:rFonts w:hint="eastAsia" w:ascii="仿宋" w:hAnsi="仿宋" w:eastAsia="仿宋_GB2312"/>
          <w:sz w:val="30"/>
          <w:szCs w:val="30"/>
        </w:rPr>
        <w:t>“XX转债”到期兑付本息金额为XX.XX元人民币/张，兑付资金发放日为XXXX年XX月XX日。</w:t>
      </w:r>
    </w:p>
    <w:p w14:paraId="45845811">
      <w:pPr>
        <w:adjustRightInd w:val="0"/>
        <w:snapToGrid w:val="0"/>
        <w:spacing w:line="560" w:lineRule="exact"/>
        <w:ind w:firstLine="564" w:firstLineChars="188"/>
        <w:rPr>
          <w:rFonts w:ascii="仿宋" w:hAnsi="仿宋" w:eastAsia="仿宋_GB2312"/>
          <w:sz w:val="30"/>
          <w:szCs w:val="30"/>
        </w:rPr>
      </w:pPr>
    </w:p>
    <w:p w14:paraId="4A6F558F">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五、兑付办法</w:t>
      </w:r>
    </w:p>
    <w:p w14:paraId="23292A9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XX转债的本金和利息将由中登上海分公司通过托管证券商划入XX债券相关持有人资金账户。</w:t>
      </w:r>
    </w:p>
    <w:p w14:paraId="3B43AC2C">
      <w:pPr>
        <w:adjustRightInd w:val="0"/>
        <w:snapToGrid w:val="0"/>
        <w:spacing w:line="560" w:lineRule="exact"/>
        <w:ind w:firstLine="600" w:firstLineChars="200"/>
        <w:rPr>
          <w:rFonts w:ascii="仿宋" w:hAnsi="仿宋" w:eastAsia="仿宋_GB2312"/>
          <w:sz w:val="30"/>
          <w:szCs w:val="30"/>
        </w:rPr>
      </w:pPr>
    </w:p>
    <w:p w14:paraId="1E009EE6">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六、可转债摘牌日</w:t>
      </w:r>
    </w:p>
    <w:p w14:paraId="5B4CE6A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自XXXX年XX月XX日（可转债转股期结束前的第</w:t>
      </w:r>
      <w:r>
        <w:rPr>
          <w:rFonts w:ascii="仿宋" w:hAnsi="仿宋" w:eastAsia="仿宋_GB2312"/>
          <w:sz w:val="30"/>
          <w:szCs w:val="30"/>
        </w:rPr>
        <w:t>3</w:t>
      </w:r>
      <w:r>
        <w:rPr>
          <w:rFonts w:hint="eastAsia" w:ascii="仿宋" w:hAnsi="仿宋" w:eastAsia="仿宋_GB2312"/>
          <w:sz w:val="30"/>
          <w:szCs w:val="30"/>
        </w:rPr>
        <w:t>个交易日）起，XX转债将停止交易。自XXXX年XX月XX日(可转债到期日的次一交易日)起，XX转债将在上海证券交易所摘牌。</w:t>
      </w:r>
    </w:p>
    <w:p w14:paraId="2180C186">
      <w:pPr>
        <w:adjustRightInd w:val="0"/>
        <w:snapToGrid w:val="0"/>
        <w:spacing w:line="560" w:lineRule="exact"/>
        <w:ind w:firstLine="600" w:firstLineChars="200"/>
        <w:rPr>
          <w:rFonts w:ascii="仿宋" w:hAnsi="仿宋" w:eastAsia="仿宋_GB2312"/>
          <w:sz w:val="30"/>
          <w:szCs w:val="30"/>
        </w:rPr>
      </w:pPr>
    </w:p>
    <w:p w14:paraId="4483DEFB">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七、其他</w:t>
      </w:r>
    </w:p>
    <w:p w14:paraId="24FAE12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联系部门：</w:t>
      </w:r>
    </w:p>
    <w:p w14:paraId="5AF2C70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联系电话：（XXXX）XXXXXXX</w:t>
      </w:r>
    </w:p>
    <w:p w14:paraId="6436E1AC">
      <w:pPr>
        <w:adjustRightInd w:val="0"/>
        <w:snapToGrid w:val="0"/>
        <w:spacing w:line="560" w:lineRule="exact"/>
        <w:ind w:firstLine="600" w:firstLineChars="200"/>
        <w:rPr>
          <w:rFonts w:ascii="仿宋" w:hAnsi="仿宋" w:eastAsia="仿宋_GB2312"/>
          <w:sz w:val="30"/>
          <w:szCs w:val="30"/>
        </w:rPr>
      </w:pPr>
    </w:p>
    <w:p w14:paraId="51361DE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特此公告。</w:t>
      </w:r>
    </w:p>
    <w:p w14:paraId="1BFF7240">
      <w:pPr>
        <w:adjustRightInd w:val="0"/>
        <w:snapToGrid w:val="0"/>
        <w:spacing w:line="560" w:lineRule="exact"/>
        <w:ind w:firstLine="600" w:firstLineChars="200"/>
        <w:rPr>
          <w:rFonts w:ascii="仿宋" w:hAnsi="仿宋" w:eastAsia="仿宋_GB2312"/>
          <w:sz w:val="30"/>
          <w:szCs w:val="30"/>
        </w:rPr>
      </w:pPr>
    </w:p>
    <w:p w14:paraId="0E537BA4">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XXXX股份有限公司董事会</w:t>
      </w:r>
    </w:p>
    <w:p w14:paraId="5D9D36D4">
      <w:pPr>
        <w:pStyle w:val="9"/>
        <w:adjustRightInd w:val="0"/>
        <w:snapToGrid w:val="0"/>
        <w:spacing w:line="560" w:lineRule="exact"/>
        <w:ind w:left="0" w:leftChars="0" w:firstLine="600" w:firstLineChars="200"/>
        <w:jc w:val="right"/>
        <w:rPr>
          <w:rFonts w:ascii="仿宋" w:hAnsi="仿宋" w:eastAsia="仿宋_GB2312"/>
          <w:sz w:val="30"/>
          <w:szCs w:val="30"/>
        </w:rPr>
      </w:pPr>
      <w:r>
        <w:rPr>
          <w:rFonts w:hint="eastAsia" w:ascii="仿宋" w:hAnsi="仿宋" w:eastAsia="仿宋_GB2312"/>
          <w:sz w:val="30"/>
          <w:szCs w:val="30"/>
        </w:rPr>
        <w:t>年  月  日</w:t>
      </w:r>
    </w:p>
    <w:p w14:paraId="199C8570">
      <w:pPr>
        <w:adjustRightInd w:val="0"/>
        <w:snapToGrid w:val="0"/>
        <w:spacing w:line="560" w:lineRule="exact"/>
        <w:ind w:firstLine="600" w:firstLineChars="200"/>
        <w:rPr>
          <w:rFonts w:ascii="仿宋" w:hAnsi="仿宋" w:eastAsia="仿宋_GB2312"/>
          <w:sz w:val="30"/>
          <w:szCs w:val="30"/>
        </w:rPr>
      </w:pPr>
    </w:p>
    <w:p w14:paraId="36DBFB83">
      <w:pPr>
        <w:widowControl/>
        <w:spacing w:line="560" w:lineRule="exact"/>
        <w:jc w:val="left"/>
        <w:rPr>
          <w:rFonts w:ascii="仿宋" w:hAnsi="仿宋" w:eastAsia="仿宋_GB2312"/>
          <w:sz w:val="30"/>
          <w:szCs w:val="30"/>
        </w:rPr>
      </w:pPr>
      <w:r>
        <w:rPr>
          <w:rFonts w:ascii="仿宋" w:hAnsi="仿宋" w:eastAsia="仿宋_GB2312"/>
          <w:sz w:val="30"/>
          <w:szCs w:val="30"/>
        </w:rPr>
        <w:br w:type="page"/>
      </w:r>
    </w:p>
    <w:p w14:paraId="2A773A05">
      <w:pPr>
        <w:pStyle w:val="3"/>
        <w:rPr>
          <w:rFonts w:ascii="黑体" w:hAnsi="黑体" w:eastAsia="黑体"/>
        </w:rPr>
      </w:pPr>
      <w:bookmarkStart w:id="57" w:name="_Toc108525221"/>
      <w:r>
        <w:rPr>
          <w:rFonts w:hint="eastAsia" w:ascii="黑体" w:hAnsi="黑体" w:eastAsia="黑体"/>
        </w:rPr>
        <w:t>六、可转债停止交易</w:t>
      </w:r>
      <w:bookmarkEnd w:id="57"/>
    </w:p>
    <w:p w14:paraId="34CDD69D">
      <w:pPr>
        <w:pStyle w:val="4"/>
        <w:rPr>
          <w:sz w:val="32"/>
          <w:szCs w:val="32"/>
        </w:rPr>
      </w:pPr>
      <w:bookmarkStart w:id="58" w:name="_Toc340839657"/>
      <w:bookmarkStart w:id="59" w:name="_Toc108525222"/>
      <w:bookmarkStart w:id="60" w:name="_Toc50034102"/>
      <w:bookmarkStart w:id="61" w:name="_Toc330904174"/>
      <w:r>
        <w:rPr>
          <w:rFonts w:hint="eastAsia"/>
          <w:sz w:val="32"/>
          <w:szCs w:val="32"/>
        </w:rPr>
        <w:t>1</w:t>
      </w:r>
      <w:r>
        <w:rPr>
          <w:sz w:val="32"/>
          <w:szCs w:val="32"/>
        </w:rPr>
        <w:t>5.</w:t>
      </w:r>
      <w:r>
        <w:rPr>
          <w:rFonts w:hint="eastAsia"/>
          <w:sz w:val="32"/>
          <w:szCs w:val="32"/>
        </w:rPr>
        <w:t>上市公司可转债停止交易公告</w:t>
      </w:r>
      <w:bookmarkEnd w:id="58"/>
      <w:bookmarkEnd w:id="59"/>
      <w:bookmarkEnd w:id="60"/>
      <w:bookmarkEnd w:id="61"/>
    </w:p>
    <w:p w14:paraId="3E56D40B">
      <w:pPr>
        <w:adjustRightInd w:val="0"/>
        <w:snapToGrid w:val="0"/>
        <w:spacing w:line="560" w:lineRule="exact"/>
        <w:rPr>
          <w:rFonts w:ascii="仿宋" w:hAnsi="仿宋" w:eastAsia="仿宋_GB2312"/>
          <w:b/>
          <w:bCs/>
          <w:sz w:val="30"/>
          <w:szCs w:val="30"/>
        </w:rPr>
      </w:pPr>
      <w:r>
        <w:rPr>
          <w:rFonts w:hint="eastAsia" w:ascii="仿宋" w:hAnsi="仿宋" w:eastAsia="仿宋_GB2312"/>
          <w:b/>
          <w:bCs/>
          <w:sz w:val="30"/>
          <w:szCs w:val="30"/>
        </w:rPr>
        <w:t>适用情形：</w:t>
      </w:r>
    </w:p>
    <w:p w14:paraId="4470BDC2">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可转债流通面值少于3000万元人民币将停止交易时，</w:t>
      </w:r>
      <w:bookmarkStart w:id="62" w:name="_Hlk101388613"/>
      <w:r>
        <w:rPr>
          <w:rFonts w:hint="eastAsia" w:ascii="仿宋" w:hAnsi="仿宋" w:eastAsia="仿宋_GB2312"/>
          <w:sz w:val="30"/>
          <w:szCs w:val="30"/>
        </w:rPr>
        <w:t>适用本公告格式</w:t>
      </w:r>
      <w:bookmarkEnd w:id="62"/>
      <w:r>
        <w:rPr>
          <w:rFonts w:hint="eastAsia" w:ascii="仿宋" w:hAnsi="仿宋" w:eastAsia="仿宋_GB2312"/>
          <w:sz w:val="30"/>
          <w:szCs w:val="30"/>
        </w:rPr>
        <w:t>。</w:t>
      </w:r>
    </w:p>
    <w:p w14:paraId="4A8CB490">
      <w:pPr>
        <w:adjustRightInd w:val="0"/>
        <w:snapToGrid w:val="0"/>
        <w:spacing w:line="560" w:lineRule="exact"/>
        <w:ind w:firstLine="600" w:firstLineChars="200"/>
        <w:jc w:val="left"/>
        <w:rPr>
          <w:rFonts w:ascii="仿宋" w:hAnsi="仿宋" w:eastAsia="仿宋_GB2312"/>
          <w:sz w:val="30"/>
          <w:szCs w:val="30"/>
        </w:rPr>
      </w:pPr>
    </w:p>
    <w:p w14:paraId="4081AC60">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23678A24">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04B8888A">
      <w:pPr>
        <w:adjustRightInd w:val="0"/>
        <w:snapToGrid w:val="0"/>
        <w:spacing w:line="560" w:lineRule="exact"/>
        <w:ind w:firstLine="600" w:firstLineChars="200"/>
        <w:jc w:val="left"/>
        <w:rPr>
          <w:rFonts w:ascii="仿宋" w:hAnsi="仿宋" w:eastAsia="仿宋_GB2312"/>
          <w:sz w:val="30"/>
          <w:szCs w:val="30"/>
        </w:rPr>
      </w:pPr>
    </w:p>
    <w:p w14:paraId="1355F3F3">
      <w:pPr>
        <w:adjustRightInd w:val="0"/>
        <w:snapToGrid w:val="0"/>
        <w:spacing w:line="560" w:lineRule="exact"/>
        <w:jc w:val="center"/>
        <w:rPr>
          <w:rFonts w:ascii="仿宋" w:hAnsi="仿宋" w:eastAsia="仿宋_GB2312"/>
          <w:sz w:val="30"/>
          <w:szCs w:val="30"/>
        </w:rPr>
      </w:pPr>
      <w:r>
        <w:rPr>
          <w:rFonts w:hint="eastAsia" w:ascii="仿宋" w:hAnsi="仿宋" w:eastAsia="仿宋_GB2312"/>
          <w:sz w:val="30"/>
          <w:szCs w:val="30"/>
        </w:rPr>
        <w:t>XXXX股份有限公司关于“XX转债”停止交易的公告</w:t>
      </w:r>
    </w:p>
    <w:p w14:paraId="673469A0">
      <w:pPr>
        <w:adjustRightInd w:val="0"/>
        <w:snapToGrid w:val="0"/>
        <w:spacing w:line="560" w:lineRule="exact"/>
        <w:ind w:left="360" w:firstLine="600" w:firstLineChars="200"/>
        <w:jc w:val="center"/>
        <w:rPr>
          <w:rFonts w:ascii="仿宋" w:hAnsi="仿宋" w:eastAsia="仿宋_GB2312"/>
          <w:sz w:val="30"/>
          <w:szCs w:val="30"/>
        </w:rPr>
      </w:pPr>
    </w:p>
    <w:p w14:paraId="02976E7F">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42B739B3">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7B84AE54">
      <w:pPr>
        <w:adjustRightInd w:val="0"/>
        <w:snapToGrid w:val="0"/>
        <w:spacing w:line="560" w:lineRule="exact"/>
        <w:ind w:firstLine="602" w:firstLineChars="200"/>
        <w:rPr>
          <w:rFonts w:ascii="仿宋" w:hAnsi="仿宋" w:eastAsia="仿宋_GB2312"/>
          <w:b/>
          <w:color w:val="000000"/>
          <w:sz w:val="30"/>
          <w:szCs w:val="30"/>
        </w:rPr>
      </w:pPr>
    </w:p>
    <w:p w14:paraId="1BA3F2C8">
      <w:pPr>
        <w:adjustRightInd w:val="0"/>
        <w:snapToGrid w:val="0"/>
        <w:spacing w:line="560" w:lineRule="exact"/>
        <w:ind w:firstLine="602" w:firstLineChars="200"/>
        <w:jc w:val="left"/>
        <w:rPr>
          <w:rFonts w:ascii="仿宋" w:hAnsi="仿宋" w:eastAsia="仿宋_GB2312"/>
          <w:b/>
          <w:color w:val="000000"/>
          <w:sz w:val="30"/>
          <w:szCs w:val="30"/>
        </w:rPr>
      </w:pPr>
      <w:r>
        <w:rPr>
          <w:rFonts w:hint="eastAsia" w:ascii="仿宋" w:hAnsi="仿宋" w:eastAsia="仿宋_GB2312"/>
          <w:b/>
          <w:color w:val="000000"/>
          <w:sz w:val="30"/>
          <w:szCs w:val="30"/>
        </w:rPr>
        <w:t>重要内容提示：</w:t>
      </w:r>
    </w:p>
    <w:p w14:paraId="1A19FC02">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停止交易事由</w:t>
      </w:r>
    </w:p>
    <w:p w14:paraId="69C4B62F">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最后交易日：</w:t>
      </w:r>
      <w:r>
        <w:rPr>
          <w:rFonts w:hint="eastAsia" w:ascii="仿宋" w:hAnsi="仿宋" w:eastAsia="仿宋_GB2312"/>
          <w:sz w:val="30"/>
          <w:szCs w:val="30"/>
        </w:rPr>
        <w:t>XXXX年XX月XX日</w:t>
      </w:r>
    </w:p>
    <w:p w14:paraId="664B919C">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停止交易起始日期：</w:t>
      </w:r>
      <w:r>
        <w:rPr>
          <w:rFonts w:hint="eastAsia" w:ascii="仿宋" w:hAnsi="仿宋" w:eastAsia="仿宋_GB2312"/>
          <w:sz w:val="30"/>
          <w:szCs w:val="30"/>
        </w:rPr>
        <w:t>XXXX年XX月XX日</w:t>
      </w:r>
    </w:p>
    <w:p w14:paraId="3EA32754">
      <w:pPr>
        <w:numPr>
          <w:ilvl w:val="0"/>
          <w:numId w:val="6"/>
        </w:numPr>
        <w:adjustRightInd w:val="0"/>
        <w:snapToGrid w:val="0"/>
        <w:spacing w:line="560" w:lineRule="exact"/>
        <w:ind w:left="0" w:firstLine="600" w:firstLineChars="200"/>
        <w:jc w:val="left"/>
        <w:rPr>
          <w:rFonts w:ascii="仿宋" w:hAnsi="仿宋" w:eastAsia="仿宋_GB2312"/>
          <w:color w:val="000000"/>
          <w:sz w:val="30"/>
          <w:szCs w:val="30"/>
        </w:rPr>
      </w:pPr>
      <w:r>
        <w:rPr>
          <w:rFonts w:hint="eastAsia" w:ascii="仿宋" w:hAnsi="仿宋" w:eastAsia="仿宋_GB2312"/>
          <w:color w:val="000000"/>
          <w:sz w:val="30"/>
          <w:szCs w:val="30"/>
        </w:rPr>
        <w:t>说明可转债在存续期内不停止转股</w:t>
      </w:r>
    </w:p>
    <w:p w14:paraId="3D84D9B3">
      <w:pPr>
        <w:pStyle w:val="7"/>
        <w:adjustRightInd w:val="0"/>
        <w:snapToGrid w:val="0"/>
        <w:spacing w:line="560" w:lineRule="exact"/>
        <w:ind w:firstLine="600" w:firstLineChars="200"/>
        <w:jc w:val="left"/>
        <w:rPr>
          <w:rFonts w:ascii="仿宋" w:hAnsi="仿宋" w:eastAsia="仿宋_GB2312"/>
          <w:sz w:val="30"/>
          <w:szCs w:val="30"/>
        </w:rPr>
      </w:pPr>
    </w:p>
    <w:p w14:paraId="4D81369B">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一、可转债基本情况</w:t>
      </w:r>
    </w:p>
    <w:p w14:paraId="6851138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XXXX股份有限公司(以下简称“本公司”)经中国证监会XXXX号文批准，于XXXX年XX月XX日通过上海证券交易所向社会公开发行XXXX万元人民币可转换公司债券，期限为XX年(即XXXX年XX月XX日～XXXX年XX月XX日)，XXXX年XX月XX日起在上海证券交易所挂牌交易，证券简称为“XX转债”，证券代码为“XXXXXX”。</w:t>
      </w:r>
    </w:p>
    <w:p w14:paraId="0AD97885">
      <w:pPr>
        <w:adjustRightInd w:val="0"/>
        <w:snapToGrid w:val="0"/>
        <w:spacing w:line="560" w:lineRule="exact"/>
        <w:ind w:firstLine="600" w:firstLineChars="200"/>
        <w:rPr>
          <w:rFonts w:ascii="仿宋" w:hAnsi="仿宋" w:eastAsia="仿宋_GB2312"/>
          <w:sz w:val="30"/>
          <w:szCs w:val="30"/>
        </w:rPr>
      </w:pPr>
    </w:p>
    <w:p w14:paraId="5A1E0B26">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二、可转债停止交易原因</w:t>
      </w:r>
    </w:p>
    <w:p w14:paraId="381B8022">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截至</w:t>
      </w:r>
      <w:r>
        <w:rPr>
          <w:rFonts w:hint="eastAsia" w:ascii="仿宋" w:hAnsi="仿宋" w:eastAsia="仿宋_GB2312"/>
          <w:sz w:val="30"/>
          <w:szCs w:val="30"/>
        </w:rPr>
        <w:t>XXXX年XX月XX日</w:t>
      </w:r>
      <w:r>
        <w:rPr>
          <w:rFonts w:hint="eastAsia" w:ascii="仿宋" w:hAnsi="仿宋" w:eastAsia="仿宋_GB2312"/>
          <w:color w:val="000000"/>
          <w:sz w:val="30"/>
          <w:szCs w:val="30"/>
        </w:rPr>
        <w:t>，公司</w:t>
      </w:r>
      <w:r>
        <w:rPr>
          <w:rFonts w:hint="eastAsia" w:ascii="仿宋" w:hAnsi="仿宋" w:eastAsia="仿宋_GB2312"/>
          <w:sz w:val="30"/>
          <w:szCs w:val="30"/>
        </w:rPr>
        <w:t>XX转债尚未转股的转债</w:t>
      </w:r>
      <w:r>
        <w:rPr>
          <w:rFonts w:hint="eastAsia" w:ascii="仿宋" w:hAnsi="仿宋" w:eastAsia="仿宋_GB2312"/>
          <w:color w:val="000000"/>
          <w:sz w:val="30"/>
          <w:szCs w:val="30"/>
        </w:rPr>
        <w:t>面值总额为XXXX元人民币，少于</w:t>
      </w:r>
      <w:r>
        <w:rPr>
          <w:rFonts w:ascii="仿宋" w:hAnsi="仿宋" w:eastAsia="仿宋_GB2312"/>
          <w:color w:val="000000"/>
          <w:sz w:val="30"/>
          <w:szCs w:val="30"/>
        </w:rPr>
        <w:t xml:space="preserve">3000 </w:t>
      </w:r>
      <w:r>
        <w:rPr>
          <w:rFonts w:hint="eastAsia" w:ascii="仿宋" w:hAnsi="仿宋" w:eastAsia="仿宋_GB2312"/>
          <w:color w:val="000000"/>
          <w:sz w:val="30"/>
          <w:szCs w:val="30"/>
        </w:rPr>
        <w:t>万元人民币，根据</w:t>
      </w:r>
      <w:r>
        <w:rPr>
          <w:rFonts w:ascii="仿宋" w:hAnsi="仿宋" w:eastAsia="仿宋_GB2312"/>
          <w:color w:val="000000"/>
          <w:sz w:val="30"/>
          <w:szCs w:val="30"/>
        </w:rPr>
        <w:t xml:space="preserve"> </w:t>
      </w:r>
      <w:r>
        <w:rPr>
          <w:rFonts w:hint="eastAsia" w:ascii="仿宋" w:hAnsi="仿宋" w:eastAsia="仿宋_GB2312"/>
          <w:color w:val="000000"/>
          <w:sz w:val="30"/>
          <w:szCs w:val="30"/>
        </w:rPr>
        <w:t>《上海证券交易所股票上市规则》的有关规定，</w:t>
      </w:r>
      <w:r>
        <w:rPr>
          <w:rFonts w:hint="eastAsia" w:ascii="仿宋" w:hAnsi="仿宋" w:eastAsia="仿宋_GB2312"/>
          <w:sz w:val="30"/>
          <w:szCs w:val="30"/>
        </w:rPr>
        <w:t>XX转债将</w:t>
      </w:r>
      <w:r>
        <w:rPr>
          <w:rFonts w:hint="eastAsia" w:ascii="仿宋" w:hAnsi="仿宋" w:eastAsia="仿宋_GB2312"/>
          <w:color w:val="000000"/>
          <w:sz w:val="30"/>
          <w:szCs w:val="30"/>
        </w:rPr>
        <w:t>停止交易。</w:t>
      </w:r>
    </w:p>
    <w:p w14:paraId="24D7D284">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（编制提醒：1.</w:t>
      </w:r>
      <w:r>
        <w:rPr>
          <w:rFonts w:hint="eastAsia" w:ascii="楷体" w:hAnsi="楷体" w:eastAsia="楷体"/>
          <w:sz w:val="24"/>
          <w:szCs w:val="24"/>
        </w:rPr>
        <w:t>公司可转债行使赎回权期间，可转债流通面值少于</w:t>
      </w:r>
      <w:r>
        <w:rPr>
          <w:rFonts w:ascii="楷体" w:hAnsi="楷体" w:eastAsia="楷体"/>
          <w:sz w:val="24"/>
          <w:szCs w:val="24"/>
        </w:rPr>
        <w:t>3000</w:t>
      </w:r>
      <w:r>
        <w:rPr>
          <w:rFonts w:hint="eastAsia" w:ascii="楷体" w:hAnsi="楷体" w:eastAsia="楷体"/>
          <w:sz w:val="24"/>
          <w:szCs w:val="24"/>
        </w:rPr>
        <w:t>万元人民币的，可转债不停止交易。</w:t>
      </w:r>
      <w:r>
        <w:rPr>
          <w:rFonts w:ascii="楷体" w:hAnsi="楷体" w:eastAsia="楷体"/>
          <w:sz w:val="24"/>
          <w:szCs w:val="24"/>
        </w:rPr>
        <w:t>2.公司可转债回售期间，回售导致可转债余额少于3000万元人民币的，回售程序不中断，回售流程结束后启动可转债的停止交易程序。）</w:t>
      </w:r>
    </w:p>
    <w:p w14:paraId="38F3F288">
      <w:pPr>
        <w:adjustRightInd w:val="0"/>
        <w:snapToGrid w:val="0"/>
        <w:spacing w:line="560" w:lineRule="exact"/>
        <w:ind w:firstLine="480" w:firstLineChars="200"/>
        <w:rPr>
          <w:rFonts w:ascii="楷体" w:hAnsi="楷体" w:eastAsia="楷体"/>
          <w:sz w:val="24"/>
          <w:szCs w:val="24"/>
        </w:rPr>
      </w:pPr>
    </w:p>
    <w:p w14:paraId="69709A2E">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三、可转债停止交易相关事项说明</w:t>
      </w:r>
    </w:p>
    <w:p w14:paraId="2A7D0A0A">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（一）停止交易起始日期：XXXX年XX月XX日。</w:t>
      </w:r>
    </w:p>
    <w:p w14:paraId="5382A166">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（二）披露可转债的余额数据。</w:t>
      </w:r>
    </w:p>
    <w:p w14:paraId="2483A418">
      <w:pPr>
        <w:pStyle w:val="7"/>
        <w:adjustRightInd w:val="0"/>
        <w:snapToGrid w:val="0"/>
        <w:spacing w:after="0" w:line="560" w:lineRule="exact"/>
        <w:ind w:left="0" w:leftChars="0" w:firstLine="600" w:firstLineChars="200"/>
        <w:rPr>
          <w:rFonts w:ascii="仿宋" w:hAnsi="仿宋" w:eastAsia="仿宋_GB2312"/>
          <w:color w:val="000000"/>
          <w:sz w:val="30"/>
          <w:szCs w:val="30"/>
        </w:rPr>
      </w:pPr>
      <w:r>
        <w:rPr>
          <w:rFonts w:hint="eastAsia" w:ascii="仿宋" w:hAnsi="仿宋" w:eastAsia="仿宋_GB2312"/>
          <w:color w:val="000000"/>
          <w:sz w:val="30"/>
          <w:szCs w:val="30"/>
        </w:rPr>
        <w:t>（三）说明在存续期内可转债仍可以转股。</w:t>
      </w:r>
    </w:p>
    <w:p w14:paraId="66254BB5">
      <w:pPr>
        <w:pStyle w:val="7"/>
        <w:adjustRightInd w:val="0"/>
        <w:snapToGrid w:val="0"/>
        <w:spacing w:after="0" w:line="560" w:lineRule="exact"/>
        <w:ind w:left="0" w:leftChars="0" w:firstLine="600" w:firstLineChars="200"/>
        <w:rPr>
          <w:rFonts w:ascii="仿宋" w:hAnsi="仿宋" w:eastAsia="仿宋_GB2312"/>
          <w:color w:val="000000"/>
          <w:sz w:val="30"/>
          <w:szCs w:val="30"/>
        </w:rPr>
      </w:pPr>
    </w:p>
    <w:p w14:paraId="3BD20A11">
      <w:pPr>
        <w:adjustRightInd w:val="0"/>
        <w:snapToGrid w:val="0"/>
        <w:spacing w:line="560" w:lineRule="exact"/>
        <w:ind w:firstLine="602" w:firstLineChars="200"/>
        <w:rPr>
          <w:rFonts w:ascii="黑体" w:hAnsi="黑体" w:eastAsia="黑体"/>
          <w:b/>
          <w:bCs/>
          <w:sz w:val="30"/>
          <w:szCs w:val="30"/>
        </w:rPr>
      </w:pPr>
      <w:r>
        <w:rPr>
          <w:rFonts w:hint="eastAsia" w:ascii="黑体" w:hAnsi="黑体" w:eastAsia="黑体"/>
          <w:b/>
          <w:bCs/>
          <w:sz w:val="30"/>
          <w:szCs w:val="30"/>
        </w:rPr>
        <w:t>四、联系方式</w:t>
      </w:r>
    </w:p>
    <w:p w14:paraId="103651F5">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联系部门：</w:t>
      </w:r>
    </w:p>
    <w:p w14:paraId="47C1EC6C">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联系电话：（XXXX）XXXXXXX</w:t>
      </w:r>
    </w:p>
    <w:p w14:paraId="22EE3FB8">
      <w:pPr>
        <w:adjustRightInd w:val="0"/>
        <w:snapToGrid w:val="0"/>
        <w:spacing w:line="560" w:lineRule="exact"/>
        <w:ind w:firstLine="600" w:firstLineChars="200"/>
        <w:rPr>
          <w:rFonts w:ascii="仿宋" w:hAnsi="仿宋" w:eastAsia="仿宋_GB2312"/>
          <w:color w:val="000000"/>
          <w:sz w:val="30"/>
          <w:szCs w:val="30"/>
        </w:rPr>
      </w:pPr>
    </w:p>
    <w:p w14:paraId="57B84216">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特此公告。</w:t>
      </w:r>
    </w:p>
    <w:p w14:paraId="5F393B0D">
      <w:pPr>
        <w:adjustRightInd w:val="0"/>
        <w:snapToGrid w:val="0"/>
        <w:spacing w:line="560" w:lineRule="exact"/>
        <w:ind w:firstLine="600" w:firstLineChars="200"/>
        <w:jc w:val="left"/>
        <w:rPr>
          <w:rFonts w:ascii="仿宋" w:hAnsi="仿宋" w:eastAsia="仿宋_GB2312"/>
          <w:color w:val="000000"/>
          <w:sz w:val="30"/>
          <w:szCs w:val="30"/>
        </w:rPr>
      </w:pPr>
    </w:p>
    <w:p w14:paraId="08DF1BB5">
      <w:pPr>
        <w:adjustRightInd w:val="0"/>
        <w:snapToGrid w:val="0"/>
        <w:spacing w:line="560" w:lineRule="exact"/>
        <w:ind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XXXX股份有限公司董事会</w:t>
      </w:r>
    </w:p>
    <w:p w14:paraId="13460D16">
      <w:pPr>
        <w:pStyle w:val="9"/>
        <w:adjustRightInd w:val="0"/>
        <w:snapToGrid w:val="0"/>
        <w:spacing w:line="560" w:lineRule="exact"/>
        <w:ind w:left="0" w:leftChars="0" w:firstLine="600" w:firstLineChars="200"/>
        <w:jc w:val="right"/>
        <w:rPr>
          <w:rFonts w:ascii="仿宋" w:hAnsi="仿宋" w:eastAsia="仿宋_GB2312"/>
          <w:color w:val="000000"/>
          <w:sz w:val="30"/>
          <w:szCs w:val="30"/>
        </w:rPr>
      </w:pPr>
      <w:r>
        <w:rPr>
          <w:rFonts w:hint="eastAsia" w:ascii="仿宋" w:hAnsi="仿宋" w:eastAsia="仿宋_GB2312"/>
          <w:color w:val="000000"/>
          <w:sz w:val="30"/>
          <w:szCs w:val="30"/>
        </w:rPr>
        <w:t>年  月  日</w:t>
      </w:r>
    </w:p>
    <w:p w14:paraId="4EEB8F44">
      <w:pPr>
        <w:widowControl/>
        <w:jc w:val="left"/>
        <w:rPr>
          <w:rFonts w:ascii="仿宋" w:hAnsi="仿宋" w:eastAsia="仿宋_GB2312"/>
          <w:color w:val="000000"/>
          <w:sz w:val="30"/>
          <w:szCs w:val="30"/>
        </w:rPr>
      </w:pPr>
      <w:r>
        <w:rPr>
          <w:rFonts w:ascii="仿宋" w:hAnsi="仿宋" w:eastAsia="仿宋_GB2312"/>
          <w:color w:val="000000"/>
          <w:sz w:val="30"/>
          <w:szCs w:val="30"/>
        </w:rPr>
        <w:br w:type="page"/>
      </w:r>
    </w:p>
    <w:p w14:paraId="4036D5C9">
      <w:pPr>
        <w:pStyle w:val="3"/>
        <w:rPr>
          <w:rFonts w:ascii="黑体" w:hAnsi="黑体" w:eastAsia="黑体"/>
        </w:rPr>
      </w:pPr>
      <w:bookmarkStart w:id="63" w:name="_Toc108525223"/>
      <w:r>
        <w:rPr>
          <w:rFonts w:hint="eastAsia" w:ascii="黑体" w:hAnsi="黑体" w:eastAsia="黑体"/>
        </w:rPr>
        <w:t>七、可转债评级调整</w:t>
      </w:r>
      <w:bookmarkEnd w:id="63"/>
    </w:p>
    <w:p w14:paraId="73779888">
      <w:pPr>
        <w:pStyle w:val="4"/>
        <w:rPr>
          <w:sz w:val="32"/>
          <w:szCs w:val="32"/>
        </w:rPr>
      </w:pPr>
      <w:bookmarkStart w:id="64" w:name="_Toc352226128"/>
      <w:bookmarkStart w:id="65" w:name="_Toc108525224"/>
      <w:bookmarkStart w:id="66" w:name="_Toc356840116"/>
      <w:bookmarkStart w:id="67" w:name="_Toc50034120"/>
      <w:r>
        <w:rPr>
          <w:rFonts w:hint="eastAsia"/>
          <w:sz w:val="32"/>
          <w:szCs w:val="32"/>
        </w:rPr>
        <w:t>1</w:t>
      </w:r>
      <w:r>
        <w:rPr>
          <w:sz w:val="32"/>
          <w:szCs w:val="32"/>
        </w:rPr>
        <w:t>6.</w:t>
      </w:r>
      <w:r>
        <w:rPr>
          <w:rFonts w:hint="eastAsia"/>
          <w:sz w:val="32"/>
          <w:szCs w:val="32"/>
        </w:rPr>
        <w:t>上市公司可转债评级调整公告</w:t>
      </w:r>
      <w:bookmarkEnd w:id="64"/>
      <w:bookmarkEnd w:id="65"/>
      <w:bookmarkEnd w:id="66"/>
      <w:bookmarkEnd w:id="67"/>
    </w:p>
    <w:p w14:paraId="540C619C">
      <w:pPr>
        <w:adjustRightInd w:val="0"/>
        <w:snapToGrid w:val="0"/>
        <w:spacing w:line="560" w:lineRule="exact"/>
        <w:jc w:val="left"/>
        <w:rPr>
          <w:rFonts w:ascii="仿宋" w:hAnsi="仿宋" w:eastAsia="仿宋_GB2312"/>
          <w:b/>
          <w:sz w:val="30"/>
          <w:szCs w:val="30"/>
        </w:rPr>
      </w:pPr>
      <w:r>
        <w:rPr>
          <w:rFonts w:hint="eastAsia" w:ascii="仿宋" w:hAnsi="仿宋" w:eastAsia="仿宋_GB2312"/>
          <w:b/>
          <w:sz w:val="30"/>
          <w:szCs w:val="30"/>
        </w:rPr>
        <w:t>适用情形：</w:t>
      </w:r>
    </w:p>
    <w:p w14:paraId="6AC0DC36">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上市公司披露可转债评级报告适用本公告格式。</w:t>
      </w:r>
    </w:p>
    <w:p w14:paraId="7C653FB7">
      <w:pPr>
        <w:adjustRightInd w:val="0"/>
        <w:snapToGrid w:val="0"/>
        <w:spacing w:line="560" w:lineRule="exact"/>
        <w:ind w:firstLine="600" w:firstLineChars="200"/>
        <w:jc w:val="left"/>
        <w:rPr>
          <w:rFonts w:ascii="仿宋" w:hAnsi="仿宋" w:eastAsia="仿宋_GB2312"/>
          <w:sz w:val="30"/>
          <w:szCs w:val="30"/>
        </w:rPr>
      </w:pPr>
    </w:p>
    <w:p w14:paraId="71526FDD">
      <w:pPr>
        <w:widowControl/>
        <w:adjustRightInd w:val="0"/>
        <w:snapToGrid w:val="0"/>
        <w:spacing w:line="560" w:lineRule="exact"/>
        <w:rPr>
          <w:rFonts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14:paraId="6C410357">
      <w:pPr>
        <w:widowControl/>
        <w:adjustRightInd w:val="0"/>
        <w:snapToGrid w:val="0"/>
        <w:spacing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14:paraId="7664B52D">
      <w:pPr>
        <w:adjustRightInd w:val="0"/>
        <w:snapToGrid w:val="0"/>
        <w:spacing w:line="560" w:lineRule="exact"/>
        <w:ind w:firstLine="600" w:firstLineChars="200"/>
        <w:jc w:val="left"/>
        <w:rPr>
          <w:rFonts w:ascii="仿宋" w:hAnsi="仿宋" w:eastAsia="仿宋_GB2312"/>
          <w:sz w:val="30"/>
          <w:szCs w:val="30"/>
        </w:rPr>
      </w:pPr>
    </w:p>
    <w:p w14:paraId="2569EE34">
      <w:pPr>
        <w:adjustRightInd w:val="0"/>
        <w:snapToGrid w:val="0"/>
        <w:spacing w:line="560" w:lineRule="exact"/>
        <w:jc w:val="center"/>
        <w:rPr>
          <w:rFonts w:ascii="仿宋" w:hAnsi="仿宋" w:eastAsia="仿宋_GB2312"/>
          <w:sz w:val="30"/>
          <w:szCs w:val="30"/>
        </w:rPr>
      </w:pPr>
      <w:r>
        <w:rPr>
          <w:rFonts w:ascii="仿宋" w:hAnsi="仿宋" w:eastAsia="仿宋_GB2312"/>
          <w:sz w:val="30"/>
          <w:szCs w:val="30"/>
        </w:rPr>
        <w:t>XXXX</w:t>
      </w:r>
      <w:r>
        <w:rPr>
          <w:rFonts w:hint="eastAsia" w:ascii="仿宋" w:hAnsi="仿宋" w:eastAsia="仿宋_GB2312"/>
          <w:sz w:val="30"/>
          <w:szCs w:val="30"/>
        </w:rPr>
        <w:t>股份有限公司关于“XX转债”评级调整公告</w:t>
      </w:r>
    </w:p>
    <w:p w14:paraId="0572E3C9">
      <w:pPr>
        <w:adjustRightInd w:val="0"/>
        <w:snapToGrid w:val="0"/>
        <w:spacing w:line="560" w:lineRule="exact"/>
        <w:ind w:left="360" w:firstLine="600" w:firstLineChars="200"/>
        <w:jc w:val="center"/>
        <w:rPr>
          <w:rFonts w:ascii="仿宋" w:hAnsi="仿宋" w:eastAsia="仿宋_GB2312"/>
          <w:sz w:val="30"/>
          <w:szCs w:val="30"/>
        </w:rPr>
      </w:pPr>
    </w:p>
    <w:p w14:paraId="600A8A5B">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本公司董事会及全体董事保证本公告内容不存在任何虚假记载、误导性陈述或者重大遗漏，并对其内容的真实性、准确性和完整性承担法律责任。</w:t>
      </w:r>
    </w:p>
    <w:p w14:paraId="17CB17B1">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如有董事对临时公告内容的真实性、准确性和完整性无法保证或存在异议的，公司应当在公告中作特别提示。</w:t>
      </w:r>
    </w:p>
    <w:p w14:paraId="7B83DCF2">
      <w:pPr>
        <w:adjustRightInd w:val="0"/>
        <w:snapToGrid w:val="0"/>
        <w:spacing w:line="560" w:lineRule="exact"/>
        <w:ind w:firstLine="602" w:firstLineChars="200"/>
        <w:rPr>
          <w:rFonts w:ascii="仿宋" w:hAnsi="仿宋" w:eastAsia="仿宋_GB2312"/>
          <w:b/>
          <w:color w:val="000000"/>
          <w:sz w:val="30"/>
          <w:szCs w:val="30"/>
        </w:rPr>
      </w:pPr>
    </w:p>
    <w:p w14:paraId="291AD676">
      <w:pPr>
        <w:adjustRightInd w:val="0"/>
        <w:snapToGrid w:val="0"/>
        <w:spacing w:line="560" w:lineRule="exact"/>
        <w:ind w:firstLine="602" w:firstLineChars="200"/>
        <w:jc w:val="left"/>
        <w:rPr>
          <w:rFonts w:ascii="仿宋" w:hAnsi="仿宋" w:eastAsia="仿宋_GB2312"/>
          <w:b/>
          <w:sz w:val="30"/>
          <w:szCs w:val="30"/>
        </w:rPr>
      </w:pPr>
      <w:r>
        <w:rPr>
          <w:rFonts w:hint="eastAsia" w:ascii="仿宋" w:hAnsi="仿宋" w:eastAsia="仿宋_GB2312"/>
          <w:b/>
          <w:sz w:val="30"/>
          <w:szCs w:val="30"/>
        </w:rPr>
        <w:t>重要内容提示：</w:t>
      </w:r>
    </w:p>
    <w:p w14:paraId="54569924">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调整前</w:t>
      </w:r>
      <w:r>
        <w:rPr>
          <w:rFonts w:ascii="仿宋" w:hAnsi="仿宋" w:eastAsia="仿宋_GB2312"/>
          <w:sz w:val="30"/>
          <w:szCs w:val="30"/>
        </w:rPr>
        <w:t>XX</w:t>
      </w:r>
      <w:r>
        <w:rPr>
          <w:rFonts w:hint="eastAsia" w:ascii="仿宋" w:hAnsi="仿宋" w:eastAsia="仿宋_GB2312"/>
          <w:sz w:val="30"/>
          <w:szCs w:val="30"/>
        </w:rPr>
        <w:t>转债评级：</w:t>
      </w:r>
      <w:r>
        <w:rPr>
          <w:rFonts w:ascii="仿宋" w:hAnsi="仿宋" w:eastAsia="仿宋_GB2312"/>
          <w:sz w:val="30"/>
          <w:szCs w:val="30"/>
        </w:rPr>
        <w:t xml:space="preserve">  </w:t>
      </w:r>
      <w:r>
        <w:rPr>
          <w:rFonts w:hint="eastAsia" w:ascii="仿宋" w:hAnsi="仿宋" w:eastAsia="仿宋_GB2312"/>
          <w:sz w:val="30"/>
          <w:szCs w:val="30"/>
        </w:rPr>
        <w:t>主体评级：</w:t>
      </w:r>
    </w:p>
    <w:p w14:paraId="24D0F784">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调整后</w:t>
      </w:r>
      <w:r>
        <w:rPr>
          <w:rFonts w:ascii="仿宋" w:hAnsi="仿宋" w:eastAsia="仿宋_GB2312"/>
          <w:sz w:val="30"/>
          <w:szCs w:val="30"/>
        </w:rPr>
        <w:t>XX</w:t>
      </w:r>
      <w:r>
        <w:rPr>
          <w:rFonts w:hint="eastAsia" w:ascii="仿宋" w:hAnsi="仿宋" w:eastAsia="仿宋_GB2312"/>
          <w:sz w:val="30"/>
          <w:szCs w:val="30"/>
        </w:rPr>
        <w:t>转债评级：</w:t>
      </w:r>
      <w:r>
        <w:rPr>
          <w:rFonts w:ascii="仿宋" w:hAnsi="仿宋" w:eastAsia="仿宋_GB2312"/>
          <w:sz w:val="30"/>
          <w:szCs w:val="30"/>
        </w:rPr>
        <w:t xml:space="preserve">  </w:t>
      </w:r>
      <w:r>
        <w:rPr>
          <w:rFonts w:hint="eastAsia" w:ascii="仿宋" w:hAnsi="仿宋" w:eastAsia="仿宋_GB2312"/>
          <w:sz w:val="30"/>
          <w:szCs w:val="30"/>
        </w:rPr>
        <w:t>主体评级：</w:t>
      </w:r>
    </w:p>
    <w:p w14:paraId="5551DDA1">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调整后</w:t>
      </w:r>
      <w:r>
        <w:rPr>
          <w:rFonts w:ascii="仿宋" w:hAnsi="仿宋" w:eastAsia="仿宋_GB2312"/>
          <w:sz w:val="30"/>
          <w:szCs w:val="30"/>
        </w:rPr>
        <w:t>XX</w:t>
      </w:r>
      <w:r>
        <w:rPr>
          <w:rFonts w:hint="eastAsia" w:ascii="仿宋" w:hAnsi="仿宋" w:eastAsia="仿宋_GB2312"/>
          <w:sz w:val="30"/>
          <w:szCs w:val="30"/>
        </w:rPr>
        <w:t>转债不可</w:t>
      </w:r>
      <w:r>
        <w:rPr>
          <w:rFonts w:ascii="仿宋" w:hAnsi="仿宋" w:eastAsia="仿宋_GB2312"/>
          <w:sz w:val="30"/>
          <w:szCs w:val="30"/>
        </w:rPr>
        <w:t>/</w:t>
      </w:r>
      <w:r>
        <w:rPr>
          <w:rFonts w:hint="eastAsia" w:ascii="仿宋" w:hAnsi="仿宋" w:eastAsia="仿宋_GB2312"/>
          <w:sz w:val="30"/>
          <w:szCs w:val="30"/>
        </w:rPr>
        <w:t>仍可作为债券质押式回购交易的质押券</w:t>
      </w:r>
    </w:p>
    <w:p w14:paraId="1DB23A02">
      <w:pPr>
        <w:adjustRightInd w:val="0"/>
        <w:snapToGrid w:val="0"/>
        <w:spacing w:line="560" w:lineRule="exact"/>
        <w:ind w:firstLine="600" w:firstLineChars="200"/>
        <w:jc w:val="left"/>
        <w:rPr>
          <w:rFonts w:ascii="仿宋" w:hAnsi="仿宋" w:eastAsia="仿宋_GB2312"/>
          <w:sz w:val="30"/>
          <w:szCs w:val="30"/>
        </w:rPr>
      </w:pPr>
    </w:p>
    <w:p w14:paraId="394980D1">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根据《上市公司证券发行注册管理办法》等有关规定，本公司委托信用评级机构</w:t>
      </w:r>
      <w:bookmarkStart w:id="68" w:name="OLE_LINK3"/>
      <w:r>
        <w:rPr>
          <w:rFonts w:ascii="仿宋" w:hAnsi="仿宋" w:eastAsia="仿宋_GB2312"/>
          <w:sz w:val="30"/>
          <w:szCs w:val="30"/>
        </w:rPr>
        <w:t>XXXX</w:t>
      </w:r>
      <w:bookmarkEnd w:id="68"/>
      <w:r>
        <w:rPr>
          <w:rFonts w:hint="eastAsia" w:ascii="仿宋" w:hAnsi="仿宋" w:eastAsia="仿宋_GB2312"/>
          <w:sz w:val="30"/>
          <w:szCs w:val="30"/>
        </w:rPr>
        <w:t>公司对本公司</w:t>
      </w:r>
      <w:r>
        <w:rPr>
          <w:rFonts w:ascii="仿宋" w:hAnsi="仿宋" w:eastAsia="仿宋_GB2312"/>
          <w:sz w:val="30"/>
          <w:szCs w:val="30"/>
        </w:rPr>
        <w:t>XXXX</w:t>
      </w:r>
      <w:r>
        <w:rPr>
          <w:rFonts w:hint="eastAsia" w:ascii="仿宋" w:hAnsi="仿宋" w:eastAsia="仿宋_GB2312"/>
          <w:sz w:val="30"/>
          <w:szCs w:val="30"/>
        </w:rPr>
        <w:t>年发行的</w:t>
      </w:r>
      <w:r>
        <w:rPr>
          <w:rFonts w:ascii="仿宋" w:hAnsi="仿宋" w:eastAsia="仿宋_GB2312"/>
          <w:sz w:val="30"/>
          <w:szCs w:val="30"/>
        </w:rPr>
        <w:t>XX</w:t>
      </w:r>
      <w:r>
        <w:rPr>
          <w:rFonts w:hint="eastAsia" w:ascii="仿宋" w:hAnsi="仿宋" w:eastAsia="仿宋_GB2312"/>
          <w:sz w:val="30"/>
          <w:szCs w:val="30"/>
        </w:rPr>
        <w:t>转债进行了跟踪信用评级。</w:t>
      </w:r>
    </w:p>
    <w:p w14:paraId="1BFF12F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本公司前次主体信用评级结果为</w:t>
      </w:r>
      <w:r>
        <w:rPr>
          <w:rFonts w:ascii="仿宋" w:hAnsi="仿宋" w:eastAsia="仿宋_GB2312"/>
          <w:sz w:val="30"/>
          <w:szCs w:val="30"/>
        </w:rPr>
        <w:t>XX</w:t>
      </w:r>
      <w:r>
        <w:rPr>
          <w:rFonts w:hint="eastAsia" w:ascii="仿宋" w:hAnsi="仿宋" w:eastAsia="仿宋_GB2312"/>
          <w:sz w:val="30"/>
          <w:szCs w:val="30"/>
        </w:rPr>
        <w:t>；</w:t>
      </w:r>
      <w:r>
        <w:rPr>
          <w:rFonts w:ascii="仿宋" w:hAnsi="仿宋" w:eastAsia="仿宋_GB2312"/>
          <w:sz w:val="30"/>
          <w:szCs w:val="30"/>
        </w:rPr>
        <w:t>XX</w:t>
      </w:r>
      <w:r>
        <w:rPr>
          <w:rFonts w:hint="eastAsia" w:ascii="仿宋" w:hAnsi="仿宋" w:eastAsia="仿宋_GB2312"/>
          <w:sz w:val="30"/>
          <w:szCs w:val="30"/>
        </w:rPr>
        <w:t>转债前次评级结果为</w:t>
      </w:r>
      <w:r>
        <w:rPr>
          <w:rFonts w:ascii="仿宋" w:hAnsi="仿宋" w:eastAsia="仿宋_GB2312"/>
          <w:sz w:val="30"/>
          <w:szCs w:val="30"/>
        </w:rPr>
        <w:t>XX</w:t>
      </w:r>
      <w:r>
        <w:rPr>
          <w:rFonts w:hint="eastAsia" w:ascii="仿宋" w:hAnsi="仿宋" w:eastAsia="仿宋_GB2312"/>
          <w:sz w:val="30"/>
          <w:szCs w:val="30"/>
        </w:rPr>
        <w:t>；评级机构为</w:t>
      </w:r>
      <w:r>
        <w:rPr>
          <w:rFonts w:ascii="仿宋" w:hAnsi="仿宋" w:eastAsia="仿宋_GB2312"/>
          <w:sz w:val="30"/>
          <w:szCs w:val="30"/>
        </w:rPr>
        <w:t>XXXX</w:t>
      </w:r>
      <w:r>
        <w:rPr>
          <w:rFonts w:hint="eastAsia" w:ascii="仿宋" w:hAnsi="仿宋" w:eastAsia="仿宋_GB2312"/>
          <w:sz w:val="30"/>
          <w:szCs w:val="30"/>
        </w:rPr>
        <w:t>公司，评级时间为</w:t>
      </w:r>
      <w:r>
        <w:rPr>
          <w:rFonts w:ascii="仿宋" w:hAnsi="仿宋" w:eastAsia="仿宋_GB2312"/>
          <w:sz w:val="30"/>
          <w:szCs w:val="30"/>
        </w:rPr>
        <w:t>XXXX</w:t>
      </w:r>
      <w:r>
        <w:rPr>
          <w:rFonts w:hint="eastAsia" w:ascii="仿宋" w:hAnsi="仿宋" w:eastAsia="仿宋_GB2312"/>
          <w:sz w:val="30"/>
          <w:szCs w:val="30"/>
        </w:rPr>
        <w:t>年</w:t>
      </w:r>
      <w:r>
        <w:rPr>
          <w:rFonts w:ascii="仿宋" w:hAnsi="仿宋" w:eastAsia="仿宋_GB2312"/>
          <w:sz w:val="30"/>
          <w:szCs w:val="30"/>
        </w:rPr>
        <w:t>XX</w:t>
      </w:r>
      <w:r>
        <w:rPr>
          <w:rFonts w:hint="eastAsia" w:ascii="仿宋" w:hAnsi="仿宋" w:eastAsia="仿宋_GB2312"/>
          <w:sz w:val="30"/>
          <w:szCs w:val="30"/>
        </w:rPr>
        <w:t>月</w:t>
      </w:r>
      <w:r>
        <w:rPr>
          <w:rFonts w:ascii="仿宋" w:hAnsi="仿宋" w:eastAsia="仿宋_GB2312"/>
          <w:sz w:val="30"/>
          <w:szCs w:val="30"/>
        </w:rPr>
        <w:t>XX</w:t>
      </w:r>
      <w:r>
        <w:rPr>
          <w:rFonts w:hint="eastAsia" w:ascii="仿宋" w:hAnsi="仿宋" w:eastAsia="仿宋_GB2312"/>
          <w:sz w:val="30"/>
          <w:szCs w:val="30"/>
        </w:rPr>
        <w:t>日。</w:t>
      </w:r>
    </w:p>
    <w:p w14:paraId="3B71316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评级机构</w:t>
      </w:r>
      <w:r>
        <w:rPr>
          <w:rFonts w:ascii="仿宋" w:hAnsi="仿宋" w:eastAsia="仿宋_GB2312"/>
          <w:sz w:val="30"/>
          <w:szCs w:val="30"/>
        </w:rPr>
        <w:t>XXXX</w:t>
      </w:r>
      <w:r>
        <w:rPr>
          <w:rFonts w:hint="eastAsia" w:ascii="仿宋" w:hAnsi="仿宋" w:eastAsia="仿宋_GB2312"/>
          <w:sz w:val="30"/>
          <w:szCs w:val="30"/>
        </w:rPr>
        <w:t>公司在对本公司经营状况</w:t>
      </w:r>
      <w:r>
        <w:rPr>
          <w:rFonts w:ascii="仿宋" w:hAnsi="仿宋" w:eastAsia="仿宋_GB2312"/>
          <w:sz w:val="30"/>
          <w:szCs w:val="30"/>
        </w:rPr>
        <w:t>/</w:t>
      </w:r>
      <w:r>
        <w:rPr>
          <w:rFonts w:hint="eastAsia" w:ascii="仿宋" w:hAnsi="仿宋" w:eastAsia="仿宋_GB2312"/>
          <w:sz w:val="30"/>
          <w:szCs w:val="30"/>
        </w:rPr>
        <w:t>行业</w:t>
      </w:r>
      <w:r>
        <w:rPr>
          <w:rFonts w:ascii="仿宋" w:hAnsi="仿宋" w:eastAsia="仿宋_GB2312"/>
          <w:sz w:val="30"/>
          <w:szCs w:val="30"/>
        </w:rPr>
        <w:t>/</w:t>
      </w:r>
      <w:r>
        <w:rPr>
          <w:rFonts w:hint="eastAsia" w:ascii="仿宋" w:hAnsi="仿宋" w:eastAsia="仿宋_GB2312"/>
          <w:sz w:val="30"/>
          <w:szCs w:val="30"/>
        </w:rPr>
        <w:t>其他情况进行综合分析与评估的基础上，于</w:t>
      </w:r>
      <w:r>
        <w:rPr>
          <w:rFonts w:ascii="仿宋" w:hAnsi="仿宋" w:eastAsia="仿宋_GB2312"/>
          <w:sz w:val="30"/>
          <w:szCs w:val="30"/>
        </w:rPr>
        <w:t>XXXX</w:t>
      </w:r>
      <w:r>
        <w:rPr>
          <w:rFonts w:hint="eastAsia" w:ascii="仿宋" w:hAnsi="仿宋" w:eastAsia="仿宋_GB2312"/>
          <w:sz w:val="30"/>
          <w:szCs w:val="30"/>
        </w:rPr>
        <w:t>年</w:t>
      </w:r>
      <w:r>
        <w:rPr>
          <w:rFonts w:ascii="仿宋" w:hAnsi="仿宋" w:eastAsia="仿宋_GB2312"/>
          <w:sz w:val="30"/>
          <w:szCs w:val="30"/>
        </w:rPr>
        <w:t>XX</w:t>
      </w:r>
      <w:r>
        <w:rPr>
          <w:rFonts w:hint="eastAsia" w:ascii="仿宋" w:hAnsi="仿宋" w:eastAsia="仿宋_GB2312"/>
          <w:sz w:val="30"/>
          <w:szCs w:val="30"/>
        </w:rPr>
        <w:t>月</w:t>
      </w:r>
      <w:r>
        <w:rPr>
          <w:rFonts w:ascii="仿宋" w:hAnsi="仿宋" w:eastAsia="仿宋_GB2312"/>
          <w:sz w:val="30"/>
          <w:szCs w:val="30"/>
        </w:rPr>
        <w:t>XX</w:t>
      </w:r>
      <w:r>
        <w:rPr>
          <w:rFonts w:hint="eastAsia" w:ascii="仿宋" w:hAnsi="仿宋" w:eastAsia="仿宋_GB2312"/>
          <w:sz w:val="30"/>
          <w:szCs w:val="30"/>
        </w:rPr>
        <w:t>日出具了《</w:t>
      </w:r>
      <w:r>
        <w:rPr>
          <w:rFonts w:ascii="仿宋" w:hAnsi="仿宋" w:eastAsia="仿宋_GB2312"/>
          <w:sz w:val="30"/>
          <w:szCs w:val="30"/>
        </w:rPr>
        <w:t>XXXX</w:t>
      </w:r>
      <w:r>
        <w:rPr>
          <w:rFonts w:hint="eastAsia" w:ascii="仿宋" w:hAnsi="仿宋" w:eastAsia="仿宋_GB2312"/>
          <w:sz w:val="30"/>
          <w:szCs w:val="30"/>
        </w:rPr>
        <w:t>评级报告》，本次公司主体信用评级结果为：</w:t>
      </w:r>
      <w:r>
        <w:rPr>
          <w:rFonts w:ascii="仿宋" w:hAnsi="仿宋" w:eastAsia="仿宋_GB2312"/>
          <w:sz w:val="30"/>
          <w:szCs w:val="30"/>
        </w:rPr>
        <w:t>XX</w:t>
      </w:r>
      <w:r>
        <w:rPr>
          <w:rFonts w:hint="eastAsia" w:ascii="仿宋" w:hAnsi="仿宋" w:eastAsia="仿宋_GB2312"/>
          <w:sz w:val="30"/>
          <w:szCs w:val="30"/>
        </w:rPr>
        <w:t>；</w:t>
      </w:r>
      <w:r>
        <w:rPr>
          <w:rFonts w:ascii="仿宋" w:hAnsi="仿宋" w:eastAsia="仿宋_GB2312"/>
          <w:sz w:val="30"/>
          <w:szCs w:val="30"/>
        </w:rPr>
        <w:t>XX</w:t>
      </w:r>
      <w:r>
        <w:rPr>
          <w:rFonts w:hint="eastAsia" w:ascii="仿宋" w:hAnsi="仿宋" w:eastAsia="仿宋_GB2312"/>
          <w:sz w:val="30"/>
          <w:szCs w:val="30"/>
        </w:rPr>
        <w:t>转债评级结果为：</w:t>
      </w:r>
      <w:r>
        <w:rPr>
          <w:rFonts w:ascii="仿宋" w:hAnsi="仿宋" w:eastAsia="仿宋_GB2312"/>
          <w:sz w:val="30"/>
          <w:szCs w:val="30"/>
        </w:rPr>
        <w:t>XX</w:t>
      </w:r>
      <w:r>
        <w:rPr>
          <w:rFonts w:hint="eastAsia" w:ascii="仿宋" w:hAnsi="仿宋" w:eastAsia="仿宋_GB2312"/>
          <w:sz w:val="30"/>
          <w:szCs w:val="30"/>
        </w:rPr>
        <w:t>。本次评级调整后，</w:t>
      </w:r>
      <w:r>
        <w:rPr>
          <w:rFonts w:ascii="仿宋" w:hAnsi="仿宋" w:eastAsia="仿宋_GB2312"/>
          <w:sz w:val="30"/>
          <w:szCs w:val="30"/>
        </w:rPr>
        <w:t>XX</w:t>
      </w:r>
      <w:r>
        <w:rPr>
          <w:rFonts w:hint="eastAsia" w:ascii="仿宋" w:hAnsi="仿宋" w:eastAsia="仿宋_GB2312"/>
          <w:sz w:val="30"/>
          <w:szCs w:val="30"/>
        </w:rPr>
        <w:t>转债不可</w:t>
      </w:r>
      <w:r>
        <w:rPr>
          <w:rFonts w:ascii="仿宋" w:hAnsi="仿宋" w:eastAsia="仿宋_GB2312"/>
          <w:sz w:val="30"/>
          <w:szCs w:val="30"/>
        </w:rPr>
        <w:t>/</w:t>
      </w:r>
      <w:r>
        <w:rPr>
          <w:rFonts w:hint="eastAsia" w:ascii="仿宋" w:hAnsi="仿宋" w:eastAsia="仿宋_GB2312"/>
          <w:sz w:val="30"/>
          <w:szCs w:val="30"/>
        </w:rPr>
        <w:t>仍可作为债券质押式回购交易的质押券。</w:t>
      </w:r>
    </w:p>
    <w:p w14:paraId="0517DB8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本次信用评级报告《</w:t>
      </w:r>
      <w:r>
        <w:rPr>
          <w:rFonts w:ascii="仿宋" w:hAnsi="仿宋" w:eastAsia="仿宋_GB2312"/>
          <w:sz w:val="30"/>
          <w:szCs w:val="30"/>
        </w:rPr>
        <w:t>XXXX</w:t>
      </w:r>
      <w:r>
        <w:rPr>
          <w:rFonts w:hint="eastAsia" w:ascii="仿宋" w:hAnsi="仿宋" w:eastAsia="仿宋_GB2312"/>
          <w:sz w:val="30"/>
          <w:szCs w:val="30"/>
        </w:rPr>
        <w:t>》详见上海证券交易所网站（</w:t>
      </w:r>
      <w:r>
        <w:fldChar w:fldCharType="begin"/>
      </w:r>
      <w:r>
        <w:instrText xml:space="preserve"> HYPERLINK "http://www.sse.com.cn" </w:instrText>
      </w:r>
      <w:r>
        <w:fldChar w:fldCharType="separate"/>
      </w:r>
      <w:r>
        <w:rPr>
          <w:rFonts w:ascii="仿宋" w:hAnsi="仿宋" w:eastAsia="仿宋_GB2312"/>
          <w:sz w:val="30"/>
          <w:szCs w:val="30"/>
        </w:rPr>
        <w:t>www.sse.com.cn</w:t>
      </w:r>
      <w:r>
        <w:rPr>
          <w:rFonts w:ascii="仿宋" w:hAnsi="仿宋" w:eastAsia="仿宋_GB2312"/>
          <w:sz w:val="30"/>
          <w:szCs w:val="30"/>
        </w:rPr>
        <w:fldChar w:fldCharType="end"/>
      </w:r>
      <w:r>
        <w:rPr>
          <w:rFonts w:hint="eastAsia" w:ascii="仿宋" w:hAnsi="仿宋" w:eastAsia="仿宋_GB2312"/>
          <w:sz w:val="30"/>
          <w:szCs w:val="30"/>
        </w:rPr>
        <w:t>）。</w:t>
      </w:r>
    </w:p>
    <w:p w14:paraId="327D1874">
      <w:pPr>
        <w:adjustRightInd w:val="0"/>
        <w:snapToGrid w:val="0"/>
        <w:spacing w:line="560" w:lineRule="exact"/>
        <w:ind w:firstLine="600" w:firstLineChars="200"/>
        <w:jc w:val="left"/>
        <w:rPr>
          <w:rFonts w:ascii="仿宋" w:hAnsi="仿宋" w:eastAsia="仿宋_GB2312"/>
          <w:sz w:val="30"/>
          <w:szCs w:val="30"/>
        </w:rPr>
      </w:pPr>
    </w:p>
    <w:p w14:paraId="483157C2">
      <w:pPr>
        <w:adjustRightInd w:val="0"/>
        <w:snapToGrid w:val="0"/>
        <w:spacing w:line="560" w:lineRule="exact"/>
        <w:ind w:firstLine="600" w:firstLineChars="200"/>
        <w:jc w:val="left"/>
        <w:rPr>
          <w:rFonts w:ascii="仿宋" w:hAnsi="仿宋" w:eastAsia="仿宋_GB2312"/>
          <w:sz w:val="30"/>
          <w:szCs w:val="30"/>
        </w:rPr>
      </w:pPr>
      <w:r>
        <w:rPr>
          <w:rFonts w:hint="eastAsia" w:ascii="仿宋" w:hAnsi="仿宋" w:eastAsia="仿宋_GB2312"/>
          <w:sz w:val="30"/>
          <w:szCs w:val="30"/>
        </w:rPr>
        <w:t>特此公告。</w:t>
      </w:r>
      <w:r>
        <w:rPr>
          <w:rFonts w:ascii="仿宋" w:hAnsi="仿宋" w:eastAsia="仿宋_GB2312"/>
          <w:sz w:val="30"/>
          <w:szCs w:val="30"/>
        </w:rPr>
        <w:t xml:space="preserve"> </w:t>
      </w:r>
    </w:p>
    <w:p w14:paraId="7F6A2786">
      <w:pPr>
        <w:adjustRightInd w:val="0"/>
        <w:snapToGrid w:val="0"/>
        <w:spacing w:line="560" w:lineRule="exact"/>
        <w:ind w:firstLine="600" w:firstLineChars="200"/>
        <w:jc w:val="left"/>
        <w:rPr>
          <w:rFonts w:ascii="仿宋" w:hAnsi="仿宋" w:eastAsia="仿宋_GB2312"/>
          <w:sz w:val="30"/>
          <w:szCs w:val="30"/>
        </w:rPr>
      </w:pPr>
    </w:p>
    <w:p w14:paraId="0B58B1F8">
      <w:pPr>
        <w:adjustRightInd w:val="0"/>
        <w:snapToGrid w:val="0"/>
        <w:spacing w:line="560" w:lineRule="exact"/>
        <w:ind w:firstLine="600" w:firstLineChars="200"/>
        <w:jc w:val="right"/>
        <w:rPr>
          <w:rFonts w:ascii="仿宋" w:hAnsi="仿宋" w:eastAsia="仿宋_GB2312"/>
          <w:sz w:val="30"/>
          <w:szCs w:val="30"/>
        </w:rPr>
      </w:pPr>
      <w:r>
        <w:rPr>
          <w:rFonts w:ascii="仿宋" w:hAnsi="仿宋" w:eastAsia="仿宋_GB2312"/>
          <w:sz w:val="30"/>
          <w:szCs w:val="30"/>
        </w:rPr>
        <w:t>XXXX</w:t>
      </w:r>
      <w:r>
        <w:rPr>
          <w:rFonts w:hint="eastAsia" w:ascii="仿宋" w:hAnsi="仿宋" w:eastAsia="仿宋_GB2312"/>
          <w:sz w:val="30"/>
          <w:szCs w:val="30"/>
        </w:rPr>
        <w:t>股份有限公司董事会</w:t>
      </w:r>
    </w:p>
    <w:p w14:paraId="72E65882">
      <w:pPr>
        <w:adjustRightInd w:val="0"/>
        <w:snapToGrid w:val="0"/>
        <w:spacing w:line="560" w:lineRule="exact"/>
        <w:ind w:firstLine="600" w:firstLineChars="200"/>
        <w:jc w:val="right"/>
        <w:rPr>
          <w:rFonts w:ascii="仿宋" w:hAnsi="仿宋" w:eastAsia="仿宋_GB2312"/>
          <w:sz w:val="30"/>
          <w:szCs w:val="30"/>
        </w:rPr>
      </w:pPr>
      <w:r>
        <w:rPr>
          <w:rFonts w:hint="eastAsia" w:ascii="仿宋" w:hAnsi="仿宋" w:eastAsia="仿宋_GB2312"/>
          <w:sz w:val="30"/>
          <w:szCs w:val="30"/>
        </w:rPr>
        <w:t>年</w:t>
      </w:r>
      <w:r>
        <w:rPr>
          <w:rFonts w:ascii="仿宋" w:hAnsi="仿宋" w:eastAsia="仿宋_GB2312"/>
          <w:sz w:val="30"/>
          <w:szCs w:val="30"/>
        </w:rPr>
        <w:t xml:space="preserve">  </w:t>
      </w:r>
      <w:r>
        <w:rPr>
          <w:rFonts w:hint="eastAsia" w:ascii="仿宋" w:hAnsi="仿宋" w:eastAsia="仿宋_GB2312"/>
          <w:sz w:val="30"/>
          <w:szCs w:val="30"/>
        </w:rPr>
        <w:t>月</w:t>
      </w:r>
      <w:r>
        <w:rPr>
          <w:rFonts w:ascii="仿宋" w:hAnsi="仿宋" w:eastAsia="仿宋_GB2312"/>
          <w:sz w:val="30"/>
          <w:szCs w:val="30"/>
        </w:rPr>
        <w:t xml:space="preserve">  </w:t>
      </w:r>
      <w:r>
        <w:rPr>
          <w:rFonts w:hint="eastAsia" w:ascii="仿宋" w:hAnsi="仿宋" w:eastAsia="仿宋_GB2312"/>
          <w:sz w:val="30"/>
          <w:szCs w:val="30"/>
        </w:rPr>
        <w:t>日</w:t>
      </w:r>
    </w:p>
    <w:p w14:paraId="17B2145E">
      <w:pPr>
        <w:adjustRightInd w:val="0"/>
        <w:snapToGrid w:val="0"/>
        <w:spacing w:line="560" w:lineRule="exact"/>
        <w:ind w:firstLine="600" w:firstLineChars="200"/>
        <w:jc w:val="left"/>
        <w:rPr>
          <w:rFonts w:ascii="仿宋" w:hAnsi="仿宋" w:eastAsia="仿宋_GB2312"/>
          <w:sz w:val="30"/>
          <w:szCs w:val="30"/>
        </w:rPr>
      </w:pPr>
    </w:p>
    <w:p w14:paraId="49369D74">
      <w:pPr>
        <w:adjustRightInd w:val="0"/>
        <w:snapToGrid w:val="0"/>
        <w:spacing w:line="560" w:lineRule="exact"/>
        <w:ind w:firstLine="600" w:firstLineChars="200"/>
        <w:jc w:val="left"/>
        <w:rPr>
          <w:rFonts w:ascii="仿宋" w:hAnsi="仿宋" w:eastAsia="仿宋_GB2312"/>
          <w:sz w:val="30"/>
          <w:szCs w:val="30"/>
        </w:rPr>
      </w:pPr>
    </w:p>
    <w:p w14:paraId="7B8A0099">
      <w:pPr>
        <w:widowControl/>
        <w:jc w:val="left"/>
        <w:rPr>
          <w:rFonts w:ascii="仿宋" w:hAnsi="仿宋"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6959969"/>
    </w:sdtPr>
    <w:sdtContent>
      <w:p w14:paraId="232D22FB">
        <w:pPr>
          <w:pStyle w:val="11"/>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sdtContent>
  </w:sdt>
  <w:p w14:paraId="30D86BB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67C1">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abstractNum w:abstractNumId="1">
    <w:nsid w:val="1F610870"/>
    <w:multiLevelType w:val="multilevel"/>
    <w:tmpl w:val="1F61087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38030EAA"/>
    <w:multiLevelType w:val="multilevel"/>
    <w:tmpl w:val="38030EAA"/>
    <w:lvl w:ilvl="0" w:tentative="0">
      <w:start w:val="1"/>
      <w:numFmt w:val="bullet"/>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4">
    <w:nsid w:val="3E284C14"/>
    <w:multiLevelType w:val="multilevel"/>
    <w:tmpl w:val="3E284C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03C9E"/>
    <w:multiLevelType w:val="multilevel"/>
    <w:tmpl w:val="4BC03C9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627A3495"/>
    <w:multiLevelType w:val="multilevel"/>
    <w:tmpl w:val="627A3495"/>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8">
    <w:nsid w:val="6B7A7F86"/>
    <w:multiLevelType w:val="multilevel"/>
    <w:tmpl w:val="6B7A7F86"/>
    <w:lvl w:ilvl="0" w:tentative="0">
      <w:start w:val="1"/>
      <w:numFmt w:val="bullet"/>
      <w:lvlText w:val=""/>
      <w:lvlJc w:val="left"/>
      <w:pPr>
        <w:tabs>
          <w:tab w:val="left" w:pos="900"/>
        </w:tabs>
        <w:ind w:left="90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3D15925"/>
    <w:multiLevelType w:val="multilevel"/>
    <w:tmpl w:val="73D1592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9"/>
  </w:num>
  <w:num w:numId="3">
    <w:abstractNumId w:val="5"/>
  </w:num>
  <w:num w:numId="4">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3"/>
  </w:num>
  <w:num w:numId="6">
    <w:abstractNumId w:val="2"/>
  </w:num>
  <w:num w:numId="7">
    <w:abstractNumId w:val="0"/>
  </w:num>
  <w:num w:numId="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27"/>
    <w:rsid w:val="0000123A"/>
    <w:rsid w:val="00007E9C"/>
    <w:rsid w:val="000110FE"/>
    <w:rsid w:val="00012667"/>
    <w:rsid w:val="00014167"/>
    <w:rsid w:val="00016FD9"/>
    <w:rsid w:val="00025AEC"/>
    <w:rsid w:val="0003072B"/>
    <w:rsid w:val="000322A7"/>
    <w:rsid w:val="000343CA"/>
    <w:rsid w:val="0004299C"/>
    <w:rsid w:val="00042AC2"/>
    <w:rsid w:val="000451C6"/>
    <w:rsid w:val="00045205"/>
    <w:rsid w:val="00052AFA"/>
    <w:rsid w:val="00066478"/>
    <w:rsid w:val="0007049F"/>
    <w:rsid w:val="0007664E"/>
    <w:rsid w:val="00081B14"/>
    <w:rsid w:val="00084450"/>
    <w:rsid w:val="0009004F"/>
    <w:rsid w:val="00094DAF"/>
    <w:rsid w:val="000959B5"/>
    <w:rsid w:val="000A05E0"/>
    <w:rsid w:val="000B3D08"/>
    <w:rsid w:val="000B7300"/>
    <w:rsid w:val="000C3018"/>
    <w:rsid w:val="000C3716"/>
    <w:rsid w:val="000C4A73"/>
    <w:rsid w:val="000D2753"/>
    <w:rsid w:val="000D34C6"/>
    <w:rsid w:val="000E0D31"/>
    <w:rsid w:val="000E15CA"/>
    <w:rsid w:val="000E1A54"/>
    <w:rsid w:val="000E3518"/>
    <w:rsid w:val="000E3AAD"/>
    <w:rsid w:val="000E5270"/>
    <w:rsid w:val="000F45F7"/>
    <w:rsid w:val="000F72AB"/>
    <w:rsid w:val="00102280"/>
    <w:rsid w:val="0010315B"/>
    <w:rsid w:val="0010631C"/>
    <w:rsid w:val="00111A15"/>
    <w:rsid w:val="00117054"/>
    <w:rsid w:val="0011726D"/>
    <w:rsid w:val="00120835"/>
    <w:rsid w:val="00120E04"/>
    <w:rsid w:val="001213F9"/>
    <w:rsid w:val="00126255"/>
    <w:rsid w:val="00130C15"/>
    <w:rsid w:val="00132BDD"/>
    <w:rsid w:val="00133548"/>
    <w:rsid w:val="00134BB8"/>
    <w:rsid w:val="00141C80"/>
    <w:rsid w:val="00143F42"/>
    <w:rsid w:val="00147392"/>
    <w:rsid w:val="001546F0"/>
    <w:rsid w:val="00154F3D"/>
    <w:rsid w:val="001553F0"/>
    <w:rsid w:val="00155F5C"/>
    <w:rsid w:val="00156797"/>
    <w:rsid w:val="001625F2"/>
    <w:rsid w:val="0017098D"/>
    <w:rsid w:val="001730D6"/>
    <w:rsid w:val="0017363A"/>
    <w:rsid w:val="0017397A"/>
    <w:rsid w:val="00176DBD"/>
    <w:rsid w:val="00184D5D"/>
    <w:rsid w:val="00185AE7"/>
    <w:rsid w:val="00186F4F"/>
    <w:rsid w:val="0019215C"/>
    <w:rsid w:val="00197D85"/>
    <w:rsid w:val="001A05CE"/>
    <w:rsid w:val="001A48F2"/>
    <w:rsid w:val="001A6440"/>
    <w:rsid w:val="001B0869"/>
    <w:rsid w:val="001B0C2B"/>
    <w:rsid w:val="001B601D"/>
    <w:rsid w:val="001C0F1B"/>
    <w:rsid w:val="001C6A58"/>
    <w:rsid w:val="001C77D5"/>
    <w:rsid w:val="001E72FB"/>
    <w:rsid w:val="001F0188"/>
    <w:rsid w:val="001F39F2"/>
    <w:rsid w:val="001F7182"/>
    <w:rsid w:val="002170EA"/>
    <w:rsid w:val="00217890"/>
    <w:rsid w:val="00226699"/>
    <w:rsid w:val="0023080D"/>
    <w:rsid w:val="002339B5"/>
    <w:rsid w:val="002378E0"/>
    <w:rsid w:val="00246919"/>
    <w:rsid w:val="00257C10"/>
    <w:rsid w:val="00262311"/>
    <w:rsid w:val="00263C65"/>
    <w:rsid w:val="00267A9F"/>
    <w:rsid w:val="002712AD"/>
    <w:rsid w:val="002744D7"/>
    <w:rsid w:val="00280545"/>
    <w:rsid w:val="00284F40"/>
    <w:rsid w:val="00285192"/>
    <w:rsid w:val="002919A2"/>
    <w:rsid w:val="002920BF"/>
    <w:rsid w:val="002944F2"/>
    <w:rsid w:val="002B208B"/>
    <w:rsid w:val="002B29E7"/>
    <w:rsid w:val="002B38EE"/>
    <w:rsid w:val="002C1CDE"/>
    <w:rsid w:val="002C5B6B"/>
    <w:rsid w:val="002C5CC5"/>
    <w:rsid w:val="002D0322"/>
    <w:rsid w:val="002D15EC"/>
    <w:rsid w:val="002D4E62"/>
    <w:rsid w:val="002D708A"/>
    <w:rsid w:val="002E3F93"/>
    <w:rsid w:val="002E721E"/>
    <w:rsid w:val="002F24DB"/>
    <w:rsid w:val="002F4625"/>
    <w:rsid w:val="00300A15"/>
    <w:rsid w:val="00300E85"/>
    <w:rsid w:val="00307804"/>
    <w:rsid w:val="00312AA3"/>
    <w:rsid w:val="003156BE"/>
    <w:rsid w:val="003179A6"/>
    <w:rsid w:val="003334FB"/>
    <w:rsid w:val="00336075"/>
    <w:rsid w:val="003360F4"/>
    <w:rsid w:val="00337F4E"/>
    <w:rsid w:val="00340D7E"/>
    <w:rsid w:val="00342795"/>
    <w:rsid w:val="00345FB4"/>
    <w:rsid w:val="003521D9"/>
    <w:rsid w:val="00374843"/>
    <w:rsid w:val="00377437"/>
    <w:rsid w:val="003807EB"/>
    <w:rsid w:val="003811C3"/>
    <w:rsid w:val="00381E91"/>
    <w:rsid w:val="00381EEB"/>
    <w:rsid w:val="00395825"/>
    <w:rsid w:val="00397347"/>
    <w:rsid w:val="003A1614"/>
    <w:rsid w:val="003A5A69"/>
    <w:rsid w:val="003B5C21"/>
    <w:rsid w:val="003B6401"/>
    <w:rsid w:val="003B7332"/>
    <w:rsid w:val="003C0C01"/>
    <w:rsid w:val="003D0E5B"/>
    <w:rsid w:val="003D2DA8"/>
    <w:rsid w:val="003D7BCD"/>
    <w:rsid w:val="003E5439"/>
    <w:rsid w:val="003E5616"/>
    <w:rsid w:val="003F456E"/>
    <w:rsid w:val="00404244"/>
    <w:rsid w:val="0040789D"/>
    <w:rsid w:val="00407CD5"/>
    <w:rsid w:val="00410EA0"/>
    <w:rsid w:val="00412DD9"/>
    <w:rsid w:val="0041523D"/>
    <w:rsid w:val="00421D5B"/>
    <w:rsid w:val="004224AC"/>
    <w:rsid w:val="00426C84"/>
    <w:rsid w:val="004332C8"/>
    <w:rsid w:val="00433D27"/>
    <w:rsid w:val="00441405"/>
    <w:rsid w:val="0046078F"/>
    <w:rsid w:val="00461434"/>
    <w:rsid w:val="00462D87"/>
    <w:rsid w:val="004654FE"/>
    <w:rsid w:val="004678E1"/>
    <w:rsid w:val="0047063C"/>
    <w:rsid w:val="00483A5E"/>
    <w:rsid w:val="004951DE"/>
    <w:rsid w:val="004A1B29"/>
    <w:rsid w:val="004B7ADB"/>
    <w:rsid w:val="004B7D31"/>
    <w:rsid w:val="004B7E6E"/>
    <w:rsid w:val="004C2F2F"/>
    <w:rsid w:val="004C7157"/>
    <w:rsid w:val="004F1C62"/>
    <w:rsid w:val="004F221B"/>
    <w:rsid w:val="004F4580"/>
    <w:rsid w:val="004F60E7"/>
    <w:rsid w:val="00501839"/>
    <w:rsid w:val="00501E3E"/>
    <w:rsid w:val="00506980"/>
    <w:rsid w:val="00506D1A"/>
    <w:rsid w:val="005115B7"/>
    <w:rsid w:val="0051420B"/>
    <w:rsid w:val="005147B7"/>
    <w:rsid w:val="00514815"/>
    <w:rsid w:val="005158DA"/>
    <w:rsid w:val="00516959"/>
    <w:rsid w:val="00517215"/>
    <w:rsid w:val="0051749E"/>
    <w:rsid w:val="00525053"/>
    <w:rsid w:val="00526D36"/>
    <w:rsid w:val="00532308"/>
    <w:rsid w:val="00536CF2"/>
    <w:rsid w:val="0054373A"/>
    <w:rsid w:val="00546AA4"/>
    <w:rsid w:val="00546D19"/>
    <w:rsid w:val="00560718"/>
    <w:rsid w:val="00561003"/>
    <w:rsid w:val="00565417"/>
    <w:rsid w:val="0057422D"/>
    <w:rsid w:val="0057483D"/>
    <w:rsid w:val="0057667A"/>
    <w:rsid w:val="00581197"/>
    <w:rsid w:val="00581790"/>
    <w:rsid w:val="0058230A"/>
    <w:rsid w:val="0058608F"/>
    <w:rsid w:val="00590AA6"/>
    <w:rsid w:val="005910B5"/>
    <w:rsid w:val="00594366"/>
    <w:rsid w:val="00594AD9"/>
    <w:rsid w:val="005B0926"/>
    <w:rsid w:val="005C335F"/>
    <w:rsid w:val="005C4038"/>
    <w:rsid w:val="005D1738"/>
    <w:rsid w:val="005D18A5"/>
    <w:rsid w:val="005D256A"/>
    <w:rsid w:val="005E3FF8"/>
    <w:rsid w:val="005E47A8"/>
    <w:rsid w:val="005E6D07"/>
    <w:rsid w:val="005F37B8"/>
    <w:rsid w:val="005F7C31"/>
    <w:rsid w:val="00600BCD"/>
    <w:rsid w:val="006059AB"/>
    <w:rsid w:val="00615B38"/>
    <w:rsid w:val="006209C0"/>
    <w:rsid w:val="0062169C"/>
    <w:rsid w:val="00635346"/>
    <w:rsid w:val="00635680"/>
    <w:rsid w:val="00667B1D"/>
    <w:rsid w:val="0067064C"/>
    <w:rsid w:val="00675077"/>
    <w:rsid w:val="00677132"/>
    <w:rsid w:val="00684107"/>
    <w:rsid w:val="006870D0"/>
    <w:rsid w:val="00687E48"/>
    <w:rsid w:val="0069007B"/>
    <w:rsid w:val="0069232C"/>
    <w:rsid w:val="006A3F59"/>
    <w:rsid w:val="006A4ED7"/>
    <w:rsid w:val="006C2AD5"/>
    <w:rsid w:val="006C60DB"/>
    <w:rsid w:val="006D5F5A"/>
    <w:rsid w:val="006E151B"/>
    <w:rsid w:val="006F0B2E"/>
    <w:rsid w:val="006F1D05"/>
    <w:rsid w:val="007003A1"/>
    <w:rsid w:val="007006F6"/>
    <w:rsid w:val="007111AF"/>
    <w:rsid w:val="007168EE"/>
    <w:rsid w:val="007245EB"/>
    <w:rsid w:val="0072648A"/>
    <w:rsid w:val="007276E0"/>
    <w:rsid w:val="00730D17"/>
    <w:rsid w:val="00734D30"/>
    <w:rsid w:val="00737B2D"/>
    <w:rsid w:val="007415B1"/>
    <w:rsid w:val="00747758"/>
    <w:rsid w:val="007531DF"/>
    <w:rsid w:val="00756398"/>
    <w:rsid w:val="00764A5A"/>
    <w:rsid w:val="007741DC"/>
    <w:rsid w:val="00783240"/>
    <w:rsid w:val="007845A5"/>
    <w:rsid w:val="00784609"/>
    <w:rsid w:val="00784976"/>
    <w:rsid w:val="007955C1"/>
    <w:rsid w:val="00797070"/>
    <w:rsid w:val="007A2184"/>
    <w:rsid w:val="007B0ADA"/>
    <w:rsid w:val="007B0CF7"/>
    <w:rsid w:val="007B11FE"/>
    <w:rsid w:val="007B2D18"/>
    <w:rsid w:val="007B4347"/>
    <w:rsid w:val="007B7952"/>
    <w:rsid w:val="007B7E38"/>
    <w:rsid w:val="007C4415"/>
    <w:rsid w:val="007C6402"/>
    <w:rsid w:val="007D5008"/>
    <w:rsid w:val="007D5A99"/>
    <w:rsid w:val="007D649C"/>
    <w:rsid w:val="007E72CD"/>
    <w:rsid w:val="007E7883"/>
    <w:rsid w:val="007F102B"/>
    <w:rsid w:val="007F12E0"/>
    <w:rsid w:val="007F35EE"/>
    <w:rsid w:val="007F4A72"/>
    <w:rsid w:val="007F4B32"/>
    <w:rsid w:val="007F5D32"/>
    <w:rsid w:val="007F764F"/>
    <w:rsid w:val="00806EA6"/>
    <w:rsid w:val="00814035"/>
    <w:rsid w:val="00816684"/>
    <w:rsid w:val="0082718F"/>
    <w:rsid w:val="00830D6C"/>
    <w:rsid w:val="00837B12"/>
    <w:rsid w:val="00840151"/>
    <w:rsid w:val="008431B3"/>
    <w:rsid w:val="00853ECE"/>
    <w:rsid w:val="0085674C"/>
    <w:rsid w:val="00862F42"/>
    <w:rsid w:val="008669EA"/>
    <w:rsid w:val="00870FD0"/>
    <w:rsid w:val="0087798C"/>
    <w:rsid w:val="00892F11"/>
    <w:rsid w:val="008A3921"/>
    <w:rsid w:val="008A4226"/>
    <w:rsid w:val="008A7A04"/>
    <w:rsid w:val="008A7C4E"/>
    <w:rsid w:val="008B2AB4"/>
    <w:rsid w:val="008C0DD5"/>
    <w:rsid w:val="008C2A2E"/>
    <w:rsid w:val="008C2B7B"/>
    <w:rsid w:val="008D1F8E"/>
    <w:rsid w:val="008D274B"/>
    <w:rsid w:val="008D5756"/>
    <w:rsid w:val="008E5F1D"/>
    <w:rsid w:val="008F0B8B"/>
    <w:rsid w:val="008F5F23"/>
    <w:rsid w:val="008F6EE8"/>
    <w:rsid w:val="00903A46"/>
    <w:rsid w:val="00920844"/>
    <w:rsid w:val="00931050"/>
    <w:rsid w:val="009319F3"/>
    <w:rsid w:val="00931C9C"/>
    <w:rsid w:val="00936206"/>
    <w:rsid w:val="0094331A"/>
    <w:rsid w:val="009468F5"/>
    <w:rsid w:val="00947BC1"/>
    <w:rsid w:val="00953213"/>
    <w:rsid w:val="00955C0C"/>
    <w:rsid w:val="009563EC"/>
    <w:rsid w:val="009726C4"/>
    <w:rsid w:val="009808F3"/>
    <w:rsid w:val="00981C32"/>
    <w:rsid w:val="00982A6B"/>
    <w:rsid w:val="009A15CC"/>
    <w:rsid w:val="009A615A"/>
    <w:rsid w:val="009A731A"/>
    <w:rsid w:val="009B0558"/>
    <w:rsid w:val="009B2EB7"/>
    <w:rsid w:val="009B6670"/>
    <w:rsid w:val="009B670E"/>
    <w:rsid w:val="009C3ADF"/>
    <w:rsid w:val="009C4E9D"/>
    <w:rsid w:val="009C6B26"/>
    <w:rsid w:val="009C7129"/>
    <w:rsid w:val="009D6947"/>
    <w:rsid w:val="009D6E6C"/>
    <w:rsid w:val="009F31A2"/>
    <w:rsid w:val="009F3FD2"/>
    <w:rsid w:val="00A06250"/>
    <w:rsid w:val="00A144C6"/>
    <w:rsid w:val="00A14BD7"/>
    <w:rsid w:val="00A21012"/>
    <w:rsid w:val="00A213E5"/>
    <w:rsid w:val="00A23C43"/>
    <w:rsid w:val="00A24976"/>
    <w:rsid w:val="00A24CC6"/>
    <w:rsid w:val="00A2572D"/>
    <w:rsid w:val="00A273C8"/>
    <w:rsid w:val="00A35E51"/>
    <w:rsid w:val="00A4709C"/>
    <w:rsid w:val="00A475ED"/>
    <w:rsid w:val="00A62F23"/>
    <w:rsid w:val="00A63065"/>
    <w:rsid w:val="00A64F6B"/>
    <w:rsid w:val="00A67E9B"/>
    <w:rsid w:val="00A70561"/>
    <w:rsid w:val="00A71A10"/>
    <w:rsid w:val="00A720C8"/>
    <w:rsid w:val="00A75674"/>
    <w:rsid w:val="00A827ED"/>
    <w:rsid w:val="00A849A9"/>
    <w:rsid w:val="00A867C3"/>
    <w:rsid w:val="00A92BF3"/>
    <w:rsid w:val="00A93BC7"/>
    <w:rsid w:val="00A94654"/>
    <w:rsid w:val="00AA3C20"/>
    <w:rsid w:val="00AA716C"/>
    <w:rsid w:val="00AB37D2"/>
    <w:rsid w:val="00AB3D39"/>
    <w:rsid w:val="00AB5F4C"/>
    <w:rsid w:val="00AB698D"/>
    <w:rsid w:val="00AC0A65"/>
    <w:rsid w:val="00AC1C1E"/>
    <w:rsid w:val="00AD1EE6"/>
    <w:rsid w:val="00AD4BCB"/>
    <w:rsid w:val="00AE33AA"/>
    <w:rsid w:val="00AE72C4"/>
    <w:rsid w:val="00AF0C91"/>
    <w:rsid w:val="00AF17DF"/>
    <w:rsid w:val="00B001FF"/>
    <w:rsid w:val="00B0057B"/>
    <w:rsid w:val="00B00ADB"/>
    <w:rsid w:val="00B05868"/>
    <w:rsid w:val="00B129D0"/>
    <w:rsid w:val="00B13CFF"/>
    <w:rsid w:val="00B328A9"/>
    <w:rsid w:val="00B3301B"/>
    <w:rsid w:val="00B3793D"/>
    <w:rsid w:val="00B37CB4"/>
    <w:rsid w:val="00B40060"/>
    <w:rsid w:val="00B4194F"/>
    <w:rsid w:val="00B44BE4"/>
    <w:rsid w:val="00B46A2D"/>
    <w:rsid w:val="00B533BD"/>
    <w:rsid w:val="00B60798"/>
    <w:rsid w:val="00B72306"/>
    <w:rsid w:val="00B757DF"/>
    <w:rsid w:val="00B8080E"/>
    <w:rsid w:val="00B8415F"/>
    <w:rsid w:val="00B84C28"/>
    <w:rsid w:val="00B95D1C"/>
    <w:rsid w:val="00B96C9C"/>
    <w:rsid w:val="00BA595A"/>
    <w:rsid w:val="00BB2626"/>
    <w:rsid w:val="00BB7886"/>
    <w:rsid w:val="00BC297E"/>
    <w:rsid w:val="00BC3855"/>
    <w:rsid w:val="00BC5F7D"/>
    <w:rsid w:val="00BC6646"/>
    <w:rsid w:val="00BC7E79"/>
    <w:rsid w:val="00BD06CA"/>
    <w:rsid w:val="00BE0094"/>
    <w:rsid w:val="00BE198A"/>
    <w:rsid w:val="00BE48FC"/>
    <w:rsid w:val="00BE4C61"/>
    <w:rsid w:val="00BF036E"/>
    <w:rsid w:val="00BF0565"/>
    <w:rsid w:val="00BF720B"/>
    <w:rsid w:val="00BF7795"/>
    <w:rsid w:val="00C001CA"/>
    <w:rsid w:val="00C03DEA"/>
    <w:rsid w:val="00C073E9"/>
    <w:rsid w:val="00C1398F"/>
    <w:rsid w:val="00C249EC"/>
    <w:rsid w:val="00C33DE7"/>
    <w:rsid w:val="00C34769"/>
    <w:rsid w:val="00C35693"/>
    <w:rsid w:val="00C44BA1"/>
    <w:rsid w:val="00C52A53"/>
    <w:rsid w:val="00C60360"/>
    <w:rsid w:val="00C63515"/>
    <w:rsid w:val="00C701F7"/>
    <w:rsid w:val="00C71B30"/>
    <w:rsid w:val="00C739CE"/>
    <w:rsid w:val="00C763BD"/>
    <w:rsid w:val="00C83275"/>
    <w:rsid w:val="00C95680"/>
    <w:rsid w:val="00CA51C6"/>
    <w:rsid w:val="00CA53EF"/>
    <w:rsid w:val="00CA7441"/>
    <w:rsid w:val="00CD15A4"/>
    <w:rsid w:val="00CF141B"/>
    <w:rsid w:val="00CF38EC"/>
    <w:rsid w:val="00CF3C69"/>
    <w:rsid w:val="00D07449"/>
    <w:rsid w:val="00D11A0C"/>
    <w:rsid w:val="00D14F6D"/>
    <w:rsid w:val="00D21AE0"/>
    <w:rsid w:val="00D24CAB"/>
    <w:rsid w:val="00D27A9E"/>
    <w:rsid w:val="00D30081"/>
    <w:rsid w:val="00D3093D"/>
    <w:rsid w:val="00D334E9"/>
    <w:rsid w:val="00D40CF1"/>
    <w:rsid w:val="00D46533"/>
    <w:rsid w:val="00D47CC8"/>
    <w:rsid w:val="00D5017A"/>
    <w:rsid w:val="00D523F5"/>
    <w:rsid w:val="00D55F54"/>
    <w:rsid w:val="00D611CB"/>
    <w:rsid w:val="00D634A3"/>
    <w:rsid w:val="00D662D3"/>
    <w:rsid w:val="00D66BB2"/>
    <w:rsid w:val="00D74821"/>
    <w:rsid w:val="00D762C5"/>
    <w:rsid w:val="00D84B2E"/>
    <w:rsid w:val="00D96537"/>
    <w:rsid w:val="00D97867"/>
    <w:rsid w:val="00DA43D2"/>
    <w:rsid w:val="00DA4874"/>
    <w:rsid w:val="00DA7ADA"/>
    <w:rsid w:val="00DB0B9B"/>
    <w:rsid w:val="00DB19BC"/>
    <w:rsid w:val="00DB1F6A"/>
    <w:rsid w:val="00DC7F75"/>
    <w:rsid w:val="00DD5F2A"/>
    <w:rsid w:val="00DD6A5F"/>
    <w:rsid w:val="00DF1A23"/>
    <w:rsid w:val="00DF4F8D"/>
    <w:rsid w:val="00E00691"/>
    <w:rsid w:val="00E040F7"/>
    <w:rsid w:val="00E06E10"/>
    <w:rsid w:val="00E109FF"/>
    <w:rsid w:val="00E1327E"/>
    <w:rsid w:val="00E22D2C"/>
    <w:rsid w:val="00E26035"/>
    <w:rsid w:val="00E35B35"/>
    <w:rsid w:val="00E40671"/>
    <w:rsid w:val="00E41864"/>
    <w:rsid w:val="00E42378"/>
    <w:rsid w:val="00E428A7"/>
    <w:rsid w:val="00E43952"/>
    <w:rsid w:val="00E44756"/>
    <w:rsid w:val="00E46C98"/>
    <w:rsid w:val="00E55C5C"/>
    <w:rsid w:val="00E5625A"/>
    <w:rsid w:val="00E7075F"/>
    <w:rsid w:val="00E70DDA"/>
    <w:rsid w:val="00E801D0"/>
    <w:rsid w:val="00E822A7"/>
    <w:rsid w:val="00E8714E"/>
    <w:rsid w:val="00E952DB"/>
    <w:rsid w:val="00EA426B"/>
    <w:rsid w:val="00EB441E"/>
    <w:rsid w:val="00EB61BA"/>
    <w:rsid w:val="00EC48C2"/>
    <w:rsid w:val="00EC62A3"/>
    <w:rsid w:val="00EC7074"/>
    <w:rsid w:val="00EC7B3D"/>
    <w:rsid w:val="00ED2208"/>
    <w:rsid w:val="00ED47AB"/>
    <w:rsid w:val="00ED5F40"/>
    <w:rsid w:val="00EE4586"/>
    <w:rsid w:val="00EE7675"/>
    <w:rsid w:val="00EF5FAB"/>
    <w:rsid w:val="00EF6744"/>
    <w:rsid w:val="00F02ECC"/>
    <w:rsid w:val="00F05973"/>
    <w:rsid w:val="00F20F30"/>
    <w:rsid w:val="00F22EC2"/>
    <w:rsid w:val="00F23877"/>
    <w:rsid w:val="00F245D1"/>
    <w:rsid w:val="00F247C6"/>
    <w:rsid w:val="00F24F68"/>
    <w:rsid w:val="00F25434"/>
    <w:rsid w:val="00F2755E"/>
    <w:rsid w:val="00F57774"/>
    <w:rsid w:val="00F64CB6"/>
    <w:rsid w:val="00F7058E"/>
    <w:rsid w:val="00F74F7E"/>
    <w:rsid w:val="00F869E9"/>
    <w:rsid w:val="00F9080A"/>
    <w:rsid w:val="00F91BED"/>
    <w:rsid w:val="00F92E54"/>
    <w:rsid w:val="00F9337B"/>
    <w:rsid w:val="00F95B24"/>
    <w:rsid w:val="00FA4349"/>
    <w:rsid w:val="00FA5BBC"/>
    <w:rsid w:val="00FB0012"/>
    <w:rsid w:val="00FB39B1"/>
    <w:rsid w:val="00FC46B1"/>
    <w:rsid w:val="00FC4B4F"/>
    <w:rsid w:val="00FC6582"/>
    <w:rsid w:val="00FC76C7"/>
    <w:rsid w:val="00FC7BBC"/>
    <w:rsid w:val="00FD5A2B"/>
    <w:rsid w:val="00FD60E5"/>
    <w:rsid w:val="00FE1690"/>
    <w:rsid w:val="00FF23B2"/>
    <w:rsid w:val="00FF7377"/>
    <w:rsid w:val="1AED5707"/>
    <w:rsid w:val="23D04557"/>
    <w:rsid w:val="29280E5C"/>
    <w:rsid w:val="324A1D03"/>
    <w:rsid w:val="335A3EF2"/>
    <w:rsid w:val="344B3364"/>
    <w:rsid w:val="42BB7909"/>
    <w:rsid w:val="44497F34"/>
    <w:rsid w:val="451B323E"/>
    <w:rsid w:val="4C3C4D68"/>
    <w:rsid w:val="557B4C95"/>
    <w:rsid w:val="63620E65"/>
    <w:rsid w:val="69C61397"/>
    <w:rsid w:val="6AD219E2"/>
    <w:rsid w:val="724B4EC0"/>
    <w:rsid w:val="744F29B0"/>
    <w:rsid w:val="74C65F5F"/>
    <w:rsid w:val="768269AD"/>
    <w:rsid w:val="F37F0AE7"/>
    <w:rsid w:val="FFFFF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9"/>
    <w:semiHidden/>
    <w:unhideWhenUsed/>
    <w:qFormat/>
    <w:uiPriority w:val="99"/>
    <w:rPr>
      <w:rFonts w:ascii="宋体" w:eastAsia="宋体"/>
      <w:sz w:val="18"/>
      <w:szCs w:val="18"/>
    </w:rPr>
  </w:style>
  <w:style w:type="paragraph" w:styleId="6">
    <w:name w:val="annotation text"/>
    <w:basedOn w:val="1"/>
    <w:link w:val="37"/>
    <w:semiHidden/>
    <w:unhideWhenUsed/>
    <w:qFormat/>
    <w:uiPriority w:val="99"/>
    <w:pPr>
      <w:jc w:val="left"/>
    </w:pPr>
  </w:style>
  <w:style w:type="paragraph" w:styleId="7">
    <w:name w:val="Body Text Indent"/>
    <w:basedOn w:val="1"/>
    <w:link w:val="27"/>
    <w:unhideWhenUsed/>
    <w:qFormat/>
    <w:uiPriority w:val="0"/>
    <w:pPr>
      <w:spacing w:after="120"/>
      <w:ind w:left="420" w:leftChars="200"/>
    </w:pPr>
    <w:rPr>
      <w:rFonts w:ascii="Times New Roman" w:hAnsi="Times New Roman" w:eastAsia="宋体" w:cs="Times New Roman"/>
      <w:szCs w:val="24"/>
    </w:rPr>
  </w:style>
  <w:style w:type="paragraph" w:styleId="8">
    <w:name w:val="toc 3"/>
    <w:basedOn w:val="1"/>
    <w:next w:val="1"/>
    <w:unhideWhenUsed/>
    <w:qFormat/>
    <w:uiPriority w:val="39"/>
    <w:pPr>
      <w:tabs>
        <w:tab w:val="right" w:leader="dot" w:pos="8296"/>
      </w:tabs>
      <w:spacing w:line="520" w:lineRule="exact"/>
      <w:ind w:left="840" w:leftChars="400"/>
    </w:pPr>
  </w:style>
  <w:style w:type="paragraph" w:styleId="9">
    <w:name w:val="Date"/>
    <w:basedOn w:val="1"/>
    <w:next w:val="1"/>
    <w:link w:val="28"/>
    <w:unhideWhenUsed/>
    <w:qFormat/>
    <w:uiPriority w:val="0"/>
    <w:pPr>
      <w:ind w:left="100" w:leftChars="2500"/>
    </w:pPr>
    <w:rPr>
      <w:rFonts w:ascii="Times New Roman" w:hAnsi="Times New Roman" w:eastAsia="宋体" w:cs="Times New Roman"/>
      <w:szCs w:val="24"/>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spacing w:line="400" w:lineRule="exact"/>
    </w:pPr>
  </w:style>
  <w:style w:type="paragraph" w:styleId="14">
    <w:name w:val="toc 2"/>
    <w:basedOn w:val="1"/>
    <w:next w:val="1"/>
    <w:unhideWhenUsed/>
    <w:qFormat/>
    <w:uiPriority w:val="39"/>
    <w:pPr>
      <w:tabs>
        <w:tab w:val="right" w:leader="dot" w:pos="8296"/>
      </w:tabs>
      <w:spacing w:line="520" w:lineRule="exact"/>
      <w:ind w:left="420" w:leftChars="200"/>
    </w:pPr>
    <w:rPr>
      <w:rFonts w:ascii="仿宋" w:hAnsi="仿宋" w:eastAsia="仿宋_GB2312" w:cs="宋体"/>
      <w:b/>
      <w:bCs/>
      <w:kern w:val="0"/>
      <w:sz w:val="30"/>
      <w:szCs w:val="30"/>
    </w:rPr>
  </w:style>
  <w:style w:type="paragraph" w:styleId="15">
    <w:name w:val="Normal (Web)"/>
    <w:basedOn w:val="1"/>
    <w:link w:val="4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9"/>
    <w:qFormat/>
    <w:uiPriority w:val="10"/>
    <w:pPr>
      <w:spacing w:before="240" w:after="60"/>
      <w:jc w:val="center"/>
      <w:outlineLvl w:val="0"/>
    </w:pPr>
    <w:rPr>
      <w:rFonts w:eastAsia="宋体" w:asciiTheme="majorHAnsi" w:hAnsiTheme="majorHAnsi" w:cstheme="majorBidi"/>
      <w:b/>
      <w:bCs/>
      <w:sz w:val="30"/>
      <w:szCs w:val="32"/>
    </w:rPr>
  </w:style>
  <w:style w:type="paragraph" w:styleId="17">
    <w:name w:val="annotation subject"/>
    <w:basedOn w:val="6"/>
    <w:next w:val="6"/>
    <w:link w:val="38"/>
    <w:semiHidden/>
    <w:unhideWhenUsed/>
    <w:qFormat/>
    <w:uiPriority w:val="99"/>
    <w:rPr>
      <w:b/>
      <w:bCs/>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2"/>
    <w:qFormat/>
    <w:uiPriority w:val="99"/>
    <w:rPr>
      <w:sz w:val="18"/>
      <w:szCs w:val="18"/>
    </w:rPr>
  </w:style>
  <w:style w:type="character" w:customStyle="1" w:styleId="23">
    <w:name w:val="页脚 字符"/>
    <w:basedOn w:val="19"/>
    <w:link w:val="11"/>
    <w:qFormat/>
    <w:uiPriority w:val="99"/>
    <w:rPr>
      <w:sz w:val="18"/>
      <w:szCs w:val="18"/>
    </w:rPr>
  </w:style>
  <w:style w:type="character" w:customStyle="1" w:styleId="24">
    <w:name w:val="标题 1 Char"/>
    <w:basedOn w:val="19"/>
    <w:qFormat/>
    <w:uiPriority w:val="9"/>
    <w:rPr>
      <w:b/>
      <w:bCs/>
      <w:kern w:val="44"/>
      <w:sz w:val="44"/>
      <w:szCs w:val="44"/>
    </w:rPr>
  </w:style>
  <w:style w:type="character" w:customStyle="1" w:styleId="25">
    <w:name w:val="标题 1 字符"/>
    <w:basedOn w:val="19"/>
    <w:link w:val="2"/>
    <w:qFormat/>
    <w:uiPriority w:val="0"/>
    <w:rPr>
      <w:rFonts w:ascii="Times New Roman" w:hAnsi="Times New Roman" w:eastAsia="宋体" w:cs="Times New Roman"/>
      <w:b/>
      <w:bCs/>
      <w:kern w:val="44"/>
      <w:sz w:val="44"/>
      <w:szCs w:val="44"/>
    </w:rPr>
  </w:style>
  <w:style w:type="character" w:customStyle="1" w:styleId="26">
    <w:name w:val="正文文本缩进 Char"/>
    <w:basedOn w:val="19"/>
    <w:semiHidden/>
    <w:qFormat/>
    <w:uiPriority w:val="99"/>
  </w:style>
  <w:style w:type="character" w:customStyle="1" w:styleId="27">
    <w:name w:val="正文文本缩进 字符"/>
    <w:basedOn w:val="19"/>
    <w:link w:val="7"/>
    <w:qFormat/>
    <w:uiPriority w:val="0"/>
    <w:rPr>
      <w:rFonts w:ascii="Times New Roman" w:hAnsi="Times New Roman" w:eastAsia="宋体" w:cs="Times New Roman"/>
      <w:szCs w:val="24"/>
    </w:rPr>
  </w:style>
  <w:style w:type="character" w:customStyle="1" w:styleId="28">
    <w:name w:val="日期 字符"/>
    <w:basedOn w:val="19"/>
    <w:link w:val="9"/>
    <w:qFormat/>
    <w:uiPriority w:val="0"/>
    <w:rPr>
      <w:rFonts w:ascii="Times New Roman" w:hAnsi="Times New Roman" w:eastAsia="宋体" w:cs="Times New Roman"/>
      <w:szCs w:val="24"/>
    </w:rPr>
  </w:style>
  <w:style w:type="character" w:customStyle="1" w:styleId="29">
    <w:name w:val="标题 字符"/>
    <w:basedOn w:val="19"/>
    <w:link w:val="16"/>
    <w:qFormat/>
    <w:uiPriority w:val="10"/>
    <w:rPr>
      <w:rFonts w:eastAsia="宋体" w:asciiTheme="majorHAnsi" w:hAnsiTheme="majorHAnsi" w:cstheme="majorBidi"/>
      <w:b/>
      <w:bCs/>
      <w:sz w:val="30"/>
      <w:szCs w:val="32"/>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9"/>
    <w:link w:val="10"/>
    <w:semiHidden/>
    <w:qFormat/>
    <w:uiPriority w:val="99"/>
    <w:rPr>
      <w:sz w:val="18"/>
      <w:szCs w:val="18"/>
    </w:rPr>
  </w:style>
  <w:style w:type="paragraph" w:customStyle="1" w:styleId="33">
    <w:name w:val="列出段落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4">
    <w:name w:val="List Paragraph"/>
    <w:basedOn w:val="1"/>
    <w:qFormat/>
    <w:uiPriority w:val="34"/>
    <w:pPr>
      <w:ind w:firstLine="420" w:firstLineChars="200"/>
    </w:pPr>
    <w:rPr>
      <w:rFonts w:ascii="宋体" w:hAnsi="宋体" w:eastAsia="宋体"/>
      <w:sz w:val="24"/>
    </w:rPr>
  </w:style>
  <w:style w:type="character" w:customStyle="1" w:styleId="35">
    <w:name w:val="标题 2 字符"/>
    <w:basedOn w:val="19"/>
    <w:link w:val="3"/>
    <w:qFormat/>
    <w:uiPriority w:val="9"/>
    <w:rPr>
      <w:rFonts w:asciiTheme="majorHAnsi" w:hAnsiTheme="majorHAnsi" w:eastAsiaTheme="majorEastAsia" w:cstheme="majorBidi"/>
      <w:b/>
      <w:bCs/>
      <w:sz w:val="32"/>
      <w:szCs w:val="32"/>
    </w:rPr>
  </w:style>
  <w:style w:type="character" w:customStyle="1" w:styleId="36">
    <w:name w:val="标题 3 字符"/>
    <w:basedOn w:val="19"/>
    <w:link w:val="4"/>
    <w:qFormat/>
    <w:uiPriority w:val="9"/>
    <w:rPr>
      <w:rFonts w:ascii="黑体" w:hAnsi="黑体" w:eastAsia="黑体"/>
      <w:b/>
      <w:bCs/>
      <w:sz w:val="36"/>
      <w:szCs w:val="36"/>
    </w:rPr>
  </w:style>
  <w:style w:type="character" w:customStyle="1" w:styleId="37">
    <w:name w:val="批注文字 字符"/>
    <w:basedOn w:val="19"/>
    <w:link w:val="6"/>
    <w:semiHidden/>
    <w:qFormat/>
    <w:uiPriority w:val="99"/>
  </w:style>
  <w:style w:type="character" w:customStyle="1" w:styleId="38">
    <w:name w:val="批注主题 字符"/>
    <w:basedOn w:val="37"/>
    <w:link w:val="17"/>
    <w:semiHidden/>
    <w:qFormat/>
    <w:uiPriority w:val="99"/>
    <w:rPr>
      <w:b/>
      <w:bCs/>
    </w:rPr>
  </w:style>
  <w:style w:type="character" w:customStyle="1" w:styleId="39">
    <w:name w:val="文档结构图 字符"/>
    <w:basedOn w:val="19"/>
    <w:link w:val="5"/>
    <w:semiHidden/>
    <w:qFormat/>
    <w:uiPriority w:val="99"/>
    <w:rPr>
      <w:rFonts w:ascii="宋体" w:eastAsia="宋体"/>
      <w:sz w:val="18"/>
      <w:szCs w:val="18"/>
    </w:rPr>
  </w:style>
  <w:style w:type="character" w:customStyle="1" w:styleId="40">
    <w:name w:val="普通(网站) 字符"/>
    <w:basedOn w:val="19"/>
    <w:link w:val="15"/>
    <w:qFormat/>
    <w:uiPriority w:val="99"/>
    <w:rPr>
      <w:rFonts w:ascii="宋体" w:hAnsi="宋体" w:eastAsia="宋体" w:cs="宋体"/>
      <w:kern w:val="0"/>
      <w:sz w:val="24"/>
      <w:szCs w:val="24"/>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2">
    <w:name w:val="未处理的提及1"/>
    <w:basedOn w:val="19"/>
    <w:semiHidden/>
    <w:unhideWhenUsed/>
    <w:qFormat/>
    <w:uiPriority w:val="99"/>
    <w:rPr>
      <w:color w:val="605E5C"/>
      <w:shd w:val="clear" w:color="auto" w:fill="E1DFDD"/>
    </w:rPr>
  </w:style>
  <w:style w:type="paragraph" w:customStyle="1" w:styleId="4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3409</Words>
  <Characters>19434</Characters>
  <Lines>161</Lines>
  <Paragraphs>45</Paragraphs>
  <TotalTime>64</TotalTime>
  <ScaleCrop>false</ScaleCrop>
  <LinksUpToDate>false</LinksUpToDate>
  <CharactersWithSpaces>22798</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2025-05-09T09:34:00Z</dcterms:created>
  <dcterms:modified xsi:type="dcterms:W3CDTF">2025-08-25T15:46:39Z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13107E6A4C8E42A0AAF2B1234A7AF08E_13</vt:lpwstr>
  </property>
</Properties>
</file>