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01C6F2">
      <w:pPr>
        <w:pStyle w:val="2"/>
        <w:spacing w:before="0" w:after="0" w:line="600" w:lineRule="exact"/>
        <w:jc w:val="center"/>
        <w:rPr>
          <w:rFonts w:hint="eastAsia" w:ascii="黑体" w:hAnsi="黑体" w:eastAsia="黑体"/>
          <w:sz w:val="36"/>
          <w:szCs w:val="36"/>
        </w:rPr>
      </w:pPr>
      <w:bookmarkStart w:id="0" w:name="_Toc356840100"/>
      <w:r>
        <w:rPr>
          <w:rFonts w:hint="eastAsia" w:ascii="黑体" w:hAnsi="黑体" w:eastAsia="黑体"/>
          <w:sz w:val="36"/>
          <w:szCs w:val="36"/>
        </w:rPr>
        <w:t>科创板上市公司现金选择权申报</w:t>
      </w:r>
    </w:p>
    <w:bookmarkEnd w:id="0"/>
    <w:p w14:paraId="0A01C6F3">
      <w:pPr>
        <w:spacing w:line="600" w:lineRule="exact"/>
        <w:jc w:val="center"/>
        <w:rPr>
          <w:rFonts w:ascii="仿宋_GB2312" w:eastAsia="仿宋_GB2312"/>
          <w:sz w:val="24"/>
          <w:szCs w:val="28"/>
        </w:rPr>
      </w:pPr>
      <w:r>
        <w:rPr>
          <w:rFonts w:hint="eastAsia" w:ascii="仿宋_GB2312" w:hAnsi="宋体" w:eastAsia="仿宋_GB2312" w:cs="宋体"/>
          <w:color w:val="0000FF"/>
          <w:kern w:val="0"/>
          <w:sz w:val="24"/>
          <w:szCs w:val="28"/>
        </w:rPr>
        <w:t>（此公告涉及业务流程及操作，请按相关要求逐项编制公告，勿随意删改）</w:t>
      </w:r>
    </w:p>
    <w:p w14:paraId="0A01C6F4">
      <w:pPr>
        <w:pStyle w:val="23"/>
        <w:snapToGrid w:val="0"/>
        <w:spacing w:line="560" w:lineRule="exact"/>
        <w:jc w:val="left"/>
        <w:rPr>
          <w:rFonts w:ascii="宋体"/>
        </w:rPr>
      </w:pPr>
    </w:p>
    <w:p w14:paraId="0A01C6F5">
      <w:pPr>
        <w:adjustRightInd w:val="0"/>
        <w:snapToGrid w:val="0"/>
        <w:spacing w:line="56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适用情形：</w:t>
      </w:r>
    </w:p>
    <w:p w14:paraId="0A01C6F6">
      <w:pPr>
        <w:spacing w:line="56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1.上市公司拟实施合并、分立、收</w:t>
      </w:r>
      <w:bookmarkStart w:id="2" w:name="_GoBack"/>
      <w:bookmarkEnd w:id="2"/>
      <w:r>
        <w:rPr>
          <w:rFonts w:hint="eastAsia" w:ascii="仿宋_GB2312" w:hAnsi="Calibri" w:eastAsia="仿宋_GB2312"/>
          <w:color w:val="000000"/>
          <w:sz w:val="30"/>
          <w:szCs w:val="30"/>
        </w:rPr>
        <w:t>购、主动退市等重大事项时，相关当事人可依据</w:t>
      </w:r>
      <w:r>
        <w:rPr>
          <w:rFonts w:ascii="仿宋_GB2312" w:hAnsi="Calibri" w:eastAsia="仿宋_GB2312"/>
          <w:color w:val="000000"/>
          <w:sz w:val="30"/>
          <w:szCs w:val="30"/>
        </w:rPr>
        <w:t>《上市公司收购管理办法》《上市公司重大资产重组管理办法》</w:t>
      </w:r>
      <w:r>
        <w:rPr>
          <w:rFonts w:hint="eastAsia" w:ascii="仿宋_GB2312" w:hAnsi="Calibri" w:eastAsia="仿宋_GB2312"/>
          <w:color w:val="000000"/>
          <w:sz w:val="30"/>
          <w:szCs w:val="30"/>
        </w:rPr>
        <w:t>《上海证券交易所科创板股票上市规则》</w:t>
      </w:r>
      <w:r>
        <w:rPr>
          <w:rFonts w:ascii="仿宋_GB2312" w:hAnsi="Calibri" w:eastAsia="仿宋_GB2312"/>
          <w:color w:val="000000"/>
          <w:sz w:val="30"/>
          <w:szCs w:val="30"/>
        </w:rPr>
        <w:t>等有关规定</w:t>
      </w:r>
      <w:r>
        <w:rPr>
          <w:rFonts w:hint="eastAsia" w:ascii="仿宋_GB2312" w:hAnsi="Calibri" w:eastAsia="仿宋_GB2312"/>
          <w:color w:val="000000"/>
          <w:sz w:val="30"/>
          <w:szCs w:val="30"/>
        </w:rPr>
        <w:t>，通过本所交易系统向股东提供现金选择权。</w:t>
      </w:r>
    </w:p>
    <w:p w14:paraId="0A01C6FB">
      <w:pPr>
        <w:adjustRightInd/>
        <w:snapToGrid/>
        <w:spacing w:line="560" w:lineRule="exact"/>
        <w:ind w:firstLine="600" w:firstLineChars="200"/>
        <w:rPr>
          <w:rFonts w:ascii="仿宋_GB2312" w:hAnsi="Calibri" w:eastAsia="仿宋_GB2312"/>
          <w:color w:val="000000"/>
          <w:sz w:val="30"/>
          <w:szCs w:val="30"/>
        </w:rPr>
      </w:pPr>
      <w:r>
        <w:rPr>
          <w:rFonts w:ascii="仿宋_GB2312" w:hAnsi="Calibri" w:eastAsia="仿宋_GB2312"/>
          <w:color w:val="000000"/>
          <w:sz w:val="30"/>
          <w:szCs w:val="30"/>
        </w:rPr>
        <w:t>2.</w:t>
      </w:r>
      <w:r>
        <w:rPr>
          <w:rFonts w:hint="eastAsia" w:ascii="仿宋_GB2312" w:hAnsi="Calibri" w:eastAsia="仿宋_GB2312"/>
          <w:color w:val="000000"/>
          <w:sz w:val="30"/>
          <w:szCs w:val="30"/>
        </w:rPr>
        <w:t>上市公司应当根据申报主体是全体股东或异议股东调整表述。</w:t>
      </w:r>
    </w:p>
    <w:sdt>
      <w:sdtPr>
        <w:rPr>
          <w:rFonts w:ascii="Times New Roman" w:hAnsi="Times New Roman" w:eastAsia="宋体" w:cs="Times New Roman"/>
          <w:color w:val="auto"/>
          <w:kern w:val="2"/>
          <w:sz w:val="21"/>
          <w:szCs w:val="20"/>
          <w:lang w:val="zh-CN"/>
        </w:rPr>
        <w:id w:val="209798030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0A01C6FC">
          <w:pPr>
            <w:pStyle w:val="27"/>
            <w:spacing w:before="0" w:line="560" w:lineRule="exact"/>
          </w:pPr>
        </w:p>
        <w:p w14:paraId="0A01C6FF">
          <w:pPr>
            <w:spacing w:line="560" w:lineRule="exact"/>
          </w:pPr>
        </w:p>
      </w:sdtContent>
    </w:sdt>
    <w:p w14:paraId="0A01C700">
      <w:pPr>
        <w:widowControl/>
        <w:spacing w:line="560" w:lineRule="exact"/>
        <w:jc w:val="left"/>
        <w:rPr>
          <w:rFonts w:hint="eastAsia" w:ascii="仿宋_GB2312" w:hAnsi="宋体" w:eastAsia="仿宋_GB2312"/>
          <w:sz w:val="30"/>
          <w:szCs w:val="30"/>
        </w:rPr>
      </w:pPr>
      <w:r>
        <w:rPr>
          <w:rFonts w:ascii="仿宋_GB2312" w:hAnsi="宋体" w:eastAsia="仿宋_GB2312"/>
          <w:sz w:val="30"/>
          <w:szCs w:val="30"/>
        </w:rPr>
        <w:br w:type="page"/>
      </w:r>
    </w:p>
    <w:p w14:paraId="0A01C701">
      <w:pPr>
        <w:pStyle w:val="3"/>
        <w:spacing w:before="0" w:after="0" w:line="560" w:lineRule="exact"/>
        <w:jc w:val="center"/>
        <w:rPr>
          <w:rFonts w:hint="eastAsia" w:ascii="黑体" w:hAnsi="黑体" w:eastAsia="黑体"/>
        </w:rPr>
      </w:pPr>
      <w:bookmarkStart w:id="1" w:name="_Toc101730899"/>
      <w:r>
        <w:rPr>
          <w:rFonts w:hint="eastAsia" w:ascii="黑体" w:hAnsi="黑体" w:eastAsia="黑体"/>
        </w:rPr>
        <w:t>现金选择权实施公告</w:t>
      </w:r>
      <w:bookmarkEnd w:id="1"/>
    </w:p>
    <w:p w14:paraId="0A01C702">
      <w:pPr>
        <w:adjustRightInd w:val="0"/>
        <w:snapToGrid w:val="0"/>
        <w:spacing w:line="560" w:lineRule="exact"/>
        <w:rPr>
          <w:rFonts w:hint="eastAsia" w:ascii="仿宋_GB2312" w:hAnsi="宋体" w:eastAsia="仿宋_GB2312"/>
          <w:sz w:val="30"/>
          <w:szCs w:val="30"/>
        </w:rPr>
      </w:pPr>
    </w:p>
    <w:p w14:paraId="0A01C703">
      <w:pPr>
        <w:adjustRightInd w:val="0"/>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0A01C704">
      <w:pPr>
        <w:adjustRightInd w:val="0"/>
        <w:snapToGrid w:val="0"/>
        <w:spacing w:line="560" w:lineRule="exact"/>
        <w:jc w:val="left"/>
        <w:rPr>
          <w:rFonts w:hint="eastAsia" w:ascii="仿宋_GB2312" w:hAnsi="宋体" w:eastAsia="仿宋_GB2312"/>
          <w:sz w:val="30"/>
          <w:szCs w:val="30"/>
        </w:rPr>
      </w:pPr>
    </w:p>
    <w:p w14:paraId="0A01C705">
      <w:pPr>
        <w:adjustRightInd w:val="0"/>
        <w:snapToGrid w:val="0"/>
        <w:spacing w:line="560" w:lineRule="exact"/>
        <w:jc w:val="center"/>
        <w:rPr>
          <w:rFonts w:hint="eastAsia"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公司异议股东（或全体股东）现金选择权实施公告</w:t>
      </w:r>
    </w:p>
    <w:p w14:paraId="0A01C707">
      <w:pPr>
        <w:pStyle w:val="23"/>
        <w:spacing w:line="560" w:lineRule="exact"/>
        <w:jc w:val="center"/>
        <w:rPr>
          <w:rFonts w:hint="eastAsia" w:ascii="仿宋_GB2312" w:hAnsi="仿宋_GB2312" w:eastAsia="仿宋_GB2312" w:cs="仿宋_GB2312"/>
          <w:color w:val="000000"/>
          <w:sz w:val="30"/>
          <w:szCs w:val="30"/>
        </w:rPr>
      </w:pPr>
    </w:p>
    <w:p w14:paraId="0A01C70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14:paraId="0A01C70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14:paraId="0A01C70A">
      <w:pPr>
        <w:pStyle w:val="23"/>
        <w:snapToGrid w:val="0"/>
        <w:spacing w:line="560" w:lineRule="exact"/>
        <w:rPr>
          <w:rFonts w:hint="eastAsia" w:ascii="仿宋_GB2312" w:hAnsi="仿宋_GB2312" w:eastAsia="仿宋_GB2312" w:cs="仿宋_GB2312"/>
          <w:b/>
          <w:bCs/>
          <w:color w:val="000000"/>
          <w:sz w:val="30"/>
          <w:szCs w:val="30"/>
        </w:rPr>
      </w:pPr>
    </w:p>
    <w:p w14:paraId="0A01C70B">
      <w:pPr>
        <w:tabs>
          <w:tab w:val="left" w:pos="0"/>
        </w:tabs>
        <w:autoSpaceDE w:val="0"/>
        <w:autoSpaceDN w:val="0"/>
        <w:adjustRightInd w:val="0"/>
        <w:snapToGrid w:val="0"/>
        <w:spacing w:line="560" w:lineRule="exact"/>
        <w:ind w:firstLine="602" w:firstLineChars="200"/>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14:paraId="0A01C70C">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其中部分股东投出了有效反对票，该部分股东就其所投有效反对票数量对应的异议股份（以下简称“异议股份”）享有股份现金选择权。本公司将通过上海证券交易所交易系统向异议股东提供平台申报，实施其所持异议股份的现金选择权，现就有关事项公告如下：（仅向异议股东提供现金选择权适用）</w:t>
      </w:r>
    </w:p>
    <w:p w14:paraId="0A01C70D">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本公司XXXX年XX月XX日召开的股东会审议通过了XX议案</w:t>
      </w:r>
      <w:r>
        <w:rPr>
          <w:rFonts w:hint="eastAsia" w:ascii="仿宋_GB2312" w:hAnsi="仿宋_GB2312" w:eastAsia="仿宋_GB2312" w:cs="仿宋_GB2312"/>
          <w:kern w:val="0"/>
          <w:sz w:val="30"/>
          <w:szCs w:val="30"/>
        </w:rPr>
        <w:t>，该议案审议通过给予股权登记日登记在册的本公司全体股东就其持有的本公司股份享有现金选择权。</w:t>
      </w:r>
      <w:r>
        <w:rPr>
          <w:rFonts w:hint="eastAsia" w:ascii="仿宋_GB2312" w:hAnsi="仿宋_GB2312" w:eastAsia="仿宋_GB2312" w:cs="仿宋_GB2312"/>
          <w:sz w:val="30"/>
          <w:szCs w:val="30"/>
        </w:rPr>
        <w:t>本公司将通过上海证券交易所交易系统向全体股东提供平台申报，实施其所持股份的现金选择权，现就有关事项公告如下：（向全体股东提供现金选择权适用）</w:t>
      </w:r>
    </w:p>
    <w:p w14:paraId="0A01C70E">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年XX月XX日[本公告披露日前一个交易日]本公司股票收盘价为XX.XX元/股，现金选择权行权价格为YY.YY元/股，申报行使现金选择权的股东将以YY.YY元/股的行权价格获得现金对价，敬请异议股东注意风险（如公告披露日前一个交易日的公司股票收盘价高于现金选择权行权价格，公司应当向投资者充分提示申报现金选择权</w:t>
      </w:r>
      <w:r>
        <w:rPr>
          <w:rFonts w:hint="eastAsia" w:ascii="仿宋_GB2312" w:hAnsi="仿宋_GB2312" w:eastAsia="仿宋_GB2312" w:cs="仿宋_GB2312"/>
          <w:sz w:val="30"/>
          <w:szCs w:val="30"/>
          <w:highlight w:val="none"/>
        </w:rPr>
        <w:t>可能</w:t>
      </w:r>
      <w:r>
        <w:rPr>
          <w:rFonts w:hint="eastAsia" w:ascii="仿宋_GB2312" w:hAnsi="仿宋_GB2312" w:eastAsia="仿宋_GB2312" w:cs="仿宋_GB2312"/>
          <w:sz w:val="30"/>
          <w:szCs w:val="30"/>
        </w:rPr>
        <w:t>导致投资损失）。</w:t>
      </w:r>
    </w:p>
    <w:p w14:paraId="0A01C70F">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股权登记日：XXXX年XX月XX日（T日）。</w:t>
      </w:r>
    </w:p>
    <w:p w14:paraId="0A01C710">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申报主体：截止股权登记日收市后持有有效异议股份的异议股东，非异议股东申报无效。（仅向异议股东提供现金选择权适用）</w:t>
      </w:r>
    </w:p>
    <w:p w14:paraId="0A01C711">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申报主体：截止股权登记日收市后持有本公司股份的股东。（向全体股东提供现金选择权适用）</w:t>
      </w:r>
    </w:p>
    <w:p w14:paraId="0A01C712">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w:t>
      </w:r>
    </w:p>
    <w:p w14:paraId="0A01C713">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申报编号：7XXXXX</w:t>
      </w:r>
    </w:p>
    <w:p w14:paraId="0A01C714">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申报简称：XX现金</w:t>
      </w:r>
    </w:p>
    <w:p w14:paraId="0A01C715">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申报方式：通过上海证券交易所交易系统网上申报</w:t>
      </w:r>
    </w:p>
    <w:p w14:paraId="0A01C716">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申报方向：申报卖出；“申报买入”为无效申报；申报有效期内，当天可以撤单，次日开始不得撤回。</w:t>
      </w:r>
    </w:p>
    <w:p w14:paraId="0A01C717">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XXX作为本次现金选择权提供方，受让全部有效申报行使现金选择权的股份。</w:t>
      </w:r>
    </w:p>
    <w:p w14:paraId="0A01C718">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投资者应当核对持有的异议股份数量，申报的非异议股份数量将在申报结束后继续被冻结，直至现金选择权实施完毕后解冻。</w:t>
      </w:r>
    </w:p>
    <w:p w14:paraId="0A01C719">
      <w:pPr>
        <w:numPr>
          <w:ilvl w:val="0"/>
          <w:numId w:val="1"/>
        </w:num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融资融券信用证券账户中持有公司股票且需要进行现金选择权申报的投资者，应在现金选择权实施股权登记日前完成将相应股票从信用证券账户划转至其对应的普通证券账户，并于申报期通过普通证券账户进行相关申报。（仅股票为融资融券标的适用）</w:t>
      </w:r>
    </w:p>
    <w:p w14:paraId="0A01C71A">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0A01C71B">
      <w:pPr>
        <w:adjustRightInd w:val="0"/>
        <w:snapToGrid w:val="0"/>
        <w:spacing w:line="560" w:lineRule="exact"/>
        <w:rPr>
          <w:rFonts w:hint="eastAsia" w:ascii="黑体" w:hAnsi="黑体" w:eastAsia="黑体" w:cs="黑体"/>
          <w:b/>
          <w:sz w:val="30"/>
          <w:szCs w:val="30"/>
        </w:rPr>
      </w:pPr>
      <w:r>
        <w:rPr>
          <w:rFonts w:hint="eastAsia" w:ascii="仿宋_GB2312" w:hAnsi="仿宋_GB2312" w:eastAsia="仿宋_GB2312" w:cs="仿宋_GB2312"/>
          <w:b/>
          <w:sz w:val="30"/>
          <w:szCs w:val="30"/>
        </w:rPr>
        <w:t xml:space="preserve">  </w:t>
      </w:r>
      <w:r>
        <w:rPr>
          <w:rFonts w:hint="eastAsia" w:ascii="黑体" w:hAnsi="黑体" w:eastAsia="黑体" w:cs="黑体"/>
          <w:b/>
          <w:sz w:val="30"/>
          <w:szCs w:val="30"/>
        </w:rPr>
        <w:t xml:space="preserve">  一、现金选择权申报基本情况</w:t>
      </w:r>
    </w:p>
    <w:p w14:paraId="0A01C71C">
      <w:pPr>
        <w:adjustRightInd w:val="0"/>
        <w:snapToGrid w:val="0"/>
        <w:spacing w:line="560" w:lineRule="exact"/>
        <w:ind w:firstLine="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（一）异议股东（仅向异议股东提供现金选择权适用）</w:t>
      </w:r>
    </w:p>
    <w:p w14:paraId="0A01C71D">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异议股东为在本公司XXXX年XX月XX日召开的股东会上对XX议案投出有效反对票的本公司股东；非异议股东的申报无效。</w:t>
      </w:r>
    </w:p>
    <w:p w14:paraId="0A01C71E">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股东会投出有效反对票的异议股份合计数为XX股。</w:t>
      </w:r>
    </w:p>
    <w:p w14:paraId="0A01C71F">
      <w:pPr>
        <w:adjustRightInd w:val="0"/>
        <w:snapToGrid w:val="0"/>
        <w:spacing w:line="560" w:lineRule="exact"/>
        <w:ind w:firstLine="480"/>
        <w:rPr>
          <w:rFonts w:hint="eastAsia" w:ascii="楷体" w:hAnsi="楷体" w:eastAsia="楷体" w:cs="仿宋_GB2312"/>
          <w:sz w:val="24"/>
          <w:szCs w:val="24"/>
        </w:rPr>
      </w:pPr>
      <w:r>
        <w:rPr>
          <w:rFonts w:hint="eastAsia" w:ascii="楷体" w:hAnsi="楷体" w:eastAsia="楷体" w:cs="仿宋_GB2312"/>
          <w:sz w:val="24"/>
          <w:szCs w:val="24"/>
        </w:rPr>
        <w:t>（编制提醒：上市公司可根据吸收合并方案对异议股东和有效异议股份的认定增加其他标准，如除在股东会上投出有效反对票外，是否有连续持股的要求等）</w:t>
      </w:r>
    </w:p>
    <w:p w14:paraId="0A01C720">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（一）申报主体（向全体股东提供现金选择权适用）</w:t>
      </w:r>
    </w:p>
    <w:p w14:paraId="0A01C721">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截至现金选择权实施股权登记日收市后持有本公司股份的股东。</w:t>
      </w:r>
    </w:p>
    <w:p w14:paraId="0A01C722">
      <w:pPr>
        <w:numPr>
          <w:ilvl w:val="0"/>
          <w:numId w:val="2"/>
        </w:num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申报期间：XXXX年XX月XX日至XX月XX日（T+1至T+N日，申报时间应当为交易时间，不少于三个交易日），期间公司股票及衍生品种停牌。</w:t>
      </w:r>
    </w:p>
    <w:p w14:paraId="0A01C723">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（三）申报方式：通过上海证券交易所交易系统进行申报。</w:t>
      </w:r>
    </w:p>
    <w:p w14:paraId="0A01C724">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（四）申报编号：7XXXXX。</w:t>
      </w:r>
    </w:p>
    <w:p w14:paraId="0A01C725">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（五）申报简称：XX现金。</w:t>
      </w:r>
    </w:p>
    <w:p w14:paraId="0A01C726">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（六）申报方向：申报卖出。</w:t>
      </w:r>
    </w:p>
    <w:p w14:paraId="0A01C727">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（七）收购价格：YY.YY元/股。</w:t>
      </w:r>
    </w:p>
    <w:p w14:paraId="0A01C728">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（八）申报数量：（仅向异议股东提供现金选择权适用）</w:t>
      </w:r>
    </w:p>
    <w:p w14:paraId="0A01C729">
      <w:pPr>
        <w:adjustRightInd w:val="0"/>
        <w:snapToGrid w:val="0"/>
        <w:spacing w:line="560" w:lineRule="exact"/>
        <w:ind w:firstLine="480" w:firstLineChars="200"/>
        <w:rPr>
          <w:rFonts w:hint="eastAsia" w:ascii="楷体" w:hAnsi="楷体" w:eastAsia="楷体" w:cs="仿宋_GB2312"/>
          <w:sz w:val="24"/>
          <w:szCs w:val="24"/>
        </w:rPr>
      </w:pPr>
      <w:r>
        <w:rPr>
          <w:rFonts w:hint="eastAsia" w:ascii="楷体" w:hAnsi="楷体" w:eastAsia="楷体" w:cs="仿宋_GB2312"/>
          <w:sz w:val="24"/>
          <w:szCs w:val="24"/>
        </w:rPr>
        <w:t>（编制提醒：申报股份数量的上限是对本公司</w:t>
      </w:r>
      <w:r>
        <w:rPr>
          <w:rFonts w:ascii="楷体" w:hAnsi="楷体" w:eastAsia="楷体" w:cs="仿宋_GB2312"/>
          <w:sz w:val="24"/>
          <w:szCs w:val="24"/>
        </w:rPr>
        <w:t>XX</w:t>
      </w:r>
      <w:r>
        <w:rPr>
          <w:rFonts w:hint="eastAsia" w:ascii="楷体" w:hAnsi="楷体" w:eastAsia="楷体" w:cs="仿宋_GB2312"/>
          <w:sz w:val="24"/>
          <w:szCs w:val="24"/>
        </w:rPr>
        <w:t>方案投出的有效反对票数并剔除被司法冻结、设定质押或其他第三方权利、被司法强制扣划后的股份数量，如遇股份送转的则做相应调整。</w:t>
      </w:r>
    </w:p>
    <w:p w14:paraId="0A01C72A">
      <w:pPr>
        <w:adjustRightInd w:val="0"/>
        <w:snapToGrid w:val="0"/>
        <w:spacing w:line="560" w:lineRule="exact"/>
        <w:ind w:firstLine="480" w:firstLineChars="200"/>
        <w:rPr>
          <w:rFonts w:hint="eastAsia" w:ascii="楷体" w:hAnsi="楷体" w:eastAsia="楷体" w:cs="仿宋_GB2312"/>
          <w:sz w:val="24"/>
          <w:szCs w:val="24"/>
        </w:rPr>
      </w:pPr>
      <w:r>
        <w:rPr>
          <w:rFonts w:hint="eastAsia" w:ascii="楷体" w:hAnsi="楷体" w:eastAsia="楷体" w:cs="仿宋_GB2312"/>
          <w:sz w:val="24"/>
          <w:szCs w:val="24"/>
        </w:rPr>
        <w:t>公司须明确：股东会通过合并方案后至现金选择权申报前异议股东发生持股变动的，异议股份数量上限如何计算。</w:t>
      </w:r>
    </w:p>
    <w:p w14:paraId="0A01C72B">
      <w:pPr>
        <w:adjustRightInd w:val="0"/>
        <w:snapToGrid w:val="0"/>
        <w:spacing w:line="560" w:lineRule="exact"/>
        <w:ind w:firstLine="480" w:firstLineChars="200"/>
        <w:rPr>
          <w:rFonts w:hint="eastAsia" w:ascii="楷体" w:hAnsi="楷体" w:eastAsia="楷体" w:cs="仿宋_GB2312"/>
          <w:sz w:val="24"/>
          <w:szCs w:val="24"/>
        </w:rPr>
      </w:pPr>
      <w:r>
        <w:rPr>
          <w:rFonts w:hint="eastAsia" w:ascii="楷体" w:hAnsi="楷体" w:eastAsia="楷体" w:cs="仿宋_GB2312"/>
          <w:sz w:val="24"/>
          <w:szCs w:val="24"/>
        </w:rPr>
        <w:t>同一股票账户在申报有效期内可多次申报，有效申报数量为各次申报卖出数量之和，但不超过申报数量上限。）</w:t>
      </w:r>
    </w:p>
    <w:p w14:paraId="0A01C72C">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（八）申报数量：（向全体股东提供现金选择权适用）</w:t>
      </w:r>
    </w:p>
    <w:p w14:paraId="0A01C72D">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1.申报期内，股东可以全部或部分申报现金选择权。</w:t>
      </w:r>
    </w:p>
    <w:p w14:paraId="0A01C72E">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2.申报股份数量的上限是截至股权登记日收市后持有本公司的股份并剔除被司法冻结、设定质押或其他第三方权利、被司法强制扣划后的股份数量，如遇股份送转的则做相应调整。</w:t>
      </w:r>
    </w:p>
    <w:p w14:paraId="0A01C72F">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3.同一股票账户在申报有效期内可多次申报，有效申报数量为各次申报卖出数量之和，但不超过申报数量上限。</w:t>
      </w:r>
    </w:p>
    <w:p w14:paraId="0A01C730">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4.其他申报数量要求（如适用）。</w:t>
      </w:r>
    </w:p>
    <w:p w14:paraId="0A01C731">
      <w:pPr>
        <w:adjustRightInd w:val="0"/>
        <w:snapToGrid w:val="0"/>
        <w:spacing w:line="560" w:lineRule="exact"/>
        <w:ind w:firstLine="600" w:firstLineChars="200"/>
        <w:rPr>
          <w:rFonts w:hint="eastAsia" w:ascii="黑体" w:hAnsi="黑体" w:eastAsia="黑体" w:cs="黑体"/>
          <w:b/>
          <w:sz w:val="30"/>
          <w:szCs w:val="30"/>
        </w:rPr>
      </w:pPr>
      <w:r>
        <w:rPr>
          <w:rFonts w:hint="eastAsia" w:ascii="仿宋_GB2312" w:hAnsi="仿宋_GB2312" w:eastAsia="仿宋_GB2312" w:cs="仿宋_GB2312"/>
          <w:sz w:val="30"/>
          <w:szCs w:val="30"/>
        </w:rPr>
        <w:t>（九）现金选择权的提供方为XX；异议股东（或股东）行使现金选择权，相当于以YY.YY元/股将异议股份（或股份）出售给XX。</w:t>
      </w:r>
      <w:r>
        <w:rPr>
          <w:rFonts w:hint="eastAsia" w:ascii="黑体" w:hAnsi="黑体" w:eastAsia="黑体" w:cs="黑体"/>
          <w:b/>
          <w:sz w:val="30"/>
          <w:szCs w:val="30"/>
        </w:rPr>
        <w:t xml:space="preserve"> </w:t>
      </w:r>
    </w:p>
    <w:p w14:paraId="0A01C732">
      <w:pPr>
        <w:adjustRightInd w:val="0"/>
        <w:snapToGrid w:val="0"/>
        <w:spacing w:line="560" w:lineRule="exact"/>
        <w:ind w:firstLine="600" w:firstLineChars="200"/>
        <w:rPr>
          <w:rFonts w:hint="eastAsia" w:ascii="仿宋_GB2312" w:hAnsi="仿宋_GB2312" w:eastAsia="仿宋_GB2312" w:cs="仿宋_GB2312"/>
          <w:sz w:val="30"/>
          <w:szCs w:val="30"/>
        </w:rPr>
      </w:pPr>
    </w:p>
    <w:p w14:paraId="0A01C733">
      <w:pPr>
        <w:adjustRightInd w:val="0"/>
        <w:snapToGrid w:val="0"/>
        <w:spacing w:line="560" w:lineRule="exact"/>
        <w:ind w:firstLine="602" w:firstLineChars="200"/>
        <w:rPr>
          <w:rFonts w:hint="eastAsia" w:ascii="黑体" w:hAnsi="黑体" w:eastAsia="黑体" w:cs="黑体"/>
          <w:b/>
          <w:sz w:val="30"/>
          <w:szCs w:val="30"/>
        </w:rPr>
      </w:pPr>
      <w:r>
        <w:rPr>
          <w:rFonts w:hint="eastAsia" w:ascii="黑体" w:hAnsi="黑体" w:eastAsia="黑体" w:cs="黑体"/>
          <w:b/>
          <w:sz w:val="30"/>
          <w:szCs w:val="30"/>
        </w:rPr>
        <w:t>二、关注事项</w:t>
      </w:r>
    </w:p>
    <w:p w14:paraId="0A01C734">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（一）申报方向只能是申报卖出，申报买入无效；申报有效期内，当天可以撤单，次日开始不得撤回。</w:t>
      </w:r>
    </w:p>
    <w:p w14:paraId="0A01C735">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（二）异议股东（或股东）申报前应当与质权人或司法机关协商解除质押或司法冻结；清算时仍存在质押或司法冻结的股份，其现金选择权申报属于无效申报。</w:t>
      </w:r>
    </w:p>
    <w:p w14:paraId="0A01C736">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（三）对于同一账户中的异议股份（或股份），异议股东（或股东）可部分申报卖出。</w:t>
      </w:r>
    </w:p>
    <w:p w14:paraId="0A01C737">
      <w:pPr>
        <w:numPr>
          <w:ilvl w:val="0"/>
          <w:numId w:val="3"/>
        </w:num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股份保管：有效申报的股份将由中国结算予以冻结。股份在冻结期间，股东不得再行转让该部分股份。</w:t>
      </w:r>
    </w:p>
    <w:p w14:paraId="0A01C738">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（五）本公司在现金选择权申报首日和截止日刊登行使现金选择权提示性公告。</w:t>
      </w:r>
    </w:p>
    <w:p w14:paraId="0A01C739">
      <w:pPr>
        <w:adjustRightInd w:val="0"/>
        <w:snapToGrid w:val="0"/>
        <w:spacing w:line="560" w:lineRule="exact"/>
        <w:ind w:firstLine="600" w:firstLineChars="200"/>
        <w:rPr>
          <w:rFonts w:hint="eastAsia" w:ascii="仿宋_GB2312" w:hAnsi="仿宋_GB2312" w:eastAsia="仿宋_GB2312" w:cs="仿宋_GB2312"/>
          <w:sz w:val="30"/>
          <w:szCs w:val="30"/>
        </w:rPr>
      </w:pPr>
    </w:p>
    <w:p w14:paraId="0A01C73A">
      <w:pPr>
        <w:adjustRightInd w:val="0"/>
        <w:snapToGrid w:val="0"/>
        <w:spacing w:line="560" w:lineRule="exact"/>
        <w:ind w:firstLine="602" w:firstLineChars="200"/>
        <w:rPr>
          <w:rFonts w:hint="eastAsia" w:ascii="黑体" w:hAnsi="黑体" w:eastAsia="黑体" w:cs="黑体"/>
          <w:b/>
          <w:sz w:val="30"/>
          <w:szCs w:val="30"/>
        </w:rPr>
      </w:pPr>
      <w:r>
        <w:rPr>
          <w:rFonts w:hint="eastAsia" w:ascii="黑体" w:hAnsi="黑体" w:eastAsia="黑体" w:cs="黑体"/>
          <w:b/>
          <w:sz w:val="30"/>
          <w:szCs w:val="30"/>
        </w:rPr>
        <w:t>三、费用</w:t>
      </w:r>
    </w:p>
    <w:p w14:paraId="0A01C73B">
      <w:pPr>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bCs/>
          <w:smallCaps/>
          <w:sz w:val="30"/>
          <w:szCs w:val="30"/>
        </w:rPr>
        <w:t>现金选择权申报方、提供方后续办理股份过户登记手续时，所涉及的税费项目及标准参照A股交易执行</w:t>
      </w:r>
      <w:r>
        <w:rPr>
          <w:rFonts w:hint="eastAsia" w:ascii="仿宋_GB2312" w:hAnsi="仿宋_GB2312" w:eastAsia="仿宋_GB2312" w:cs="仿宋_GB2312"/>
          <w:kern w:val="0"/>
          <w:sz w:val="30"/>
          <w:szCs w:val="30"/>
        </w:rPr>
        <w:t>。</w:t>
      </w:r>
    </w:p>
    <w:p w14:paraId="0A01C73C">
      <w:pPr>
        <w:adjustRightInd w:val="0"/>
        <w:snapToGrid w:val="0"/>
        <w:spacing w:line="560" w:lineRule="exact"/>
        <w:ind w:firstLine="600" w:firstLineChars="200"/>
        <w:rPr>
          <w:rFonts w:hint="eastAsia" w:ascii="仿宋_GB2312" w:hAnsi="仿宋_GB2312" w:eastAsia="仿宋_GB2312" w:cs="仿宋_GB2312"/>
          <w:kern w:val="0"/>
          <w:sz w:val="30"/>
          <w:szCs w:val="30"/>
        </w:rPr>
      </w:pPr>
    </w:p>
    <w:p w14:paraId="0A01C73D">
      <w:pPr>
        <w:adjustRightInd w:val="0"/>
        <w:snapToGrid w:val="0"/>
        <w:spacing w:line="560" w:lineRule="exact"/>
        <w:ind w:firstLine="602" w:firstLineChars="200"/>
        <w:rPr>
          <w:rFonts w:hint="eastAsia" w:ascii="黑体" w:hAnsi="黑体" w:eastAsia="黑体" w:cs="黑体"/>
          <w:b/>
          <w:sz w:val="30"/>
          <w:szCs w:val="30"/>
        </w:rPr>
      </w:pPr>
      <w:r>
        <w:rPr>
          <w:rFonts w:hint="eastAsia" w:ascii="黑体" w:hAnsi="黑体" w:eastAsia="黑体" w:cs="黑体"/>
          <w:b/>
          <w:kern w:val="0"/>
          <w:sz w:val="30"/>
          <w:szCs w:val="30"/>
        </w:rPr>
        <w:t>四、</w:t>
      </w:r>
      <w:r>
        <w:rPr>
          <w:rFonts w:hint="eastAsia" w:ascii="黑体" w:hAnsi="黑体" w:eastAsia="黑体" w:cs="黑体"/>
          <w:b/>
          <w:sz w:val="30"/>
          <w:szCs w:val="30"/>
        </w:rPr>
        <w:t>联系方式</w:t>
      </w:r>
    </w:p>
    <w:p w14:paraId="0A01C73E">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联系人员：XX</w:t>
      </w:r>
    </w:p>
    <w:p w14:paraId="0A01C73F">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14:paraId="0A01C740">
      <w:pPr>
        <w:adjustRightInd w:val="0"/>
        <w:snapToGrid w:val="0"/>
        <w:spacing w:line="560" w:lineRule="exact"/>
        <w:ind w:firstLine="600" w:firstLineChars="200"/>
        <w:rPr>
          <w:rFonts w:hint="eastAsia" w:ascii="仿宋_GB2312" w:hAnsi="仿宋_GB2312" w:eastAsia="仿宋_GB2312" w:cs="仿宋_GB2312"/>
          <w:sz w:val="30"/>
          <w:szCs w:val="30"/>
        </w:rPr>
      </w:pPr>
    </w:p>
    <w:p w14:paraId="0A01C741">
      <w:pPr>
        <w:adjustRightInd w:val="0"/>
        <w:snapToGrid w:val="0"/>
        <w:spacing w:line="560" w:lineRule="exact"/>
        <w:ind w:firstLine="602" w:firstLineChars="200"/>
        <w:rPr>
          <w:rFonts w:hint="eastAsia" w:ascii="黑体" w:hAnsi="黑体" w:eastAsia="黑体" w:cs="黑体"/>
          <w:b/>
          <w:sz w:val="30"/>
          <w:szCs w:val="30"/>
        </w:rPr>
      </w:pPr>
      <w:r>
        <w:rPr>
          <w:rFonts w:hint="eastAsia" w:ascii="黑体" w:hAnsi="黑体" w:eastAsia="黑体" w:cs="黑体"/>
          <w:b/>
          <w:sz w:val="30"/>
          <w:szCs w:val="30"/>
        </w:rPr>
        <w:t>五、后续事宜</w:t>
      </w:r>
    </w:p>
    <w:p w14:paraId="0A01C742">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（一）本次申报有效期满后，本公司将另行发布申报结果公告，请投资者关注资金发放日。</w:t>
      </w:r>
    </w:p>
    <w:p w14:paraId="0A01C743">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被合并公司公告时增加披露本条]现金选择权申报结束后，本公司（被合并公司）股票及衍生品种将继续停牌，同时将向上海证券交易所申请终止上市，未申报实施现金选择权的异议股东所持的本公司股份将按《吸收合并报告书》确认的换股比例转换为XX公司（合并方）的股票，换股时间另行公告。</w:t>
      </w:r>
    </w:p>
    <w:p w14:paraId="0A01C744">
      <w:pPr>
        <w:numPr>
          <w:ilvl w:val="0"/>
          <w:numId w:val="2"/>
        </w:num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[吸并方公司公告时增加披露本条] “现金选择权申报结果公告”后本公司股票及衍生品种的停复牌安排。</w:t>
      </w:r>
    </w:p>
    <w:p w14:paraId="0A01C745">
      <w:pPr>
        <w:numPr>
          <w:ilvl w:val="0"/>
          <w:numId w:val="2"/>
        </w:num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已申报现金选择权的股份随即被司法冻结、扣划的，指定交易券商应当及时通知中国结算或冻结相应现金对价。</w:t>
      </w:r>
    </w:p>
    <w:p w14:paraId="0A01C746">
      <w:pPr>
        <w:adjustRightInd w:val="0"/>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0A01C747">
      <w:pPr>
        <w:adjustRightInd w:val="0"/>
        <w:snapToGrid w:val="0"/>
        <w:spacing w:line="560" w:lineRule="exact"/>
        <w:ind w:firstLine="482"/>
        <w:rPr>
          <w:rFonts w:hint="eastAsia" w:ascii="仿宋_GB2312" w:hAnsi="仿宋_GB2312" w:eastAsia="仿宋_GB2312" w:cs="仿宋_GB2312"/>
          <w:sz w:val="30"/>
          <w:szCs w:val="30"/>
        </w:rPr>
      </w:pPr>
    </w:p>
    <w:p w14:paraId="0A01C748">
      <w:pPr>
        <w:adjustRightInd w:val="0"/>
        <w:snapToGrid w:val="0"/>
        <w:spacing w:line="560" w:lineRule="exact"/>
        <w:ind w:firstLine="482"/>
        <w:jc w:val="right"/>
        <w:rPr>
          <w:rFonts w:hint="eastAsia"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14:paraId="0A01C749">
      <w:pPr>
        <w:pStyle w:val="6"/>
        <w:adjustRightInd w:val="0"/>
        <w:snapToGrid w:val="0"/>
        <w:spacing w:line="560" w:lineRule="exact"/>
        <w:ind w:left="0" w:leftChars="0"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14:paraId="0A01C74A">
      <w:pPr>
        <w:spacing w:line="560" w:lineRule="exact"/>
        <w:rPr>
          <w:rFonts w:hint="eastAsia" w:ascii="仿宋_GB2312" w:hAnsi="仿宋_GB2312" w:eastAsia="仿宋_GB2312" w:cs="仿宋_GB2312"/>
          <w:sz w:val="30"/>
          <w:szCs w:val="30"/>
        </w:rPr>
      </w:pPr>
    </w:p>
    <w:p w14:paraId="0A01C74B">
      <w:pPr>
        <w:numPr>
          <w:ilvl w:val="0"/>
          <w:numId w:val="4"/>
        </w:numPr>
        <w:adjustRightInd w:val="0"/>
        <w:snapToGrid w:val="0"/>
        <w:spacing w:line="56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14:paraId="0A01C74C">
      <w:pPr>
        <w:adjustRightInd w:val="0"/>
        <w:snapToGrid w:val="0"/>
        <w:spacing w:line="560" w:lineRule="exact"/>
        <w:ind w:firstLine="48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.中国证监会</w:t>
      </w:r>
      <w:r>
        <w:rPr>
          <w:rFonts w:hint="eastAsia" w:ascii="仿宋_GB2312" w:hAnsi="仿宋_GB2312" w:eastAsia="仿宋_GB2312" w:cs="仿宋_GB2312"/>
          <w:sz w:val="30"/>
          <w:szCs w:val="30"/>
        </w:rPr>
        <w:t>相关注册文件（如适用）；</w:t>
      </w:r>
    </w:p>
    <w:p w14:paraId="0A01C74D">
      <w:pPr>
        <w:adjustRightInd w:val="0"/>
        <w:snapToGrid w:val="0"/>
        <w:spacing w:line="560" w:lineRule="exact"/>
        <w:ind w:firstLine="48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现金选择权提供方</w:t>
      </w:r>
      <w:r>
        <w:rPr>
          <w:rFonts w:hint="eastAsia" w:ascii="仿宋_GB2312" w:hAnsi="仿宋_GB2312" w:eastAsia="仿宋_GB2312" w:cs="仿宋_GB2312"/>
          <w:sz w:val="30"/>
          <w:szCs w:val="30"/>
        </w:rPr>
        <w:t>的营业执照复印件、</w:t>
      </w:r>
      <w:r>
        <w:rPr>
          <w:rFonts w:ascii="仿宋_GB2312" w:hAnsi="仿宋_GB2312" w:eastAsia="仿宋_GB2312" w:cs="仿宋_GB2312"/>
          <w:sz w:val="30"/>
          <w:szCs w:val="30"/>
        </w:rPr>
        <w:t>已办理指定交易的证券账户名称及账户号码</w:t>
      </w:r>
      <w:r>
        <w:rPr>
          <w:rFonts w:hint="eastAsia" w:ascii="仿宋_GB2312" w:hAnsi="仿宋_GB2312" w:eastAsia="仿宋_GB2312" w:cs="仿宋_GB2312"/>
          <w:sz w:val="30"/>
          <w:szCs w:val="30"/>
        </w:rPr>
        <w:t>；</w:t>
      </w:r>
    </w:p>
    <w:p w14:paraId="0A01C74E">
      <w:pPr>
        <w:adjustRightInd w:val="0"/>
        <w:snapToGrid w:val="0"/>
        <w:spacing w:line="560" w:lineRule="exact"/>
        <w:ind w:firstLine="48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3.中国结算出具的、现金选择权提供方已将履约保证金冻结在中国结算指定账户的证明文件；</w:t>
      </w:r>
    </w:p>
    <w:p w14:paraId="46E1DFD7">
      <w:pPr>
        <w:adjustRightInd w:val="0"/>
        <w:snapToGrid w:val="0"/>
        <w:spacing w:line="560" w:lineRule="exact"/>
        <w:ind w:firstLine="48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4.上市公司现金选择权业务申请；</w:t>
      </w:r>
    </w:p>
    <w:p w14:paraId="5BABE78F">
      <w:pPr>
        <w:adjustRightInd w:val="0"/>
        <w:snapToGrid w:val="0"/>
        <w:spacing w:line="560" w:lineRule="exact"/>
        <w:ind w:firstLine="48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5.公司股票及其衍生品种</w:t>
      </w:r>
      <w:r>
        <w:rPr>
          <w:rFonts w:hint="eastAsia" w:ascii="仿宋_GB2312" w:hAnsi="仿宋_GB2312" w:eastAsia="仿宋_GB2312" w:cs="仿宋_GB2312"/>
          <w:sz w:val="30"/>
          <w:szCs w:val="30"/>
          <w:highlight w:val="none"/>
        </w:rPr>
        <w:t>在现金选择权实施期间</w:t>
      </w:r>
      <w:r>
        <w:rPr>
          <w:rFonts w:hint="eastAsia" w:ascii="仿宋_GB2312" w:hAnsi="仿宋_GB2312" w:eastAsia="仿宋_GB2312" w:cs="仿宋_GB2312"/>
          <w:sz w:val="30"/>
          <w:szCs w:val="30"/>
        </w:rPr>
        <w:t>的连续停牌申请。</w:t>
      </w:r>
    </w:p>
    <w:p w14:paraId="0A01C7A3">
      <w:pPr>
        <w:pStyle w:val="24"/>
        <w:adjustRightInd w:val="0"/>
        <w:snapToGrid w:val="0"/>
        <w:spacing w:line="560" w:lineRule="exact"/>
        <w:ind w:firstLine="0" w:firstLineChars="0"/>
        <w:rPr>
          <w:rFonts w:hint="eastAsia" w:ascii="仿宋_GB2312" w:hAnsi="仿宋_GB2312" w:eastAsia="仿宋_GB2312" w:cs="仿宋_GB2312"/>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Book Antiqua">
    <w:altName w:val="Times New Roman"/>
    <w:panose1 w:val="02040602050305030304"/>
    <w:charset w:val="00"/>
    <w:family w:val="roman"/>
    <w:pitch w:val="default"/>
    <w:sig w:usb0="00000000" w:usb1="00000000" w:usb2="00000000" w:usb3="00000000" w:csb0="0000009F" w:csb1="00000000"/>
  </w:font>
  <w:font w:name="楷体_GB2312">
    <w:panose1 w:val="02000000000000000000"/>
    <w:charset w:val="86"/>
    <w:family w:val="modern"/>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70704"/>
    </w:sdtPr>
    <w:sdtContent>
      <w:p w14:paraId="0A01C7A4">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0A01C7A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354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BA0B9"/>
    <w:multiLevelType w:val="singleLevel"/>
    <w:tmpl w:val="95FBA0B9"/>
    <w:lvl w:ilvl="0" w:tentative="0">
      <w:start w:val="4"/>
      <w:numFmt w:val="chineseCounting"/>
      <w:suff w:val="nothing"/>
      <w:lvlText w:val="（%1）"/>
      <w:lvlJc w:val="left"/>
      <w:rPr>
        <w:rFonts w:hint="eastAsia"/>
      </w:rPr>
    </w:lvl>
  </w:abstractNum>
  <w:abstractNum w:abstractNumId="1">
    <w:nsid w:val="19723F9D"/>
    <w:multiLevelType w:val="singleLevel"/>
    <w:tmpl w:val="19723F9D"/>
    <w:lvl w:ilvl="0" w:tentative="0">
      <w:start w:val="2"/>
      <w:numFmt w:val="chineseCounting"/>
      <w:suff w:val="nothing"/>
      <w:lvlText w:val="（%1）"/>
      <w:lvlJc w:val="left"/>
      <w:rPr>
        <w:rFonts w:hint="eastAsia"/>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CF80482"/>
    <w:multiLevelType w:val="multilevel"/>
    <w:tmpl w:val="4CF8048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19"/>
    <w:rsid w:val="00037A92"/>
    <w:rsid w:val="00047C02"/>
    <w:rsid w:val="0008644C"/>
    <w:rsid w:val="000C2D8D"/>
    <w:rsid w:val="000D7741"/>
    <w:rsid w:val="0016074F"/>
    <w:rsid w:val="00172A27"/>
    <w:rsid w:val="00180386"/>
    <w:rsid w:val="0018319B"/>
    <w:rsid w:val="001A5875"/>
    <w:rsid w:val="001B5AFA"/>
    <w:rsid w:val="001E36EE"/>
    <w:rsid w:val="001E625C"/>
    <w:rsid w:val="001E6B2F"/>
    <w:rsid w:val="001F271F"/>
    <w:rsid w:val="002172E5"/>
    <w:rsid w:val="00220D62"/>
    <w:rsid w:val="0022260D"/>
    <w:rsid w:val="00233781"/>
    <w:rsid w:val="00240EFA"/>
    <w:rsid w:val="00245D7E"/>
    <w:rsid w:val="0026737E"/>
    <w:rsid w:val="00282BA0"/>
    <w:rsid w:val="002B5704"/>
    <w:rsid w:val="00301196"/>
    <w:rsid w:val="00306049"/>
    <w:rsid w:val="00363258"/>
    <w:rsid w:val="00387F83"/>
    <w:rsid w:val="003B0017"/>
    <w:rsid w:val="003B0E14"/>
    <w:rsid w:val="003B63FA"/>
    <w:rsid w:val="003C1AAE"/>
    <w:rsid w:val="00400367"/>
    <w:rsid w:val="00410327"/>
    <w:rsid w:val="0041449A"/>
    <w:rsid w:val="0042051D"/>
    <w:rsid w:val="00435828"/>
    <w:rsid w:val="00436108"/>
    <w:rsid w:val="00451708"/>
    <w:rsid w:val="004527C1"/>
    <w:rsid w:val="0047521C"/>
    <w:rsid w:val="00490154"/>
    <w:rsid w:val="004A066C"/>
    <w:rsid w:val="004B4577"/>
    <w:rsid w:val="004B56C9"/>
    <w:rsid w:val="004E4835"/>
    <w:rsid w:val="00520427"/>
    <w:rsid w:val="005571F2"/>
    <w:rsid w:val="00594045"/>
    <w:rsid w:val="005A29D5"/>
    <w:rsid w:val="0060355E"/>
    <w:rsid w:val="00643D70"/>
    <w:rsid w:val="00644B42"/>
    <w:rsid w:val="0068573F"/>
    <w:rsid w:val="0069276E"/>
    <w:rsid w:val="006979E2"/>
    <w:rsid w:val="006A00C5"/>
    <w:rsid w:val="006A760E"/>
    <w:rsid w:val="006B4B0D"/>
    <w:rsid w:val="006F4619"/>
    <w:rsid w:val="0070125C"/>
    <w:rsid w:val="007052FA"/>
    <w:rsid w:val="00712F40"/>
    <w:rsid w:val="00756FFB"/>
    <w:rsid w:val="007B6DB6"/>
    <w:rsid w:val="007D3B9A"/>
    <w:rsid w:val="007D6B59"/>
    <w:rsid w:val="0082325B"/>
    <w:rsid w:val="0084700C"/>
    <w:rsid w:val="0085168A"/>
    <w:rsid w:val="00867F83"/>
    <w:rsid w:val="008754EB"/>
    <w:rsid w:val="008A33FE"/>
    <w:rsid w:val="008A4A79"/>
    <w:rsid w:val="008B5131"/>
    <w:rsid w:val="008C0319"/>
    <w:rsid w:val="008E0182"/>
    <w:rsid w:val="008E0F4A"/>
    <w:rsid w:val="00957567"/>
    <w:rsid w:val="0096494D"/>
    <w:rsid w:val="009A4533"/>
    <w:rsid w:val="009A480F"/>
    <w:rsid w:val="009A4CA7"/>
    <w:rsid w:val="009B2A4D"/>
    <w:rsid w:val="00A03CB1"/>
    <w:rsid w:val="00A1309A"/>
    <w:rsid w:val="00A170CF"/>
    <w:rsid w:val="00A24EAC"/>
    <w:rsid w:val="00A32058"/>
    <w:rsid w:val="00A46C1E"/>
    <w:rsid w:val="00A50DC6"/>
    <w:rsid w:val="00A56B53"/>
    <w:rsid w:val="00A76558"/>
    <w:rsid w:val="00A854AB"/>
    <w:rsid w:val="00A966A2"/>
    <w:rsid w:val="00AB3CBA"/>
    <w:rsid w:val="00AB47B7"/>
    <w:rsid w:val="00AD559D"/>
    <w:rsid w:val="00AE1725"/>
    <w:rsid w:val="00B538AE"/>
    <w:rsid w:val="00B679D3"/>
    <w:rsid w:val="00B8536F"/>
    <w:rsid w:val="00B91E16"/>
    <w:rsid w:val="00B9476B"/>
    <w:rsid w:val="00C13455"/>
    <w:rsid w:val="00C660B6"/>
    <w:rsid w:val="00C91647"/>
    <w:rsid w:val="00CB6AA2"/>
    <w:rsid w:val="00CC1BA3"/>
    <w:rsid w:val="00CC77A8"/>
    <w:rsid w:val="00CE7C49"/>
    <w:rsid w:val="00D073EC"/>
    <w:rsid w:val="00D1094E"/>
    <w:rsid w:val="00D369BE"/>
    <w:rsid w:val="00D54A8E"/>
    <w:rsid w:val="00D712FC"/>
    <w:rsid w:val="00D7325E"/>
    <w:rsid w:val="00DB2F08"/>
    <w:rsid w:val="00DF48E2"/>
    <w:rsid w:val="00E15572"/>
    <w:rsid w:val="00E22ACA"/>
    <w:rsid w:val="00E508A6"/>
    <w:rsid w:val="00E50A1D"/>
    <w:rsid w:val="00E52933"/>
    <w:rsid w:val="00E704AD"/>
    <w:rsid w:val="00E90E58"/>
    <w:rsid w:val="00EA7607"/>
    <w:rsid w:val="00ED7074"/>
    <w:rsid w:val="00EE3E0C"/>
    <w:rsid w:val="00EF50B8"/>
    <w:rsid w:val="00F02047"/>
    <w:rsid w:val="00F230B3"/>
    <w:rsid w:val="00F26435"/>
    <w:rsid w:val="00F305F9"/>
    <w:rsid w:val="00F4327B"/>
    <w:rsid w:val="00F466E7"/>
    <w:rsid w:val="00FA38B2"/>
    <w:rsid w:val="00FA7C3D"/>
    <w:rsid w:val="00FB183D"/>
    <w:rsid w:val="00FB50CB"/>
    <w:rsid w:val="00FE1019"/>
    <w:rsid w:val="00FF79FE"/>
    <w:rsid w:val="044B5AAE"/>
    <w:rsid w:val="07037A29"/>
    <w:rsid w:val="0ACF675B"/>
    <w:rsid w:val="0DBA5A1A"/>
    <w:rsid w:val="0E0E7BD3"/>
    <w:rsid w:val="0EA42B31"/>
    <w:rsid w:val="1007595A"/>
    <w:rsid w:val="118B5AD6"/>
    <w:rsid w:val="11AE0C8B"/>
    <w:rsid w:val="149D0CC6"/>
    <w:rsid w:val="17027B56"/>
    <w:rsid w:val="178C12FB"/>
    <w:rsid w:val="17ED19FA"/>
    <w:rsid w:val="180513B0"/>
    <w:rsid w:val="18D212C6"/>
    <w:rsid w:val="194F1CD5"/>
    <w:rsid w:val="1C0C2D11"/>
    <w:rsid w:val="1F4D0398"/>
    <w:rsid w:val="1FB602D2"/>
    <w:rsid w:val="23E42657"/>
    <w:rsid w:val="23F810A3"/>
    <w:rsid w:val="250174C1"/>
    <w:rsid w:val="25B57CAD"/>
    <w:rsid w:val="25BF3115"/>
    <w:rsid w:val="267C3920"/>
    <w:rsid w:val="26EA5514"/>
    <w:rsid w:val="2A6A5409"/>
    <w:rsid w:val="2BC74CE2"/>
    <w:rsid w:val="2D417F79"/>
    <w:rsid w:val="2D7F4033"/>
    <w:rsid w:val="2EF62A22"/>
    <w:rsid w:val="2F7449BB"/>
    <w:rsid w:val="31EE25F8"/>
    <w:rsid w:val="35442E1F"/>
    <w:rsid w:val="35C05AED"/>
    <w:rsid w:val="35DC736B"/>
    <w:rsid w:val="36DE4411"/>
    <w:rsid w:val="38881362"/>
    <w:rsid w:val="39527917"/>
    <w:rsid w:val="3C32439F"/>
    <w:rsid w:val="3CB51582"/>
    <w:rsid w:val="3F4D6968"/>
    <w:rsid w:val="447E622D"/>
    <w:rsid w:val="469E62EA"/>
    <w:rsid w:val="4AF135A6"/>
    <w:rsid w:val="4F306C90"/>
    <w:rsid w:val="4FB32DB3"/>
    <w:rsid w:val="4FBF3FD9"/>
    <w:rsid w:val="506E1504"/>
    <w:rsid w:val="52EE2C6A"/>
    <w:rsid w:val="556B04E1"/>
    <w:rsid w:val="567355E1"/>
    <w:rsid w:val="56EB0F54"/>
    <w:rsid w:val="577C1725"/>
    <w:rsid w:val="58C07073"/>
    <w:rsid w:val="5ABA0AFF"/>
    <w:rsid w:val="5CAF0C9F"/>
    <w:rsid w:val="5D5F8CFD"/>
    <w:rsid w:val="5EF0F3AF"/>
    <w:rsid w:val="61790877"/>
    <w:rsid w:val="64550470"/>
    <w:rsid w:val="662E4F53"/>
    <w:rsid w:val="66C83F2C"/>
    <w:rsid w:val="67D740EA"/>
    <w:rsid w:val="69015A81"/>
    <w:rsid w:val="6A575EE2"/>
    <w:rsid w:val="6B0D7239"/>
    <w:rsid w:val="6BD858FE"/>
    <w:rsid w:val="6C6742E1"/>
    <w:rsid w:val="6F9FBB39"/>
    <w:rsid w:val="6FC3081C"/>
    <w:rsid w:val="7026010C"/>
    <w:rsid w:val="70AA28E3"/>
    <w:rsid w:val="70F00710"/>
    <w:rsid w:val="71E10FB9"/>
    <w:rsid w:val="72BD4C7B"/>
    <w:rsid w:val="742E262F"/>
    <w:rsid w:val="753D4E5A"/>
    <w:rsid w:val="756B2EB1"/>
    <w:rsid w:val="78BA359E"/>
    <w:rsid w:val="79C9375B"/>
    <w:rsid w:val="79F01522"/>
    <w:rsid w:val="7BA6614B"/>
    <w:rsid w:val="7CB70A8B"/>
    <w:rsid w:val="7D7F7298"/>
    <w:rsid w:val="7DAC6D68"/>
    <w:rsid w:val="7F6B0E19"/>
    <w:rsid w:val="B5F2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qFormat/>
    <w:uiPriority w:val="0"/>
    <w:rPr>
      <w:rFonts w:ascii="宋体"/>
      <w:sz w:val="18"/>
      <w:szCs w:val="18"/>
    </w:rPr>
  </w:style>
  <w:style w:type="paragraph" w:styleId="5">
    <w:name w:val="annotation text"/>
    <w:basedOn w:val="1"/>
    <w:link w:val="21"/>
    <w:qFormat/>
    <w:uiPriority w:val="0"/>
    <w:pPr>
      <w:jc w:val="left"/>
    </w:pPr>
  </w:style>
  <w:style w:type="paragraph" w:styleId="6">
    <w:name w:val="Date"/>
    <w:basedOn w:val="1"/>
    <w:next w:val="1"/>
    <w:link w:val="19"/>
    <w:qFormat/>
    <w:uiPriority w:val="0"/>
    <w:pPr>
      <w:ind w:left="100" w:leftChars="2500"/>
    </w:pPr>
    <w:rPr>
      <w:rFonts w:ascii="Book Antiqua" w:hAnsi="Book Antiqua" w:eastAsia="楷体_GB2312"/>
      <w:sz w:val="24"/>
      <w:szCs w:val="24"/>
    </w:rPr>
  </w:style>
  <w:style w:type="paragraph" w:styleId="7">
    <w:name w:val="Balloon Text"/>
    <w:basedOn w:val="1"/>
    <w:link w:val="2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2"/>
    <w:qFormat/>
    <w:uiPriority w:val="0"/>
    <w:rPr>
      <w:b/>
      <w:bCs/>
    </w:rPr>
  </w:style>
  <w:style w:type="character" w:styleId="16">
    <w:name w:val="Hyperlink"/>
    <w:basedOn w:val="15"/>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字符"/>
    <w:link w:val="12"/>
    <w:qFormat/>
    <w:locked/>
    <w:uiPriority w:val="0"/>
    <w:rPr>
      <w:rFonts w:ascii="Cambria" w:hAnsi="Cambria" w:eastAsia="宋体"/>
      <w:b/>
      <w:bCs/>
      <w:kern w:val="2"/>
      <w:sz w:val="32"/>
      <w:szCs w:val="32"/>
      <w:lang w:val="en-US" w:eastAsia="zh-CN" w:bidi="ar-SA"/>
    </w:rPr>
  </w:style>
  <w:style w:type="character" w:customStyle="1" w:styleId="19">
    <w:name w:val="日期 字符"/>
    <w:link w:val="6"/>
    <w:qFormat/>
    <w:locked/>
    <w:uiPriority w:val="0"/>
    <w:rPr>
      <w:rFonts w:ascii="Book Antiqua" w:hAnsi="Book Antiqua" w:eastAsia="楷体_GB2312"/>
      <w:kern w:val="2"/>
      <w:sz w:val="24"/>
      <w:szCs w:val="24"/>
      <w:lang w:val="en-US" w:eastAsia="zh-CN" w:bidi="ar-SA"/>
    </w:rPr>
  </w:style>
  <w:style w:type="character" w:customStyle="1" w:styleId="20">
    <w:name w:val="批注框文本 字符"/>
    <w:link w:val="7"/>
    <w:qFormat/>
    <w:uiPriority w:val="0"/>
    <w:rPr>
      <w:kern w:val="2"/>
      <w:sz w:val="18"/>
      <w:szCs w:val="18"/>
    </w:rPr>
  </w:style>
  <w:style w:type="character" w:customStyle="1" w:styleId="21">
    <w:name w:val="批注文字 字符"/>
    <w:link w:val="5"/>
    <w:qFormat/>
    <w:uiPriority w:val="0"/>
    <w:rPr>
      <w:kern w:val="2"/>
      <w:sz w:val="21"/>
    </w:rPr>
  </w:style>
  <w:style w:type="character" w:customStyle="1" w:styleId="22">
    <w:name w:val="批注主题 字符"/>
    <w:link w:val="13"/>
    <w:qFormat/>
    <w:uiPriority w:val="0"/>
    <w:rPr>
      <w:b/>
      <w:bCs/>
      <w:kern w:val="2"/>
      <w:sz w:val="21"/>
    </w:rPr>
  </w:style>
  <w:style w:type="paragraph" w:customStyle="1" w:styleId="23">
    <w:name w:val="p0"/>
    <w:basedOn w:val="1"/>
    <w:qFormat/>
    <w:uiPriority w:val="0"/>
    <w:pPr>
      <w:widowControl/>
    </w:pPr>
    <w:rPr>
      <w:rFonts w:ascii="Book Antiqua" w:hAnsi="Book Antiqua" w:cs="宋体"/>
      <w:kern w:val="0"/>
      <w:sz w:val="24"/>
      <w:szCs w:val="24"/>
    </w:rPr>
  </w:style>
  <w:style w:type="paragraph" w:styleId="24">
    <w:name w:val="List Paragraph"/>
    <w:basedOn w:val="1"/>
    <w:qFormat/>
    <w:uiPriority w:val="99"/>
    <w:pPr>
      <w:ind w:firstLine="420" w:firstLineChars="200"/>
    </w:pPr>
  </w:style>
  <w:style w:type="character" w:customStyle="1" w:styleId="25">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26">
    <w:name w:val="标题 1 字符"/>
    <w:basedOn w:val="15"/>
    <w:link w:val="2"/>
    <w:qFormat/>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文档结构图 字符"/>
    <w:basedOn w:val="15"/>
    <w:link w:val="4"/>
    <w:qFormat/>
    <w:uiPriority w:val="0"/>
    <w:rPr>
      <w:rFonts w:ascii="宋体" w:hAnsi="Times New Roman" w:eastAsia="宋体" w:cs="Times New Roman"/>
      <w:kern w:val="2"/>
      <w:sz w:val="18"/>
      <w:szCs w:val="18"/>
    </w:rPr>
  </w:style>
  <w:style w:type="character" w:customStyle="1" w:styleId="29">
    <w:name w:val="页脚 字符"/>
    <w:basedOn w:val="15"/>
    <w:link w:val="8"/>
    <w:qFormat/>
    <w:uiPriority w:val="99"/>
    <w:rPr>
      <w:rFonts w:ascii="Times New Roman" w:hAnsi="Times New Roman" w:eastAsia="宋体" w:cs="Times New Roman"/>
      <w:kern w:val="2"/>
      <w:sz w:val="18"/>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customStyle="1" w:styleId="3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2819</Words>
  <Characters>2932</Characters>
  <Lines>47</Lines>
  <Paragraphs>13</Paragraphs>
  <TotalTime>0</TotalTime>
  <ScaleCrop>false</ScaleCrop>
  <LinksUpToDate>false</LinksUpToDate>
  <CharactersWithSpaces>2975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2026-03-14T17:48:00Z</dcterms:created>
  <dc:creator>sse</dc:creator>
  <cp:lastModifiedBy>whxu</cp:lastModifiedBy>
  <dcterms:modified xsi:type="dcterms:W3CDTF">2026-04-24T21:19:27Z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FF81265EFEE743499801A716E0D55D8E</vt:lpwstr>
  </property>
</Properties>
</file>