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C50FB">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关于《中国证券业协会自律</w:t>
      </w:r>
      <w:r>
        <w:rPr>
          <w:rFonts w:hint="eastAsia" w:ascii="方正小标宋简体" w:hAnsi="宋体" w:eastAsia="方正小标宋简体"/>
          <w:sz w:val="44"/>
          <w:szCs w:val="44"/>
          <w:lang w:val="en-US" w:eastAsia="zh-CN"/>
        </w:rPr>
        <w:t>措施实施</w:t>
      </w:r>
      <w:r>
        <w:rPr>
          <w:rFonts w:hint="eastAsia" w:ascii="方正小标宋简体" w:hAnsi="宋体" w:eastAsia="方正小标宋简体"/>
          <w:sz w:val="44"/>
          <w:szCs w:val="44"/>
        </w:rPr>
        <w:t>办法》</w:t>
      </w:r>
      <w:r>
        <w:rPr>
          <w:rFonts w:hint="eastAsia" w:ascii="方正小标宋简体" w:hAnsi="宋体" w:eastAsia="方正小标宋简体"/>
          <w:sz w:val="44"/>
          <w:szCs w:val="44"/>
          <w:lang w:val="en-US" w:eastAsia="zh-CN"/>
        </w:rPr>
        <w:t>的修订</w:t>
      </w:r>
      <w:r>
        <w:rPr>
          <w:rFonts w:hint="eastAsia" w:ascii="方正小标宋简体" w:hAnsi="宋体" w:eastAsia="方正小标宋简体"/>
          <w:sz w:val="44"/>
          <w:szCs w:val="44"/>
        </w:rPr>
        <w:t>说明</w:t>
      </w:r>
    </w:p>
    <w:p w14:paraId="0ED7DD40">
      <w:pPr>
        <w:rPr>
          <w:rFonts w:hint="eastAsia" w:eastAsia="宋体"/>
          <w:lang w:val="en-US" w:eastAsia="zh-CN"/>
        </w:rPr>
      </w:pPr>
    </w:p>
    <w:p w14:paraId="24AE5BA2">
      <w:pPr>
        <w:numPr>
          <w:ilvl w:val="0"/>
          <w:numId w:val="0"/>
        </w:numPr>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为进一步加强协会自律管理职责，提高自律检查和自律措施实施（以下简称“自律检查处分”）的工作质效，根据中国证监会关于进一步加强证券基金经营机构监管协作、提高监管效能等有关安排，协会优化调整自律检查</w:t>
      </w:r>
      <w:r>
        <w:rPr>
          <w:rFonts w:hint="default" w:ascii="仿宋_GB2312" w:hAnsi="仿宋_GB2312" w:eastAsia="仿宋_GB2312" w:cs="仿宋_GB2312"/>
          <w:sz w:val="32"/>
          <w:szCs w:val="32"/>
          <w:lang w:val="en-US" w:eastAsia="zh-CN"/>
        </w:rPr>
        <w:t>处分</w:t>
      </w:r>
      <w:r>
        <w:rPr>
          <w:rFonts w:hint="eastAsia" w:ascii="仿宋_GB2312" w:hAnsi="仿宋_GB2312" w:eastAsia="仿宋_GB2312" w:cs="仿宋_GB2312"/>
          <w:sz w:val="32"/>
          <w:szCs w:val="32"/>
          <w:lang w:val="en-US" w:eastAsia="zh-CN"/>
        </w:rPr>
        <w:t>工作机制，保障自律管理对象正当权利，对《中国证券业协会自律措施实施办法》（以下简称《实施办法》）相关内容进行了修订。现将有关情况说明如下：</w:t>
      </w:r>
    </w:p>
    <w:p w14:paraId="22C0F7F8">
      <w:pPr>
        <w:pStyle w:val="6"/>
        <w:jc w:val="both"/>
        <w:rPr>
          <w:rFonts w:hint="eastAsia" w:ascii="仿宋_GB2312" w:hAnsi="仿宋_GB2312" w:eastAsia="仿宋_GB2312" w:cs="仿宋_GB2312"/>
          <w:b/>
          <w:bCs/>
        </w:rPr>
      </w:pPr>
      <w:r>
        <w:rPr>
          <w:rFonts w:hint="eastAsia" w:ascii="仿宋_GB2312" w:hAnsi="仿宋_GB2312" w:eastAsia="仿宋_GB2312" w:cs="仿宋_GB2312"/>
          <w:b w:val="0"/>
          <w:bCs w:val="0"/>
          <w:kern w:val="2"/>
          <w:sz w:val="32"/>
          <w:szCs w:val="32"/>
          <w:lang w:val="en-US" w:eastAsia="zh-CN" w:bidi="ar-SA"/>
        </w:rPr>
        <w:t xml:space="preserve">   </w:t>
      </w:r>
      <w:r>
        <w:rPr>
          <w:rFonts w:hint="eastAsia" w:ascii="黑体" w:hAnsi="黑体" w:eastAsia="黑体" w:cs="黑体"/>
          <w:b w:val="0"/>
          <w:bCs w:val="0"/>
          <w:kern w:val="2"/>
          <w:sz w:val="32"/>
          <w:szCs w:val="32"/>
          <w:lang w:val="en-US" w:eastAsia="zh-CN" w:bidi="ar-SA"/>
        </w:rPr>
        <w:t xml:space="preserve"> 一、修订背景</w:t>
      </w:r>
    </w:p>
    <w:p w14:paraId="2ED45651">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底，协会修订《中国证券业协会自律管理措施和纪律处分实施办法》，正式确立“查审分离”自律处分工作体制。多年以来，这一工作体制运行有序，协会自律措施实施规范性、科学性、公正度、透明度有了较大提升，但在案件查办效率和专业度提升方面仍需进一步优化。中国证监会有关监管文件也对协会在自律检查处分工作中加强与行政监管协同配合、提高监管效能等方面提出了新要求。因此，协会组织开展专项调研，参考国内外金融领域其他自律组织的优秀实践案例，对自律规则内容进行调整完善，优化相关工作机制。</w:t>
      </w:r>
    </w:p>
    <w:p w14:paraId="184CE82A">
      <w:pPr>
        <w:spacing w:line="240" w:lineRule="auto"/>
        <w:ind w:firstLine="640" w:firstLineChars="200"/>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二、修订思路</w:t>
      </w:r>
    </w:p>
    <w:p w14:paraId="4D85B177">
      <w:pPr>
        <w:widowControl w:val="0"/>
        <w:numPr>
          <w:ilvl w:val="0"/>
          <w:numId w:val="0"/>
        </w:numPr>
        <w:ind w:firstLine="643" w:firstLineChars="200"/>
        <w:jc w:val="both"/>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（一）推动自律检查处分与业务</w:t>
      </w:r>
      <w:r>
        <w:rPr>
          <w:rFonts w:hint="default" w:ascii="楷体_GB2312" w:hAnsi="楷体_GB2312" w:eastAsia="楷体_GB2312" w:cs="楷体_GB2312"/>
          <w:b/>
          <w:bCs/>
          <w:kern w:val="2"/>
          <w:sz w:val="32"/>
          <w:szCs w:val="32"/>
          <w:lang w:val="en-US" w:eastAsia="zh-CN" w:bidi="ar-SA"/>
        </w:rPr>
        <w:t>紧密</w:t>
      </w:r>
      <w:r>
        <w:rPr>
          <w:rFonts w:hint="eastAsia" w:ascii="楷体_GB2312" w:hAnsi="楷体_GB2312" w:eastAsia="楷体_GB2312" w:cs="楷体_GB2312"/>
          <w:b/>
          <w:bCs/>
          <w:kern w:val="2"/>
          <w:sz w:val="32"/>
          <w:szCs w:val="32"/>
          <w:lang w:val="en-US" w:eastAsia="zh-CN" w:bidi="ar-SA"/>
        </w:rPr>
        <w:t>结合</w:t>
      </w:r>
    </w:p>
    <w:p w14:paraId="2E3C78B4">
      <w:pPr>
        <w:widowControl w:val="0"/>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充分发挥协会业务管理部门专业优势，增强自律检查的自主性和灵活性</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强化业务管理部门的查审职能，提升案件查办质量，增强自律检查结果在促进行业业务规范开展等方面的作用。</w:t>
      </w:r>
    </w:p>
    <w:p w14:paraId="73ADB56A">
      <w:pPr>
        <w:widowControl w:val="0"/>
        <w:numPr>
          <w:ilvl w:val="0"/>
          <w:numId w:val="2"/>
        </w:numPr>
        <w:ind w:firstLine="643" w:firstLineChars="200"/>
        <w:jc w:val="both"/>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畅通自律处分查审衔接机制</w:t>
      </w:r>
    </w:p>
    <w:p w14:paraId="02648302">
      <w:pPr>
        <w:widowControl w:val="0"/>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推进案件繁简分流，建立灵活高效、有效制衡的自律检查处分工作安排，保证案件处理公平公正的同时，进一步提升案件查办效率。</w:t>
      </w:r>
    </w:p>
    <w:p w14:paraId="56A74443">
      <w:pPr>
        <w:widowControl w:val="0"/>
        <w:numPr>
          <w:ilvl w:val="0"/>
          <w:numId w:val="2"/>
        </w:numPr>
        <w:ind w:left="0" w:leftChars="0" w:firstLine="643" w:firstLineChars="200"/>
        <w:jc w:val="both"/>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完善自律检查处分工作标准</w:t>
      </w:r>
    </w:p>
    <w:p w14:paraId="052C0471">
      <w:pPr>
        <w:widowControl w:val="0"/>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深化自律查处工作统筹协调，明确自律查处程序、纪律要求，健全行业专家参与自律管理的工作机制，细化与行政监管的协同配合，形成查处工作合力。</w:t>
      </w:r>
    </w:p>
    <w:p w14:paraId="5699C28D">
      <w:pPr>
        <w:pStyle w:val="10"/>
        <w:spacing w:line="240" w:lineRule="auto"/>
        <w:rPr>
          <w:rFonts w:hint="default"/>
          <w:lang w:val="en-US" w:eastAsia="zh-CN"/>
        </w:rPr>
      </w:pPr>
      <w:r>
        <w:rPr>
          <w:rFonts w:hint="eastAsia" w:ascii="仿宋_GB2312" w:hAnsi="仿宋_GB2312" w:cs="仿宋_GB2312"/>
          <w:kern w:val="2"/>
          <w:sz w:val="32"/>
          <w:szCs w:val="32"/>
          <w:lang w:val="en-US" w:eastAsia="zh-CN" w:bidi="ar-SA"/>
        </w:rPr>
        <w:t xml:space="preserve">  </w:t>
      </w:r>
      <w:r>
        <w:rPr>
          <w:rFonts w:hint="eastAsia" w:ascii="黑体" w:hAnsi="黑体" w:eastAsia="黑体" w:cs="黑体"/>
          <w:kern w:val="2"/>
          <w:sz w:val="32"/>
          <w:szCs w:val="32"/>
          <w:lang w:val="en-US" w:eastAsia="zh-CN" w:bidi="ar-SA"/>
        </w:rPr>
        <w:t xml:space="preserve">  三、主要内容</w:t>
      </w:r>
    </w:p>
    <w:p w14:paraId="1BCEA502">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实施办法》定位为协会自律检查处分工作的一般性规则，基本保留了原办法第二、三章有关自律措施种类、适用标准等内容，主要对协会内部自律检查、调查、处分、复核等工作职责、工作程序、纪律要求等进行完善和细化，共八章九十三条，主要内容如下：</w:t>
      </w:r>
    </w:p>
    <w:p w14:paraId="507B66CB">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643" w:firstLineChars="200"/>
        <w:jc w:val="both"/>
        <w:textAlignment w:val="auto"/>
        <w:rPr>
          <w:rFonts w:hint="default" w:ascii="仿宋_GB2312" w:eastAsia="仿宋_GB2312"/>
          <w:b w:val="0"/>
          <w:bCs/>
          <w:sz w:val="32"/>
          <w:szCs w:val="32"/>
          <w:lang w:val="en-US" w:eastAsia="zh-CN"/>
        </w:rPr>
      </w:pPr>
      <w:r>
        <w:rPr>
          <w:rFonts w:hint="eastAsia" w:ascii="仿宋_GB2312" w:eastAsia="仿宋_GB2312"/>
          <w:b/>
          <w:bCs w:val="0"/>
          <w:sz w:val="32"/>
          <w:szCs w:val="32"/>
          <w:lang w:val="en-US" w:eastAsia="zh-CN"/>
        </w:rPr>
        <w:t>一是优化业务管理部门查审职责。</w:t>
      </w:r>
      <w:r>
        <w:rPr>
          <w:rFonts w:hint="eastAsia" w:ascii="仿宋_GB2312" w:eastAsia="仿宋_GB2312"/>
          <w:b w:val="0"/>
          <w:bCs/>
          <w:sz w:val="32"/>
          <w:szCs w:val="32"/>
          <w:lang w:val="en-US" w:eastAsia="zh-CN"/>
        </w:rPr>
        <w:t>《实施办法》第三条、第六十四条等明确规定了协会业务管理部门、法律事务部门、负责案件审理的专业委员会以及委员会办公室在检查、调查、处分、审理、复核方面的职责要求。</w:t>
      </w:r>
    </w:p>
    <w:p w14:paraId="7A1E9323">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643" w:firstLineChars="200"/>
        <w:jc w:val="both"/>
        <w:textAlignment w:val="auto"/>
        <w:rPr>
          <w:rFonts w:hint="eastAsia" w:ascii="仿宋_GB2312" w:eastAsia="仿宋_GB2312"/>
          <w:b w:val="0"/>
          <w:bCs/>
          <w:sz w:val="32"/>
          <w:szCs w:val="32"/>
          <w:lang w:val="en-US" w:eastAsia="zh-CN"/>
        </w:rPr>
      </w:pPr>
      <w:r>
        <w:rPr>
          <w:rFonts w:hint="eastAsia" w:ascii="仿宋_GB2312" w:eastAsia="仿宋_GB2312"/>
          <w:b/>
          <w:bCs w:val="0"/>
          <w:sz w:val="32"/>
          <w:szCs w:val="32"/>
          <w:lang w:val="en-US" w:eastAsia="zh-CN"/>
        </w:rPr>
        <w:t>二是健全自律检查程序相关规定。</w:t>
      </w:r>
      <w:r>
        <w:rPr>
          <w:rFonts w:hint="eastAsia" w:ascii="仿宋_GB2312" w:eastAsia="仿宋_GB2312"/>
          <w:b w:val="0"/>
          <w:bCs/>
          <w:sz w:val="32"/>
          <w:szCs w:val="32"/>
          <w:lang w:val="en-US" w:eastAsia="zh-CN"/>
        </w:rPr>
        <w:t>《实施办法》第四章第一节首次对协会开展自律检查全流程相关工作要求进行明确，包括检查计划、检查协同、检查实施、现场检查和非现场检查、检查方法、检查期限等。</w:t>
      </w:r>
    </w:p>
    <w:p w14:paraId="1980174A">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643" w:firstLineChars="200"/>
        <w:jc w:val="both"/>
        <w:textAlignment w:val="auto"/>
        <w:rPr>
          <w:rFonts w:hint="eastAsia" w:ascii="仿宋_GB2312" w:eastAsia="仿宋_GB2312"/>
          <w:b w:val="0"/>
          <w:bCs/>
          <w:sz w:val="32"/>
          <w:szCs w:val="32"/>
          <w:lang w:val="en-US" w:eastAsia="zh-CN"/>
        </w:rPr>
      </w:pPr>
      <w:r>
        <w:rPr>
          <w:rFonts w:hint="eastAsia" w:ascii="仿宋_GB2312" w:eastAsia="仿宋_GB2312"/>
          <w:b/>
          <w:bCs w:val="0"/>
          <w:sz w:val="32"/>
          <w:szCs w:val="32"/>
          <w:lang w:val="en-US" w:eastAsia="zh-CN"/>
        </w:rPr>
        <w:t>三是完善自律调查处分工作标准。</w:t>
      </w:r>
      <w:r>
        <w:rPr>
          <w:rFonts w:hint="eastAsia" w:ascii="仿宋_GB2312" w:eastAsia="仿宋_GB2312"/>
          <w:b w:val="0"/>
          <w:bCs/>
          <w:sz w:val="32"/>
          <w:szCs w:val="32"/>
          <w:lang w:val="en-US" w:eastAsia="zh-CN"/>
        </w:rPr>
        <w:t>根据案件繁简程度确定不同的自律检查调查处分决策流程，规范移交审理标准，明确会商工作机制，细化事先告知、陈述申辩、听证阅卷、文书送达执行等方面工作要求，充分保障当事人合法权益。</w:t>
      </w:r>
    </w:p>
    <w:p w14:paraId="0AB62B1A">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643" w:firstLineChars="200"/>
        <w:jc w:val="both"/>
        <w:textAlignment w:val="auto"/>
        <w:rPr>
          <w:rFonts w:hint="eastAsia" w:ascii="仿宋_GB2312" w:eastAsia="仿宋_GB2312"/>
          <w:b w:val="0"/>
          <w:bCs/>
          <w:sz w:val="32"/>
          <w:szCs w:val="32"/>
          <w:lang w:val="en-US" w:eastAsia="zh-CN"/>
        </w:rPr>
      </w:pPr>
      <w:r>
        <w:rPr>
          <w:rFonts w:hint="eastAsia" w:ascii="仿宋_GB2312" w:eastAsia="仿宋_GB2312"/>
          <w:b/>
          <w:bCs w:val="0"/>
          <w:sz w:val="32"/>
          <w:szCs w:val="32"/>
          <w:lang w:val="en-US" w:eastAsia="zh-CN"/>
        </w:rPr>
        <w:t>四是充实专业委员会案件审理复核职能。</w:t>
      </w:r>
      <w:r>
        <w:rPr>
          <w:rFonts w:hint="eastAsia" w:ascii="仿宋_GB2312" w:eastAsia="仿宋_GB2312"/>
          <w:b w:val="0"/>
          <w:bCs/>
          <w:sz w:val="32"/>
          <w:szCs w:val="32"/>
          <w:lang w:val="en-US" w:eastAsia="zh-CN"/>
        </w:rPr>
        <w:t>整合原《自律处分与内审专业委员会办案规则》内容，进一步细化委员会办公室及委员会在案件审理中的职责，强化工作纪</w:t>
      </w:r>
      <w:bookmarkStart w:id="0" w:name="_GoBack"/>
      <w:bookmarkEnd w:id="0"/>
      <w:r>
        <w:rPr>
          <w:rFonts w:hint="eastAsia" w:ascii="仿宋_GB2312" w:eastAsia="仿宋_GB2312"/>
          <w:b w:val="0"/>
          <w:bCs/>
          <w:sz w:val="32"/>
          <w:szCs w:val="32"/>
          <w:lang w:val="en-US" w:eastAsia="zh-CN"/>
        </w:rPr>
        <w:t>律，保障纪律处分案件审理的公平公正。</w:t>
      </w:r>
    </w:p>
    <w:p w14:paraId="7359F783">
      <w:pPr>
        <w:pStyle w:val="11"/>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643" w:firstLineChars="200"/>
        <w:jc w:val="both"/>
        <w:textAlignment w:val="auto"/>
        <w:rPr>
          <w:rFonts w:hint="default" w:ascii="仿宋_GB2312" w:eastAsia="仿宋_GB2312"/>
          <w:b w:val="0"/>
          <w:bCs/>
          <w:sz w:val="32"/>
          <w:szCs w:val="32"/>
          <w:lang w:val="en-US" w:eastAsia="zh-CN"/>
        </w:rPr>
      </w:pPr>
      <w:r>
        <w:rPr>
          <w:rFonts w:hint="eastAsia" w:ascii="仿宋_GB2312" w:eastAsia="仿宋_GB2312"/>
          <w:b/>
          <w:bCs w:val="0"/>
          <w:sz w:val="32"/>
          <w:szCs w:val="32"/>
          <w:lang w:val="en-US" w:eastAsia="zh-CN"/>
        </w:rPr>
        <w:t>五是防控自律检查处分廉政风险。</w:t>
      </w:r>
      <w:r>
        <w:rPr>
          <w:rFonts w:hint="eastAsia" w:ascii="仿宋_GB2312" w:eastAsia="仿宋_GB2312"/>
          <w:b w:val="0"/>
          <w:bCs/>
          <w:sz w:val="32"/>
          <w:szCs w:val="32"/>
          <w:lang w:val="en-US" w:eastAsia="zh-CN"/>
        </w:rPr>
        <w:t>第七章中对检查、调查、处分、审理、复核等人员工作纪律、回避、保密、检查对象及协会纪检监督等各项廉政风险防控机制进行细化，确保自律检查处分工作的公平性、公正性和权威性。</w:t>
      </w:r>
    </w:p>
    <w:p w14:paraId="387C595C">
      <w:pPr>
        <w:pStyle w:val="10"/>
        <w:numPr>
          <w:ilvl w:val="0"/>
          <w:numId w:val="3"/>
        </w:numPr>
        <w:spacing w:line="240" w:lineRule="auto"/>
        <w:ind w:left="640" w:leftChars="0"/>
        <w:rPr>
          <w:rFonts w:hint="eastAsia" w:ascii="黑体" w:hAnsi="黑体" w:eastAsia="黑体" w:cs="黑体"/>
          <w:lang w:val="en-US" w:eastAsia="zh-CN"/>
        </w:rPr>
      </w:pPr>
      <w:r>
        <w:rPr>
          <w:rFonts w:hint="eastAsia" w:ascii="黑体" w:hAnsi="黑体" w:eastAsia="黑体" w:cs="黑体"/>
          <w:lang w:val="en-US" w:eastAsia="zh-CN"/>
        </w:rPr>
        <w:t>征求意见情况</w:t>
      </w:r>
    </w:p>
    <w:p w14:paraId="5D891EB8">
      <w:pPr>
        <w:ind w:firstLine="640"/>
        <w:rPr>
          <w:rFonts w:hint="eastAsia" w:ascii="仿宋_GB2312" w:hAnsi="仿宋" w:eastAsia="仿宋_GB2312" w:cs="Times New Roman"/>
          <w:bCs/>
          <w:sz w:val="32"/>
          <w:lang w:val="en-US" w:eastAsia="zh-CN"/>
        </w:rPr>
      </w:pPr>
      <w:r>
        <w:rPr>
          <w:rFonts w:hint="eastAsia" w:ascii="仿宋_GB2312" w:hAnsi="仿宋" w:eastAsia="仿宋_GB2312" w:cs="Times New Roman"/>
          <w:bCs/>
          <w:sz w:val="32"/>
          <w:lang w:val="en-US" w:eastAsia="zh-CN"/>
        </w:rPr>
        <w:t>2025年9月，协会就《实施办法》向监管部门和行业征求意见，20家证券公司，2家资信评级公司，1家投资咨询公司共提出102条意见，经对反馈意见进行充分研究，全部采纳、部分采纳或原则性采纳76条，暂不采纳26条。意见采纳情况主要如下：</w:t>
      </w:r>
    </w:p>
    <w:p w14:paraId="1C426E67">
      <w:pPr>
        <w:numPr>
          <w:ilvl w:val="0"/>
          <w:numId w:val="4"/>
        </w:numPr>
        <w:ind w:firstLine="643" w:firstLineChars="200"/>
        <w:rPr>
          <w:rFonts w:hint="eastAsia" w:ascii="楷体_GB2312" w:hAnsi="楷体_GB2312" w:eastAsia="楷体_GB2312" w:cs="楷体_GB2312"/>
          <w:b/>
          <w:bCs w:val="0"/>
          <w:sz w:val="32"/>
          <w:lang w:val="en-US" w:eastAsia="zh-CN"/>
        </w:rPr>
      </w:pPr>
      <w:r>
        <w:rPr>
          <w:rFonts w:hint="eastAsia" w:ascii="楷体_GB2312" w:hAnsi="楷体_GB2312" w:eastAsia="楷体_GB2312" w:cs="楷体_GB2312"/>
          <w:b/>
          <w:bCs w:val="0"/>
          <w:sz w:val="32"/>
          <w:lang w:val="en-US" w:eastAsia="zh-CN"/>
        </w:rPr>
        <w:t>关于自律措施适用标准</w:t>
      </w:r>
    </w:p>
    <w:p w14:paraId="7E3E0B46">
      <w:pPr>
        <w:numPr>
          <w:ilvl w:val="-1"/>
          <w:numId w:val="0"/>
        </w:numPr>
        <w:ind w:firstLine="0" w:firstLineChars="0"/>
        <w:rPr>
          <w:rFonts w:hint="eastAsia" w:ascii="仿宋_GB2312" w:hAnsi="仿宋" w:eastAsia="仿宋_GB2312" w:cs="Times New Roman"/>
          <w:bCs/>
          <w:sz w:val="32"/>
          <w:lang w:val="en-US" w:eastAsia="zh-CN"/>
        </w:rPr>
      </w:pPr>
      <w:r>
        <w:rPr>
          <w:rFonts w:hint="eastAsia" w:ascii="仿宋_GB2312" w:hAnsi="仿宋" w:eastAsia="仿宋_GB2312" w:cs="Times New Roman"/>
          <w:bCs/>
          <w:sz w:val="32"/>
          <w:lang w:val="en-US" w:eastAsia="zh-CN"/>
        </w:rPr>
        <w:t xml:space="preserve">    部分公司建议对自律措施的适用和裁量标准进一步细化，可参照其他自律组织的规定纳入相关主客观考量因素等，经研究予以采纳，新增第二十三条“实施自律措施应综合考量的主客观因素”，包含“违规性质、危害后果、社会影响、过错程度等”，辅助确定违规情节严重程度，进而采取不同档次的处分措施；参照《证券期货市场监督管理措施实施办法》（证监会令</w:t>
      </w:r>
      <w:r>
        <w:rPr>
          <w:rFonts w:hint="eastAsia" w:ascii="仿宋_GB2312" w:eastAsia="仿宋_GB2312"/>
          <w:sz w:val="32"/>
          <w:szCs w:val="32"/>
        </w:rPr>
        <w:t>〔</w:t>
      </w:r>
      <w:r>
        <w:rPr>
          <w:rFonts w:hint="eastAsia" w:ascii="仿宋_GB2312" w:eastAsia="仿宋_GB2312"/>
          <w:sz w:val="32"/>
          <w:szCs w:val="32"/>
          <w:lang w:val="en-US" w:eastAsia="zh-CN"/>
        </w:rPr>
        <w:t>第231号</w:t>
      </w:r>
      <w:r>
        <w:rPr>
          <w:rFonts w:hint="eastAsia" w:ascii="仿宋_GB2312" w:eastAsia="仿宋_GB2312"/>
          <w:sz w:val="32"/>
          <w:szCs w:val="32"/>
        </w:rPr>
        <w:t>〕</w:t>
      </w:r>
      <w:r>
        <w:rPr>
          <w:rFonts w:hint="eastAsia" w:ascii="仿宋_GB2312" w:hAnsi="仿宋" w:eastAsia="仿宋_GB2312" w:cs="Times New Roman"/>
          <w:bCs/>
          <w:sz w:val="32"/>
          <w:lang w:val="en-US" w:eastAsia="zh-CN"/>
        </w:rPr>
        <w:t>）有关规定，调整第二十六条第（二）项“不予采取自律措施”的情形为：</w:t>
      </w:r>
      <w:r>
        <w:rPr>
          <w:rFonts w:hint="eastAsia" w:ascii="仿宋_GB2312" w:eastAsia="仿宋_GB2312" w:cs="宋体"/>
          <w:kern w:val="0"/>
          <w:sz w:val="32"/>
          <w:szCs w:val="32"/>
        </w:rPr>
        <w:t>违规行为在两年内未被监管机关或自律组织发现的，法律、行政法规、中国证监会规章另有规定或者</w:t>
      </w:r>
      <w:r>
        <w:rPr>
          <w:rFonts w:hint="eastAsia" w:ascii="仿宋_GB2312" w:eastAsia="仿宋_GB2312" w:cs="宋体"/>
          <w:kern w:val="0"/>
          <w:sz w:val="32"/>
          <w:szCs w:val="32"/>
          <w:lang w:val="en-US" w:eastAsia="zh-CN"/>
        </w:rPr>
        <w:t>违规</w:t>
      </w:r>
      <w:r>
        <w:rPr>
          <w:rFonts w:hint="eastAsia" w:ascii="仿宋_GB2312" w:eastAsia="仿宋_GB2312" w:cs="宋体"/>
          <w:kern w:val="0"/>
          <w:sz w:val="32"/>
          <w:szCs w:val="32"/>
        </w:rPr>
        <w:t>行为所产生的影响尚未消除的除外</w:t>
      </w:r>
      <w:r>
        <w:rPr>
          <w:rFonts w:hint="eastAsia" w:ascii="仿宋_GB2312" w:eastAsia="仿宋_GB2312" w:cs="宋体"/>
          <w:kern w:val="0"/>
          <w:sz w:val="32"/>
          <w:szCs w:val="32"/>
          <w:lang w:eastAsia="zh-CN"/>
        </w:rPr>
        <w:t>。</w:t>
      </w:r>
    </w:p>
    <w:p w14:paraId="37F15895">
      <w:pPr>
        <w:numPr>
          <w:ilvl w:val="0"/>
          <w:numId w:val="4"/>
        </w:numPr>
        <w:ind w:firstLine="643" w:firstLineChars="200"/>
        <w:rPr>
          <w:rFonts w:hint="eastAsia" w:ascii="楷体_GB2312" w:hAnsi="楷体_GB2312" w:eastAsia="楷体_GB2312" w:cs="楷体_GB2312"/>
          <w:b/>
          <w:bCs w:val="0"/>
          <w:sz w:val="32"/>
          <w:lang w:val="en-US" w:eastAsia="zh-CN"/>
        </w:rPr>
      </w:pPr>
      <w:r>
        <w:rPr>
          <w:rFonts w:hint="eastAsia" w:ascii="楷体_GB2312" w:hAnsi="楷体_GB2312" w:eastAsia="楷体_GB2312" w:cs="楷体_GB2312"/>
          <w:b/>
          <w:bCs w:val="0"/>
          <w:sz w:val="32"/>
          <w:lang w:val="en-US" w:eastAsia="zh-CN"/>
        </w:rPr>
        <w:t>关于工作措施适用标准</w:t>
      </w:r>
    </w:p>
    <w:p w14:paraId="75CFB474">
      <w:pPr>
        <w:widowControl/>
        <w:spacing w:line="240" w:lineRule="auto"/>
        <w:ind w:firstLine="640" w:firstLineChars="200"/>
        <w:rPr>
          <w:rFonts w:hint="eastAsia" w:ascii="仿宋_GB2312" w:eastAsia="仿宋_GB2312" w:cs="宋体"/>
          <w:kern w:val="0"/>
          <w:sz w:val="32"/>
          <w:szCs w:val="32"/>
          <w:lang w:val="en-US" w:eastAsia="zh-CN"/>
        </w:rPr>
      </w:pPr>
      <w:r>
        <w:rPr>
          <w:rFonts w:hint="eastAsia" w:ascii="仿宋_GB2312" w:hAnsi="仿宋" w:eastAsia="仿宋_GB2312" w:cs="Times New Roman"/>
          <w:bCs/>
          <w:sz w:val="32"/>
          <w:lang w:val="en-US" w:eastAsia="zh-CN"/>
        </w:rPr>
        <w:t>部分公司建议进一步明确除自律措施以外工作措施的适用标准和工作程序，经研究予以采纳，将原工作措施的条文表述修改为“</w:t>
      </w:r>
      <w:r>
        <w:rPr>
          <w:rFonts w:hint="eastAsia" w:ascii="仿宋_GB2312" w:eastAsia="仿宋_GB2312" w:cs="宋体"/>
          <w:kern w:val="0"/>
          <w:sz w:val="32"/>
          <w:szCs w:val="32"/>
          <w:lang w:val="en-US" w:eastAsia="zh-CN"/>
        </w:rPr>
        <w:t>协会经自律检查、调查或审理后，对自律管理对象决定不予或免于采取自律措施，但有必要提醒其进一步规范相关工作或行为的，</w:t>
      </w:r>
      <w:r>
        <w:rPr>
          <w:rFonts w:hint="eastAsia" w:ascii="仿宋_GB2312" w:eastAsia="仿宋_GB2312" w:cs="宋体"/>
          <w:kern w:val="0"/>
          <w:sz w:val="32"/>
          <w:szCs w:val="32"/>
        </w:rPr>
        <w:t>可</w:t>
      </w:r>
      <w:r>
        <w:rPr>
          <w:rFonts w:hint="eastAsia" w:ascii="仿宋_GB2312" w:eastAsia="仿宋_GB2312" w:cs="宋体"/>
          <w:kern w:val="0"/>
          <w:sz w:val="32"/>
          <w:szCs w:val="32"/>
          <w:lang w:val="en-US" w:eastAsia="zh-CN"/>
        </w:rPr>
        <w:t>根据实际情况</w:t>
      </w:r>
      <w:r>
        <w:rPr>
          <w:rFonts w:hint="eastAsia" w:ascii="仿宋_GB2312" w:eastAsia="仿宋_GB2312" w:cs="宋体"/>
          <w:kern w:val="0"/>
          <w:sz w:val="32"/>
          <w:szCs w:val="32"/>
        </w:rPr>
        <w:t>对自律管理对象采取发送提醒函、约谈、要求回应、声明等工作措施</w:t>
      </w:r>
      <w:r>
        <w:rPr>
          <w:rFonts w:hint="eastAsia" w:ascii="仿宋_GB2312" w:hAnsi="仿宋" w:eastAsia="仿宋_GB2312" w:cs="Times New Roman"/>
          <w:bCs/>
          <w:sz w:val="32"/>
          <w:lang w:val="en-US" w:eastAsia="zh-CN"/>
        </w:rPr>
        <w:t>”</w:t>
      </w:r>
      <w:r>
        <w:rPr>
          <w:rFonts w:hint="eastAsia" w:ascii="仿宋_GB2312" w:eastAsia="仿宋_GB2312" w:cs="宋体"/>
          <w:kern w:val="0"/>
          <w:sz w:val="32"/>
          <w:szCs w:val="32"/>
        </w:rPr>
        <w:t>。</w:t>
      </w:r>
      <w:r>
        <w:rPr>
          <w:rFonts w:hint="eastAsia" w:ascii="仿宋_GB2312" w:eastAsia="仿宋_GB2312" w:cs="宋体"/>
          <w:kern w:val="0"/>
          <w:sz w:val="32"/>
          <w:szCs w:val="32"/>
          <w:lang w:val="en-US" w:eastAsia="zh-CN"/>
        </w:rPr>
        <w:t>并增加第八十四条“工作措施流程，即按照本办法规定的有关处理阶段对应的审批流程履行审批审议程序后向相关机构或人员发送”。</w:t>
      </w:r>
    </w:p>
    <w:p w14:paraId="6FA7CE0F">
      <w:pPr>
        <w:widowControl/>
        <w:numPr>
          <w:ilvl w:val="-1"/>
          <w:numId w:val="0"/>
        </w:numPr>
        <w:spacing w:line="240" w:lineRule="auto"/>
        <w:ind w:firstLine="643" w:firstLineChars="200"/>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（三）关于自律检查处分程序要求</w:t>
      </w:r>
    </w:p>
    <w:p w14:paraId="611A262D">
      <w:pPr>
        <w:pStyle w:val="10"/>
        <w:spacing w:line="240" w:lineRule="auto"/>
        <w:rPr>
          <w:rFonts w:hint="eastAsia" w:ascii="仿宋_GB2312" w:hAnsi="仿宋" w:eastAsia="仿宋_GB2312" w:cs="Times New Roman"/>
          <w:b/>
          <w:bCs w:val="0"/>
          <w:sz w:val="32"/>
          <w:lang w:val="en-US" w:eastAsia="zh-CN"/>
        </w:rPr>
      </w:pPr>
      <w:r>
        <w:rPr>
          <w:rFonts w:hint="eastAsia" w:ascii="黑体" w:hAnsi="黑体" w:eastAsia="黑体" w:cs="黑体"/>
          <w:lang w:val="en-US" w:eastAsia="zh-CN"/>
        </w:rPr>
        <w:t xml:space="preserve">  </w:t>
      </w:r>
      <w:r>
        <w:rPr>
          <w:rFonts w:hint="eastAsia" w:ascii="仿宋_GB2312" w:hAnsi="仿宋" w:eastAsia="仿宋_GB2312" w:cs="Times New Roman"/>
          <w:bCs/>
          <w:lang w:val="en-US" w:eastAsia="zh-CN"/>
        </w:rPr>
        <w:t xml:space="preserve"> </w:t>
      </w:r>
      <w:r>
        <w:rPr>
          <w:rFonts w:hint="eastAsia" w:ascii="仿宋_GB2312" w:hAnsi="仿宋" w:cs="Times New Roman"/>
          <w:bCs/>
          <w:lang w:val="en-US" w:eastAsia="zh-CN"/>
        </w:rPr>
        <w:t xml:space="preserve"> 部分公司建议对自律检查相关环节，例如与监管的检查协同、检查方法、事实确认及异议反馈、证据采集、非现场检查方式、立案、听证、复核文书的制作与送达等提出完善意见，经研究予以采纳并完善相关条文表述。</w:t>
      </w:r>
    </w:p>
    <w:p w14:paraId="1A794D9A">
      <w:pPr>
        <w:numPr>
          <w:ilvl w:val="0"/>
          <w:numId w:val="0"/>
        </w:numPr>
        <w:ind w:firstLine="640"/>
        <w:rPr>
          <w:rFonts w:hint="eastAsia" w:ascii="楷体_GB2312" w:hAnsi="楷体_GB2312" w:eastAsia="楷体_GB2312" w:cs="楷体_GB2312"/>
          <w:b/>
          <w:bCs w:val="0"/>
          <w:sz w:val="32"/>
          <w:lang w:val="en-US" w:eastAsia="zh-CN"/>
        </w:rPr>
      </w:pPr>
      <w:r>
        <w:rPr>
          <w:rFonts w:hint="eastAsia" w:ascii="楷体_GB2312" w:hAnsi="楷体_GB2312" w:eastAsia="楷体_GB2312" w:cs="楷体_GB2312"/>
          <w:b/>
          <w:bCs w:val="0"/>
          <w:sz w:val="32"/>
          <w:lang w:val="en-US" w:eastAsia="zh-CN"/>
        </w:rPr>
        <w:t>（四）关于事先告知适用范围</w:t>
      </w:r>
    </w:p>
    <w:p w14:paraId="3FB0DB45">
      <w:pPr>
        <w:widowControl/>
        <w:spacing w:line="240" w:lineRule="auto"/>
        <w:ind w:firstLine="640" w:firstLineChars="200"/>
        <w:rPr>
          <w:rFonts w:hint="eastAsia" w:ascii="仿宋_GB2312" w:eastAsia="仿宋_GB2312" w:cs="宋体"/>
          <w:kern w:val="0"/>
          <w:sz w:val="32"/>
          <w:szCs w:val="32"/>
          <w:lang w:val="en-US" w:eastAsia="zh-CN"/>
        </w:rPr>
      </w:pPr>
      <w:r>
        <w:rPr>
          <w:rFonts w:hint="eastAsia" w:ascii="仿宋_GB2312" w:hAnsi="仿宋" w:eastAsia="仿宋_GB2312" w:cs="Times New Roman"/>
          <w:bCs/>
          <w:sz w:val="32"/>
          <w:lang w:val="en-US" w:eastAsia="zh-CN"/>
        </w:rPr>
        <w:t>部分公司提出，书面自律管理措施可能对相关主体产生较大影响，建议纳入“应当事先告知”的范围，给予当事人申辩的机会，充分保障其权利，经研究予以采纳并修改相关条款。</w:t>
      </w:r>
    </w:p>
    <w:p w14:paraId="40162DBB">
      <w:pPr>
        <w:pStyle w:val="10"/>
        <w:numPr>
          <w:ilvl w:val="-1"/>
          <w:numId w:val="0"/>
        </w:numPr>
        <w:spacing w:line="240" w:lineRule="auto"/>
        <w:ind w:left="0" w:leftChars="0" w:firstLine="643" w:firstLineChars="200"/>
        <w:rPr>
          <w:rFonts w:hint="eastAsia" w:ascii="楷体_GB2312" w:hAnsi="楷体_GB2312" w:eastAsia="楷体_GB2312" w:cs="楷体_GB2312"/>
          <w:b/>
          <w:bCs w:val="0"/>
          <w:lang w:val="en-US" w:eastAsia="zh-CN"/>
        </w:rPr>
      </w:pPr>
      <w:r>
        <w:rPr>
          <w:rFonts w:hint="eastAsia" w:ascii="楷体_GB2312" w:hAnsi="楷体_GB2312" w:eastAsia="楷体_GB2312" w:cs="楷体_GB2312"/>
          <w:b/>
          <w:bCs w:val="0"/>
          <w:lang w:val="en-US" w:eastAsia="zh-CN"/>
        </w:rPr>
        <w:t>（五）关于相关工作人员回避情形</w:t>
      </w:r>
    </w:p>
    <w:p w14:paraId="72B71972">
      <w:pPr>
        <w:pStyle w:val="10"/>
        <w:numPr>
          <w:ilvl w:val="-1"/>
          <w:numId w:val="0"/>
        </w:numPr>
        <w:spacing w:line="240" w:lineRule="auto"/>
        <w:ind w:left="0" w:leftChars="0" w:firstLine="640" w:firstLineChars="200"/>
        <w:rPr>
          <w:rFonts w:hint="eastAsia" w:ascii="仿宋_GB2312" w:hAnsi="仿宋" w:cs="Times New Roman"/>
          <w:bCs/>
          <w:lang w:val="en-US" w:eastAsia="zh-CN"/>
        </w:rPr>
      </w:pPr>
      <w:r>
        <w:rPr>
          <w:rFonts w:hint="eastAsia" w:ascii="仿宋_GB2312" w:hAnsi="仿宋" w:cs="Times New Roman"/>
          <w:bCs/>
          <w:lang w:val="en-US" w:eastAsia="zh-CN"/>
        </w:rPr>
        <w:t>部分公司提出，参与案件调查、审理、复核的协会工作人员和外部专家不得与案件存在利益冲突，外部专家还应遵守保密要求，参与案件审理复核的专业委员会委员应当不存在利益冲突等意见，经研究予以采纳，一并纳入第八十八条“回避事项”。</w:t>
      </w:r>
    </w:p>
    <w:p w14:paraId="034C887A">
      <w:pPr>
        <w:pStyle w:val="10"/>
        <w:numPr>
          <w:ilvl w:val="0"/>
          <w:numId w:val="5"/>
        </w:numPr>
        <w:spacing w:line="240" w:lineRule="auto"/>
        <w:ind w:left="0" w:leftChars="0" w:firstLine="643" w:firstLineChars="200"/>
        <w:rPr>
          <w:rFonts w:hint="eastAsia" w:ascii="楷体_GB2312" w:hAnsi="楷体_GB2312" w:eastAsia="楷体_GB2312" w:cs="楷体_GB2312"/>
          <w:b/>
          <w:bCs w:val="0"/>
          <w:lang w:val="en-US" w:eastAsia="zh-CN"/>
        </w:rPr>
      </w:pPr>
      <w:r>
        <w:rPr>
          <w:rFonts w:hint="eastAsia" w:ascii="楷体_GB2312" w:hAnsi="楷体_GB2312" w:eastAsia="楷体_GB2312" w:cs="楷体_GB2312"/>
          <w:b/>
          <w:bCs w:val="0"/>
          <w:lang w:val="en-US" w:eastAsia="zh-CN"/>
        </w:rPr>
        <w:t>其他文字表述修改</w:t>
      </w:r>
    </w:p>
    <w:p w14:paraId="79BE3C5B">
      <w:pPr>
        <w:pStyle w:val="10"/>
        <w:numPr>
          <w:ilvl w:val="0"/>
          <w:numId w:val="0"/>
        </w:numPr>
        <w:ind w:left="640" w:leftChars="0"/>
        <w:rPr>
          <w:rFonts w:hint="default" w:ascii="仿宋_GB2312" w:hAnsi="仿宋"/>
          <w:bCs/>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4AE7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AFAF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0AFAF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C2DEAE"/>
    <w:multiLevelType w:val="singleLevel"/>
    <w:tmpl w:val="C5C2DEAE"/>
    <w:lvl w:ilvl="0" w:tentative="0">
      <w:start w:val="1"/>
      <w:numFmt w:val="chineseCounting"/>
      <w:suff w:val="nothing"/>
      <w:lvlText w:val="（%1）"/>
      <w:lvlJc w:val="left"/>
      <w:rPr>
        <w:rFonts w:hint="eastAsia"/>
      </w:rPr>
    </w:lvl>
  </w:abstractNum>
  <w:abstractNum w:abstractNumId="1">
    <w:nsid w:val="F4AE637E"/>
    <w:multiLevelType w:val="singleLevel"/>
    <w:tmpl w:val="F4AE637E"/>
    <w:lvl w:ilvl="0" w:tentative="0">
      <w:start w:val="4"/>
      <w:numFmt w:val="chineseCounting"/>
      <w:suff w:val="nothing"/>
      <w:lvlText w:val="%1、"/>
      <w:lvlJc w:val="left"/>
      <w:rPr>
        <w:rFonts w:hint="eastAsia"/>
      </w:rPr>
    </w:lvl>
  </w:abstractNum>
  <w:abstractNum w:abstractNumId="2">
    <w:nsid w:val="19D81BFA"/>
    <w:multiLevelType w:val="singleLevel"/>
    <w:tmpl w:val="19D81BFA"/>
    <w:lvl w:ilvl="0" w:tentative="0">
      <w:start w:val="2"/>
      <w:numFmt w:val="chineseCounting"/>
      <w:suff w:val="nothing"/>
      <w:lvlText w:val="（%1）"/>
      <w:lvlJc w:val="left"/>
      <w:rPr>
        <w:rFonts w:hint="eastAsia"/>
      </w:rPr>
    </w:lvl>
  </w:abstractNum>
  <w:abstractNum w:abstractNumId="3">
    <w:nsid w:val="2EC89590"/>
    <w:multiLevelType w:val="singleLevel"/>
    <w:tmpl w:val="2EC89590"/>
    <w:lvl w:ilvl="0" w:tentative="0">
      <w:start w:val="6"/>
      <w:numFmt w:val="chineseCounting"/>
      <w:suff w:val="nothing"/>
      <w:lvlText w:val="（%1）"/>
      <w:lvlJc w:val="left"/>
      <w:rPr>
        <w:rFonts w:hint="eastAsia"/>
      </w:rPr>
    </w:lvl>
  </w:abstractNum>
  <w:abstractNum w:abstractNumId="4">
    <w:nsid w:val="6A2D7C61"/>
    <w:multiLevelType w:val="multilevel"/>
    <w:tmpl w:val="6A2D7C61"/>
    <w:lvl w:ilvl="0" w:tentative="0">
      <w:start w:val="1"/>
      <w:numFmt w:val="bullet"/>
      <w:pStyle w:val="7"/>
      <w:lvlText w:val=""/>
      <w:lvlJc w:val="left"/>
      <w:pPr>
        <w:tabs>
          <w:tab w:val="left" w:pos="845"/>
        </w:tabs>
        <w:ind w:left="845" w:hanging="420"/>
      </w:pPr>
      <w:rPr>
        <w:rFonts w:hint="default" w:ascii="Wingdings" w:hAnsi="Wingdings"/>
      </w:rPr>
    </w:lvl>
    <w:lvl w:ilvl="1" w:tentative="0">
      <w:start w:val="1"/>
      <w:numFmt w:val="bullet"/>
      <w:lvlText w:val=""/>
      <w:lvlJc w:val="left"/>
      <w:pPr>
        <w:tabs>
          <w:tab w:val="left" w:pos="1265"/>
        </w:tabs>
        <w:ind w:left="1265" w:hanging="420"/>
      </w:pPr>
      <w:rPr>
        <w:rFonts w:hint="default" w:ascii="Wingdings" w:hAnsi="Wingdings"/>
      </w:rPr>
    </w:lvl>
    <w:lvl w:ilvl="2" w:tentative="0">
      <w:start w:val="1"/>
      <w:numFmt w:val="bullet"/>
      <w:lvlText w:val=""/>
      <w:lvlJc w:val="left"/>
      <w:pPr>
        <w:tabs>
          <w:tab w:val="left" w:pos="1685"/>
        </w:tabs>
        <w:ind w:left="1685" w:hanging="420"/>
      </w:pPr>
      <w:rPr>
        <w:rFonts w:hint="default" w:ascii="Wingdings" w:hAnsi="Wingdings"/>
      </w:rPr>
    </w:lvl>
    <w:lvl w:ilvl="3" w:tentative="0">
      <w:start w:val="1"/>
      <w:numFmt w:val="bullet"/>
      <w:lvlText w:val=""/>
      <w:lvlJc w:val="left"/>
      <w:pPr>
        <w:tabs>
          <w:tab w:val="left" w:pos="2105"/>
        </w:tabs>
        <w:ind w:left="2105" w:hanging="420"/>
      </w:pPr>
      <w:rPr>
        <w:rFonts w:hint="default" w:ascii="Wingdings" w:hAnsi="Wingdings"/>
      </w:rPr>
    </w:lvl>
    <w:lvl w:ilvl="4" w:tentative="0">
      <w:start w:val="1"/>
      <w:numFmt w:val="bullet"/>
      <w:lvlText w:val=""/>
      <w:lvlJc w:val="left"/>
      <w:pPr>
        <w:tabs>
          <w:tab w:val="left" w:pos="2525"/>
        </w:tabs>
        <w:ind w:left="2525" w:hanging="420"/>
      </w:pPr>
      <w:rPr>
        <w:rFonts w:hint="default" w:ascii="Wingdings" w:hAnsi="Wingdings"/>
      </w:rPr>
    </w:lvl>
    <w:lvl w:ilvl="5" w:tentative="0">
      <w:start w:val="1"/>
      <w:numFmt w:val="bullet"/>
      <w:lvlText w:val=""/>
      <w:lvlJc w:val="left"/>
      <w:pPr>
        <w:tabs>
          <w:tab w:val="left" w:pos="2945"/>
        </w:tabs>
        <w:ind w:left="2945" w:hanging="420"/>
      </w:pPr>
      <w:rPr>
        <w:rFonts w:hint="default" w:ascii="Wingdings" w:hAnsi="Wingdings"/>
      </w:rPr>
    </w:lvl>
    <w:lvl w:ilvl="6" w:tentative="0">
      <w:start w:val="1"/>
      <w:numFmt w:val="bullet"/>
      <w:lvlText w:val=""/>
      <w:lvlJc w:val="left"/>
      <w:pPr>
        <w:tabs>
          <w:tab w:val="left" w:pos="3365"/>
        </w:tabs>
        <w:ind w:left="3365" w:hanging="420"/>
      </w:pPr>
      <w:rPr>
        <w:rFonts w:hint="default" w:ascii="Wingdings" w:hAnsi="Wingdings"/>
      </w:rPr>
    </w:lvl>
    <w:lvl w:ilvl="7" w:tentative="0">
      <w:start w:val="1"/>
      <w:numFmt w:val="bullet"/>
      <w:lvlText w:val=""/>
      <w:lvlJc w:val="left"/>
      <w:pPr>
        <w:tabs>
          <w:tab w:val="left" w:pos="3785"/>
        </w:tabs>
        <w:ind w:left="3785" w:hanging="420"/>
      </w:pPr>
      <w:rPr>
        <w:rFonts w:hint="default" w:ascii="Wingdings" w:hAnsi="Wingdings"/>
      </w:rPr>
    </w:lvl>
    <w:lvl w:ilvl="8" w:tentative="0">
      <w:start w:val="1"/>
      <w:numFmt w:val="bullet"/>
      <w:lvlText w:val=""/>
      <w:lvlJc w:val="left"/>
      <w:pPr>
        <w:tabs>
          <w:tab w:val="left" w:pos="4205"/>
        </w:tabs>
        <w:ind w:left="4205" w:hanging="420"/>
      </w:pPr>
      <w:rPr>
        <w:rFonts w:hint="default" w:ascii="Wingdings" w:hAnsi="Wingdings"/>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533EB"/>
    <w:rsid w:val="01DE1773"/>
    <w:rsid w:val="083F0917"/>
    <w:rsid w:val="09133091"/>
    <w:rsid w:val="097C7C49"/>
    <w:rsid w:val="0A5F7495"/>
    <w:rsid w:val="0B3F712B"/>
    <w:rsid w:val="0B522497"/>
    <w:rsid w:val="0D747B9F"/>
    <w:rsid w:val="0DFB52DB"/>
    <w:rsid w:val="0E855E81"/>
    <w:rsid w:val="12CE3D11"/>
    <w:rsid w:val="177B0D14"/>
    <w:rsid w:val="1A4533EB"/>
    <w:rsid w:val="1EB51D94"/>
    <w:rsid w:val="1EBB5A38"/>
    <w:rsid w:val="1F001DEB"/>
    <w:rsid w:val="21DE69A0"/>
    <w:rsid w:val="24207ABE"/>
    <w:rsid w:val="27550B20"/>
    <w:rsid w:val="28150C75"/>
    <w:rsid w:val="29A53EDE"/>
    <w:rsid w:val="2BE9306B"/>
    <w:rsid w:val="2CE4621E"/>
    <w:rsid w:val="2FE46D20"/>
    <w:rsid w:val="30C41BFC"/>
    <w:rsid w:val="32570A78"/>
    <w:rsid w:val="34052C95"/>
    <w:rsid w:val="363E7508"/>
    <w:rsid w:val="39A11E80"/>
    <w:rsid w:val="3D42082D"/>
    <w:rsid w:val="4692662D"/>
    <w:rsid w:val="4F7F62C0"/>
    <w:rsid w:val="51153F2E"/>
    <w:rsid w:val="518B116D"/>
    <w:rsid w:val="527059C3"/>
    <w:rsid w:val="536442AB"/>
    <w:rsid w:val="53C7452D"/>
    <w:rsid w:val="54540E6A"/>
    <w:rsid w:val="58E41B62"/>
    <w:rsid w:val="5D4146C4"/>
    <w:rsid w:val="5DD953EE"/>
    <w:rsid w:val="5EEDECFC"/>
    <w:rsid w:val="649FF12A"/>
    <w:rsid w:val="65297D03"/>
    <w:rsid w:val="6C4E6C53"/>
    <w:rsid w:val="6DE704B1"/>
    <w:rsid w:val="6FDA28AB"/>
    <w:rsid w:val="72EA7901"/>
    <w:rsid w:val="757C1ACE"/>
    <w:rsid w:val="77B3740C"/>
    <w:rsid w:val="794C6259"/>
    <w:rsid w:val="7AD313B8"/>
    <w:rsid w:val="7B5017C9"/>
    <w:rsid w:val="7ECF572D"/>
    <w:rsid w:val="BF7FE9F7"/>
    <w:rsid w:val="E7DA41F4"/>
    <w:rsid w:val="F3FFDD37"/>
    <w:rsid w:val="F72FC878"/>
    <w:rsid w:val="FC44D1DF"/>
    <w:rsid w:val="FDF7AE65"/>
    <w:rsid w:val="FFB98762"/>
    <w:rsid w:val="FFEC1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7"/>
    <w:qFormat/>
    <w:uiPriority w:val="10"/>
    <w:pPr>
      <w:jc w:val="center"/>
    </w:pPr>
    <w:rPr>
      <w:rFonts w:ascii="宋体" w:cs="宋体"/>
      <w:b/>
      <w:bCs/>
      <w:kern w:val="0"/>
      <w:sz w:val="36"/>
      <w:szCs w:val="36"/>
    </w:rPr>
  </w:style>
  <w:style w:type="paragraph" w:customStyle="1" w:styleId="7">
    <w:name w:val="正文 + 行距: 1.5 倍行距"/>
    <w:next w:val="1"/>
    <w:qFormat/>
    <w:uiPriority w:val="0"/>
    <w:pPr>
      <w:numPr>
        <w:ilvl w:val="0"/>
        <w:numId w:val="1"/>
      </w:numPr>
      <w:spacing w:line="360" w:lineRule="auto"/>
    </w:pPr>
    <w:rPr>
      <w:rFonts w:ascii="Times New Roman" w:hAnsi="Times New Roman" w:eastAsia="微软雅黑" w:cs="Times New Roman"/>
      <w:sz w:val="24"/>
      <w:szCs w:val="22"/>
      <w:lang w:val="en-US" w:eastAsia="en-US" w:bidi="en-US"/>
    </w:rPr>
  </w:style>
  <w:style w:type="paragraph" w:customStyle="1" w:styleId="10">
    <w:name w:val="BodyText1I2"/>
    <w:basedOn w:val="1"/>
    <w:qFormat/>
    <w:uiPriority w:val="0"/>
    <w:pPr>
      <w:spacing w:line="600" w:lineRule="exact"/>
    </w:pPr>
    <w:rPr>
      <w:rFonts w:ascii="Times New Roman" w:hAnsi="Times New Roman" w:eastAsia="仿宋_GB2312"/>
      <w:sz w:val="32"/>
      <w:szCs w:val="32"/>
    </w:rPr>
  </w:style>
  <w:style w:type="paragraph" w:customStyle="1" w:styleId="1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2225</Words>
  <Characters>2238</Characters>
  <Lines>0</Lines>
  <Paragraphs>0</Paragraphs>
  <TotalTime>116</TotalTime>
  <ScaleCrop>false</ScaleCrop>
  <LinksUpToDate>false</LinksUpToDate>
  <CharactersWithSpaces>2254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2025-08-09T16:09:00Z</dcterms:created>
  <dc:creator>雨喜多</dc:creator>
  <cp:lastModifiedBy>雨喜多</cp:lastModifiedBy>
  <cp:lastPrinted>2025-10-22T18:10:00Z</cp:lastPrinted>
  <dcterms:modified xsi:type="dcterms:W3CDTF">2026-01-09T09:25:43Z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5179985F1B224C23A87D5D8DD0082B30_13</vt:lpwstr>
  </property>
  <property fmtid="{D5CDD505-2E9C-101B-9397-08002B2CF9AE}" pid="4" name="KSOTemplateDocerSaveRecord">
    <vt:lpwstr>eyJoZGlkIjoiMGVjNTgxM2M5ODkyYzRkMTRmNTYzNWQ2OWE0MmMzNTEiLCJ1c2VySWQiOiI2MTI1MDQyOTIifQ==</vt:lpwstr>
  </property>
</Properties>
</file>