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35"/>
        <w:snapToGrid w:val="0"/>
        <w:spacing w:before="0" w:after="0" w:line="560" w:lineRule="exact"/>
        <w:ind w:left="0"/>
        <w:jc w:val="left"/>
        <w:rPr>
          <w:rFonts w:ascii="Times New Roman" w:eastAsia="方正仿宋_GBK" w:hAnsi="Times New Roman"/>
        </w:rPr>
      </w:pPr>
      <w:r>
        <w:rPr>
          <w:rFonts w:ascii="Times New Roman" w:eastAsia="方正黑体_GBK" w:hAnsi="Times New Roman" w:hint="eastAsia"/>
          <w:b w:val="0"/>
        </w:rPr>
        <w:t>附件</w:t>
      </w:r>
      <w:r>
        <w:rPr>
          <w:rFonts w:ascii="Times New Roman" w:eastAsia="方正黑体_GBK" w:hAnsi="Times New Roman"/>
          <w:b w:val="0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运输途中冷处理操作程序</w:t>
      </w:r>
    </w:p>
    <w:p>
      <w:pPr>
        <w:adjustRightInd w:val="0"/>
        <w:snapToGrid w:val="0"/>
        <w:spacing w:line="560" w:lineRule="exact"/>
        <w:jc w:val="center"/>
        <w:rPr>
          <w:rFonts w:eastAsia="方正仿宋_GBK"/>
          <w:kern w:val="0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一、集装箱类型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集装箱须是自身（整体）制冷的运输集装箱，且具有能达到和保持所需温度的制冷设备。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二、记录仪类型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津方</w:t>
      </w:r>
      <w:r>
        <w:rPr>
          <w:rFonts w:eastAsia="方正仿宋_GBK" w:hint="eastAsia"/>
          <w:kern w:val="0"/>
          <w:sz w:val="32"/>
          <w:szCs w:val="32"/>
        </w:rPr>
        <w:t>或其授权人员</w:t>
      </w:r>
      <w:r>
        <w:rPr>
          <w:rFonts w:eastAsia="方正仿宋_GBK" w:hint="eastAsia"/>
          <w:sz w:val="32"/>
          <w:szCs w:val="32"/>
        </w:rPr>
        <w:t>须确保探针和温度记录仪满足以下条件：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1. </w:t>
      </w:r>
      <w:r>
        <w:rPr>
          <w:rFonts w:eastAsia="方正仿宋_GBK" w:hint="eastAsia"/>
          <w:sz w:val="32"/>
          <w:szCs w:val="32"/>
        </w:rPr>
        <w:t>探针温度应在</w:t>
      </w:r>
      <w:r>
        <w:rPr>
          <w:rFonts w:eastAsia="方正仿宋_GBK"/>
          <w:sz w:val="32"/>
          <w:szCs w:val="32"/>
        </w:rPr>
        <w:t>-3.0°C</w:t>
      </w:r>
      <w:r>
        <w:rPr>
          <w:rFonts w:eastAsia="方正仿宋_GBK" w:hint="eastAsia"/>
          <w:sz w:val="32"/>
          <w:szCs w:val="32"/>
        </w:rPr>
        <w:t>到</w:t>
      </w:r>
      <w:r>
        <w:rPr>
          <w:rFonts w:eastAsia="方正仿宋_GBK"/>
          <w:sz w:val="32"/>
          <w:szCs w:val="32"/>
        </w:rPr>
        <w:t>+3.0°C</w:t>
      </w:r>
      <w:r>
        <w:rPr>
          <w:rFonts w:eastAsia="方正仿宋_GBK" w:hint="eastAsia"/>
          <w:sz w:val="32"/>
          <w:szCs w:val="32"/>
        </w:rPr>
        <w:t>之间，精确到</w:t>
      </w:r>
      <w:r>
        <w:rPr>
          <w:rFonts w:eastAsia="方正仿宋_GBK"/>
          <w:sz w:val="32"/>
          <w:szCs w:val="32"/>
        </w:rPr>
        <w:t>±0.15°C</w:t>
      </w:r>
      <w:r>
        <w:rPr>
          <w:rFonts w:eastAsia="方正仿宋_GBK" w:hint="eastAsia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2. </w:t>
      </w:r>
      <w:r>
        <w:rPr>
          <w:rFonts w:eastAsia="方正仿宋_GBK" w:hint="eastAsia"/>
          <w:sz w:val="32"/>
          <w:szCs w:val="32"/>
        </w:rPr>
        <w:t>有足够数量的探针；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3. </w:t>
      </w:r>
      <w:r>
        <w:rPr>
          <w:rFonts w:eastAsia="方正仿宋_GBK" w:hint="eastAsia"/>
          <w:sz w:val="32"/>
          <w:szCs w:val="32"/>
        </w:rPr>
        <w:t>能够记录并贮存处理过程的数据；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．能够每小时至少记录所有探针温度一次，且达到对探针温度所要求的精度；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．打印出的温度记录，须对应每个探针记录相应时间、温度，并注明记录仪型号和集装箱号码。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三、探针校正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．校正须用由</w:t>
      </w:r>
      <w:r>
        <w:rPr>
          <w:rFonts w:eastAsia="方正仿宋_GBK"/>
          <w:sz w:val="32"/>
          <w:szCs w:val="32"/>
        </w:rPr>
        <w:t>津方</w:t>
      </w:r>
      <w:r>
        <w:rPr>
          <w:rFonts w:eastAsia="方正仿宋_GBK" w:hint="eastAsia"/>
          <w:kern w:val="0"/>
          <w:sz w:val="32"/>
          <w:szCs w:val="32"/>
        </w:rPr>
        <w:t>或其授权人员</w:t>
      </w:r>
      <w:r>
        <w:rPr>
          <w:rFonts w:eastAsia="方正仿宋_GBK" w:hint="eastAsia"/>
          <w:sz w:val="32"/>
          <w:szCs w:val="32"/>
        </w:rPr>
        <w:t>批准的标准温度计在碎冰和蒸馏水混合物中进行。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．任何读数超出</w:t>
      </w:r>
      <w:r>
        <w:rPr>
          <w:rFonts w:eastAsia="方正仿宋_GBK"/>
          <w:sz w:val="32"/>
          <w:szCs w:val="32"/>
        </w:rPr>
        <w:t>0°C±0.3°C</w:t>
      </w:r>
      <w:r>
        <w:rPr>
          <w:rFonts w:eastAsia="方正仿宋_GBK" w:hint="eastAsia"/>
          <w:sz w:val="32"/>
          <w:szCs w:val="32"/>
        </w:rPr>
        <w:t>的探针都必须更换。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．须对每个集装箱出具一份由</w:t>
      </w:r>
      <w:r>
        <w:rPr>
          <w:rFonts w:eastAsia="方正仿宋_GBK"/>
          <w:sz w:val="32"/>
          <w:szCs w:val="32"/>
        </w:rPr>
        <w:t>津方</w:t>
      </w:r>
      <w:r>
        <w:rPr>
          <w:rFonts w:eastAsia="方正仿宋_GBK" w:hint="eastAsia"/>
          <w:kern w:val="0"/>
          <w:sz w:val="32"/>
          <w:szCs w:val="32"/>
        </w:rPr>
        <w:t>或其授权人员</w:t>
      </w:r>
      <w:r>
        <w:rPr>
          <w:rFonts w:eastAsia="方正仿宋_GBK" w:hint="eastAsia"/>
          <w:sz w:val="32"/>
          <w:szCs w:val="32"/>
        </w:rPr>
        <w:t>签字确认的“果温探针校正记录”</w:t>
      </w:r>
      <w:r>
        <w:rPr>
          <w:rFonts w:eastAsia="方正仿宋_GBK"/>
          <w:sz w:val="32"/>
          <w:szCs w:val="32"/>
        </w:rPr>
        <w:t>，正本须附在随货的植物检疫证书上。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．水果运抵进境口岸时，中国海关将对果温探针进行校正检查。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四、探针安插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．上托盘的水果须在</w:t>
      </w:r>
      <w:r>
        <w:rPr>
          <w:rFonts w:eastAsia="方正仿宋_GBK"/>
          <w:sz w:val="32"/>
          <w:szCs w:val="32"/>
        </w:rPr>
        <w:t>津方</w:t>
      </w:r>
      <w:r>
        <w:rPr>
          <w:rFonts w:eastAsia="方正仿宋_GBK" w:hint="eastAsia"/>
          <w:kern w:val="0"/>
          <w:sz w:val="32"/>
          <w:szCs w:val="32"/>
        </w:rPr>
        <w:t>或其授权人员</w:t>
      </w:r>
      <w:r>
        <w:rPr>
          <w:rFonts w:eastAsia="方正仿宋_GBK" w:hint="eastAsia"/>
          <w:sz w:val="32"/>
          <w:szCs w:val="32"/>
        </w:rPr>
        <w:t>监管下装入集装箱，包装箱堆放应松散，确保足够的气流空隙。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．每个集装箱至少须安插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个果温探针，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个空间温度探针，具体位置为：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号果温探针安插在集装箱内所装水果首排顶层中央位置；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号果温探针安插在距集装箱门</w:t>
      </w:r>
      <w:r>
        <w:rPr>
          <w:rFonts w:eastAsia="方正仿宋_GBK"/>
          <w:sz w:val="32"/>
          <w:szCs w:val="32"/>
        </w:rPr>
        <w:t>1.5</w:t>
      </w:r>
      <w:r>
        <w:rPr>
          <w:rFonts w:eastAsia="方正仿宋_GBK" w:hint="eastAsia"/>
          <w:sz w:val="32"/>
          <w:szCs w:val="32"/>
        </w:rPr>
        <w:t>米（</w:t>
      </w:r>
      <w:r>
        <w:rPr>
          <w:rFonts w:eastAsia="方正仿宋_GBK"/>
          <w:sz w:val="32"/>
          <w:szCs w:val="32"/>
        </w:rPr>
        <w:t>40</w:t>
      </w:r>
      <w:r>
        <w:rPr>
          <w:rFonts w:eastAsia="方正仿宋_GBK" w:hint="eastAsia"/>
          <w:sz w:val="32"/>
          <w:szCs w:val="32"/>
        </w:rPr>
        <w:t>英尺集装箱）或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米（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英尺集装箱）的中央，并在所装水果高度一半的位置；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号果温探针安插在距集装箱门</w:t>
      </w:r>
      <w:r>
        <w:rPr>
          <w:rFonts w:eastAsia="方正仿宋_GBK"/>
          <w:sz w:val="32"/>
          <w:szCs w:val="32"/>
        </w:rPr>
        <w:t>1.5</w:t>
      </w:r>
      <w:r>
        <w:rPr>
          <w:rFonts w:eastAsia="方正仿宋_GBK" w:hint="eastAsia"/>
          <w:sz w:val="32"/>
          <w:szCs w:val="32"/>
        </w:rPr>
        <w:t>米（</w:t>
      </w:r>
      <w:r>
        <w:rPr>
          <w:rFonts w:eastAsia="方正仿宋_GBK"/>
          <w:sz w:val="32"/>
          <w:szCs w:val="32"/>
        </w:rPr>
        <w:t>40</w:t>
      </w:r>
      <w:r>
        <w:rPr>
          <w:rFonts w:eastAsia="方正仿宋_GBK" w:hint="eastAsia"/>
          <w:sz w:val="32"/>
          <w:szCs w:val="32"/>
        </w:rPr>
        <w:t>英尺集装箱）或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米（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英尺集装箱）的左侧，并在所装水果高度一半的位置；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个空间温度探针分别安插在集装箱的入风口和回风口处。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．所有探针须在</w:t>
      </w:r>
      <w:r>
        <w:rPr>
          <w:rFonts w:eastAsia="方正仿宋_GBK"/>
          <w:sz w:val="32"/>
          <w:szCs w:val="32"/>
        </w:rPr>
        <w:t>津方</w:t>
      </w:r>
      <w:r>
        <w:rPr>
          <w:rFonts w:eastAsia="方正仿宋_GBK" w:hint="eastAsia"/>
          <w:kern w:val="0"/>
          <w:sz w:val="32"/>
          <w:szCs w:val="32"/>
        </w:rPr>
        <w:t>或其授权人员</w:t>
      </w:r>
      <w:r>
        <w:rPr>
          <w:rFonts w:eastAsia="方正仿宋_GBK" w:hint="eastAsia"/>
          <w:sz w:val="32"/>
          <w:szCs w:val="32"/>
        </w:rPr>
        <w:t>的监督和指导下安插。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．装箱前的水果须在冷藏室中预冷至果肉温度达</w:t>
      </w:r>
      <w:r>
        <w:rPr>
          <w:rFonts w:eastAsia="方正仿宋_GBK"/>
          <w:sz w:val="32"/>
          <w:szCs w:val="32"/>
        </w:rPr>
        <w:t>4°C</w:t>
      </w:r>
      <w:r>
        <w:rPr>
          <w:rFonts w:eastAsia="方正仿宋_GBK" w:hint="eastAsia"/>
          <w:sz w:val="32"/>
          <w:szCs w:val="32"/>
        </w:rPr>
        <w:t>或以下。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五、集装箱封识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．装载水果的集装箱须由</w:t>
      </w:r>
      <w:r>
        <w:rPr>
          <w:rFonts w:eastAsia="方正仿宋_GBK"/>
          <w:sz w:val="32"/>
          <w:szCs w:val="32"/>
        </w:rPr>
        <w:t>津方</w:t>
      </w:r>
      <w:r>
        <w:rPr>
          <w:rFonts w:eastAsia="方正仿宋_GBK" w:hint="eastAsia"/>
          <w:kern w:val="0"/>
          <w:sz w:val="32"/>
          <w:szCs w:val="32"/>
        </w:rPr>
        <w:t>或其授权人员</w:t>
      </w:r>
      <w:r>
        <w:rPr>
          <w:rFonts w:eastAsia="方正仿宋_GBK" w:hint="eastAsia"/>
          <w:sz w:val="32"/>
          <w:szCs w:val="32"/>
        </w:rPr>
        <w:t>用编码的封条封识。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．封条只能在进境口岸由中国海关开启。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六、处理结果验证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．探针须在水果被移出集装箱前进行校正。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．如果</w:t>
      </w:r>
      <w:r>
        <w:rPr>
          <w:rFonts w:eastAsia="方正仿宋_GBK"/>
          <w:sz w:val="32"/>
          <w:szCs w:val="32"/>
        </w:rPr>
        <w:t>果</w:t>
      </w:r>
      <w:r>
        <w:rPr>
          <w:rFonts w:eastAsia="方正仿宋_GBK" w:hint="eastAsia"/>
          <w:sz w:val="32"/>
          <w:szCs w:val="32"/>
        </w:rPr>
        <w:t>温探针记录显示符合技术指标要求，探针校正和安插位置符合第三条、第四条要求，则处理应被认为有效。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七、温度记录及确认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．运输途中冷处理可以在水果离开津巴布韦口岸前开始，到达中国第一进境口岸之前或之后结束。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．记录可以在任何时间启动，然而只有所有果温探针都达到指定温度时才开始计算处理时间。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．船运公司下载的冷处理温度记录须提交给中国海关。如果冷处理在船到达进境口岸之前就已完成，在船上下载的冷处理记录可在途中传送给中国海关。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．中国海关将审核冷处理记录是否符合有关处理要求，并根据探针校正结果，判定冷处理是否有效。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八、植物检疫证书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．冷处理温度和开始</w:t>
      </w:r>
      <w:r>
        <w:rPr>
          <w:rFonts w:eastAsia="方正仿宋_GBK"/>
          <w:sz w:val="32"/>
          <w:szCs w:val="32"/>
        </w:rPr>
        <w:t>时间须在植物检疫证书处理栏中注明，同时</w:t>
      </w:r>
      <w:r>
        <w:rPr>
          <w:rFonts w:eastAsia="方正仿宋_GBK" w:hint="eastAsia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Cold treatment in transit</w:t>
      </w:r>
      <w:r>
        <w:rPr>
          <w:rFonts w:eastAsia="方正仿宋_GBK" w:hint="eastAsia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（途中冷处理）、集装箱号码、封条号码也应在植物检疫证书上标注。</w:t>
      </w:r>
    </w:p>
    <w:p>
      <w:pPr>
        <w:adjustRightInd w:val="0"/>
        <w:snapToGrid w:val="0"/>
        <w:spacing w:line="560" w:lineRule="exact"/>
        <w:ind w:firstLineChars="184" w:firstLine="589"/>
        <w:rPr>
          <w:sz w:val="28"/>
          <w:szCs w:val="24"/>
          <w:lang w:val="en-AU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．水果进境时，应向中国海关提供植物检疫证书、冷处理报告、果温探针校正记录。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ascii="Times New Roman" w:eastAsia="仿宋_GB2312" w:cs="Times New Roman" w:hAnsi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黑体_GBK">
    <w:altName w:val="微软雅黑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黑体">
    <w:altName w:val="华文细黑"/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mbria">
    <w:altName w:val="DejaVu Sans"/>
    <w:panose1 w:val="02040503050406030204"/>
    <w:charset w:val="00"/>
    <w:family w:val="auto"/>
    <w:pitch w:val="variable"/>
    <w:sig w:usb0="E00002FF" w:usb1="400004FF" w:usb2="00000000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5"/>
  <w:bordersDoNotSurroundHeader w:val="0"/>
  <w:bordersDoNotSurroundFooter w:val="0"/>
  <w:trackRevisions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6">
    <w:name w:val="样式 1 小四"/>
    <w:basedOn w:val="0"/>
    <w:pPr>
      <w:widowControl w:val="0"/>
      <w:jc w:val="both"/>
    </w:pPr>
    <w:rPr>
      <w:rFonts w:ascii="Calibri" w:eastAsia="宋体" w:cs="Arial" w:hAnsi="Calibri"/>
      <w:kern w:val="2"/>
      <w:sz w:val="24"/>
      <w:szCs w:val="24"/>
      <w:lang w:val="en-US" w:eastAsia="zh-CN" w:bidi="ar-SA"/>
    </w:rPr>
  </w:style>
  <w:style w:type="paragraph" w:customStyle="1" w:styleId="17">
    <w:name w:val="样式 3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8">
    <w:name w:val="样式 3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customStyle="1" w:styleId="19">
    <w:name w:val="NormalCharacter"/>
  </w:style>
  <w:style w:type="paragraph" w:customStyle="1" w:styleId="20">
    <w:name w:val="样式 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1">
    <w:name w:val="样式 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2">
    <w:name w:val="样式 1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3">
    <w:name w:val="样式 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24">
    <w:name w:val="样式 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25">
    <w:name w:val="样式 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26">
    <w:name w:val="样式 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27">
    <w:name w:val="样式 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28">
    <w:name w:val="样式 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29">
    <w:name w:val="样式 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30">
    <w:name w:val="样式 1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31">
    <w:name w:val="样式 1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32">
    <w:name w:val="样式 1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33">
    <w:name w:val="样式 1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34">
    <w:name w:val="样式 1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35">
    <w:name w:val="Title"/>
    <w:next w:val="0"/>
    <w:pPr>
      <w:widowControl w:val="0"/>
      <w:spacing w:before="240" w:after="60"/>
      <w:jc w:val="center"/>
      <w:outlineLvl w:val="0"/>
    </w:pPr>
    <w:rPr>
      <w:rFonts w:ascii="Cambria" w:eastAsia="宋体" w:cs="Times New Roman" w:hAnsi="Cambria"/>
      <w:b/>
      <w:bCs/>
      <w:kern w:val="2"/>
      <w:sz w:val="32"/>
      <w:szCs w:val="32"/>
      <w:lang w:val="en-US" w:eastAsia="zh-CN" w:bidi="ug-CN"/>
    </w:rPr>
  </w:style>
  <w:style w:type="paragraph" w:customStyle="1" w:styleId="36">
    <w:name w:val="样式 1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37">
    <w:name w:val="样式 1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38">
    <w:name w:val="样式 18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39">
    <w:name w:val="样式 1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0">
    <w:name w:val="样式 2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1">
    <w:name w:val="样式 2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2">
    <w:name w:val="样式 2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customStyle="1" w:styleId="43">
    <w:name w:val="样式 2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customStyle="1" w:styleId="44">
    <w:name w:val="样式 2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customStyle="1" w:styleId="45">
    <w:name w:val="样式 2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6">
    <w:name w:val="样式 2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7">
    <w:name w:val="样式 2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8">
    <w:name w:val="样式 28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9">
    <w:name w:val="样式 2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0">
    <w:name w:val="样式 3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1">
    <w:name w:val="样式 3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2">
    <w:name w:val="样式 3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3">
    <w:name w:val="样式 3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4">
    <w:name w:val="样式 3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5">
    <w:name w:val="样式 3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6">
    <w:name w:val="样式 3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7">
    <w:name w:val="样式 3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8">
    <w:name w:val="样式 4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9">
    <w:name w:val="样式 4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0">
    <w:name w:val="样式 4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391</TotalTime>
  <Application>Yozo_Office</Application>
  <Pages>1</Pages>
  <Words>11</Words>
  <Characters>11</Characters>
  <Lines>1</Lines>
  <Paragraphs>1</Paragraphs>
  <CharactersWithSpaces>11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丁明政</dc:creator>
  <cp:lastModifiedBy>刘玮娜</cp:lastModifiedBy>
  <cp:revision>1</cp:revision>
  <dcterms:created xsi:type="dcterms:W3CDTF">2025-08-27T07:32:00Z</dcterms:created>
  <dcterms:modified xsi:type="dcterms:W3CDTF">2025-09-23T08:22:54Z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2052-12.1.0.22089</vt:lpwstr>
  </property>
  <property fmtid="{D5CDD505-2E9C-101B-9397-08002B2CF9AE}" pid="3" name="ICV">
    <vt:lpwstr>F23E7CE2B1644202B9B919D67DE4382B_11</vt:lpwstr>
  </property>
  <property fmtid="{D5CDD505-2E9C-101B-9397-08002B2CF9AE}" pid="4" name="KSOTemplateDocerSaveRecord">
    <vt:lpwstr>eyJoZGlkIjoiNTEzM2M0MTJhZGRjYjAwOTE5MDVkYzRhMTNiNGY2NzYiLCJ1c2VySWQiOiIyOTMxODA0NzcifQ==</vt:lpwstr>
  </property>
</Properties>
</file>