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5" w:line="202" w:lineRule="auto"/>
        <w:ind w:left="205"/>
        <w:jc w:val="center"/>
        <w:outlineLvl w:val="0"/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  <w:lang w:eastAsia="zh-CN"/>
        </w:rPr>
        <w:t>电子凭证会计数据标准</w:t>
      </w:r>
      <w:r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</w:rPr>
        <w:t>基础工具包</w:t>
      </w:r>
    </w:p>
    <w:p>
      <w:pPr>
        <w:spacing w:before="275" w:line="202" w:lineRule="auto"/>
        <w:ind w:left="205"/>
        <w:jc w:val="center"/>
        <w:outlineLvl w:val="0"/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</w:rPr>
        <w:t>（推广应用版</w:t>
      </w:r>
      <w:r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</w:rPr>
        <w:t>V1.0）</w:t>
      </w:r>
    </w:p>
    <w:p>
      <w:pPr>
        <w:spacing w:before="275" w:line="202" w:lineRule="auto"/>
        <w:ind w:left="205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4"/>
          <w:sz w:val="44"/>
          <w:szCs w:val="44"/>
        </w:rPr>
        <w:t>使用说明</w:t>
      </w:r>
    </w:p>
    <w:p>
      <w:pPr>
        <w:spacing w:before="286" w:line="224" w:lineRule="auto"/>
        <w:ind w:left="32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1"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spacing w:val="-50"/>
          <w:sz w:val="32"/>
          <w:szCs w:val="32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1"/>
          <w:sz w:val="32"/>
          <w:szCs w:val="32"/>
        </w:rPr>
        <w:t>概述</w:t>
      </w:r>
    </w:p>
    <w:p>
      <w:pPr>
        <w:pStyle w:val="2"/>
        <w:spacing w:before="245" w:line="588" w:lineRule="exact"/>
        <w:ind w:left="23" w:firstLine="724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电子凭证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eastAsia="zh-CN"/>
        </w:rPr>
        <w:t>会计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数据标准所涉及相关技术标准均为开放技术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标准，开具方与接收方企业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依据相关技术标准对系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统进行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升级改造，以实现电子凭证的落地应用。为助力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企业进行快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速落地应用，财政部组织相关专家提供了免费开源的工具包，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对电子凭证封装技术提供了基础开源实现，企业可以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结合自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身情况进行参考引用，以更快实现系统的升级改造。</w:t>
      </w:r>
    </w:p>
    <w:p>
      <w:pPr>
        <w:pStyle w:val="2"/>
        <w:spacing w:before="245" w:line="588" w:lineRule="exact"/>
        <w:ind w:left="23" w:firstLine="724" w:firstLineChars="200"/>
        <w:jc w:val="both"/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如您在使用工具包过程中有相关疑问，请联系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010-68554531、010-68553925。</w:t>
      </w:r>
    </w:p>
    <w:p>
      <w:pPr>
        <w:spacing w:before="258" w:line="224" w:lineRule="auto"/>
        <w:ind w:left="32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4"/>
          <w:sz w:val="32"/>
          <w:szCs w:val="32"/>
        </w:rPr>
        <w:t>二、</w:t>
      </w:r>
      <w:r>
        <w:rPr>
          <w:rFonts w:hint="eastAsia" w:ascii="方正黑体_GBK" w:hAnsi="方正黑体_GBK" w:eastAsia="方正黑体_GBK" w:cs="方正黑体_GBK"/>
          <w:spacing w:val="-44"/>
          <w:sz w:val="32"/>
          <w:szCs w:val="32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4"/>
          <w:sz w:val="32"/>
          <w:szCs w:val="32"/>
        </w:rPr>
        <w:t>工具包介绍</w:t>
      </w:r>
    </w:p>
    <w:p>
      <w:pPr>
        <w:pStyle w:val="2"/>
        <w:spacing w:before="243" w:line="588" w:lineRule="exact"/>
        <w:ind w:left="17" w:right="153" w:firstLine="728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基础工具包主要包含两类 </w:t>
      </w:r>
      <w:r>
        <w:rPr>
          <w:rFonts w:hint="eastAsia" w:ascii="仿宋_GB2312" w:hAnsi="仿宋_GB2312" w:eastAsia="仿宋_GB2312" w:cs="仿宋_GB2312"/>
          <w:sz w:val="32"/>
          <w:szCs w:val="32"/>
        </w:rPr>
        <w:t>API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，一是快速生成与解析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XBRL</w:t>
      </w:r>
      <w:r>
        <w:rPr>
          <w:rFonts w:hint="eastAsia" w:ascii="仿宋_GB2312" w:hAnsi="仿宋_GB2312" w:eastAsia="仿宋_GB2312" w:cs="仿宋_GB2312"/>
          <w:spacing w:val="65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实例文档的</w:t>
      </w:r>
      <w:r>
        <w:rPr>
          <w:rFonts w:hint="eastAsia" w:ascii="仿宋_GB2312" w:hAnsi="仿宋_GB2312" w:eastAsia="仿宋_GB2312" w:cs="仿宋_GB2312"/>
          <w:spacing w:val="-4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API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，在开具端，可以将票据的结构化数据组装成</w:t>
      </w:r>
      <w:r>
        <w:rPr>
          <w:rFonts w:hint="eastAsia" w:ascii="仿宋_GB2312" w:hAnsi="仿宋_GB2312" w:eastAsia="仿宋_GB2312" w:cs="仿宋_GB2312"/>
          <w:spacing w:val="-6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JSON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，调用</w:t>
      </w:r>
      <w:r>
        <w:rPr>
          <w:rFonts w:hint="eastAsia" w:ascii="仿宋_GB2312" w:hAnsi="仿宋_GB2312" w:eastAsia="仿宋_GB2312" w:cs="仿宋_GB2312"/>
          <w:spacing w:val="-7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API</w:t>
      </w:r>
      <w:r>
        <w:rPr>
          <w:rFonts w:hint="eastAsia" w:ascii="仿宋_GB2312" w:hAnsi="仿宋_GB2312" w:eastAsia="仿宋_GB2312" w:cs="仿宋_GB2312"/>
          <w:spacing w:val="3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快速生成</w:t>
      </w:r>
      <w:r>
        <w:rPr>
          <w:rFonts w:hint="eastAsia" w:ascii="仿宋_GB2312" w:hAnsi="仿宋_GB2312" w:eastAsia="仿宋_GB2312" w:cs="仿宋_GB2312"/>
          <w:spacing w:val="-7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XBRL</w:t>
      </w:r>
      <w:r>
        <w:rPr>
          <w:rFonts w:hint="eastAsia" w:ascii="仿宋_GB2312" w:hAnsi="仿宋_GB2312" w:eastAsia="仿宋_GB2312" w:cs="仿宋_GB2312"/>
          <w:spacing w:val="3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实例文档，在接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收端，可以将拿到的包含票据结构化</w:t>
      </w:r>
      <w:r>
        <w:rPr>
          <w:rFonts w:hint="eastAsia" w:ascii="仿宋_GB2312" w:hAnsi="仿宋_GB2312" w:eastAsia="仿宋_GB2312" w:cs="仿宋_GB2312"/>
          <w:spacing w:val="-5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XBRL</w:t>
      </w:r>
      <w:r>
        <w:rPr>
          <w:rFonts w:hint="eastAsia" w:ascii="仿宋_GB2312" w:hAnsi="仿宋_GB2312" w:eastAsia="仿宋_GB2312" w:cs="仿宋_GB2312"/>
          <w:spacing w:val="30"/>
          <w:w w:val="10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实例文档解析为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JSON 对象进行后续处理；二是</w:t>
      </w:r>
      <w:r>
        <w:rPr>
          <w:rFonts w:hint="eastAsia" w:ascii="仿宋_GB2312" w:hAnsi="仿宋_GB2312" w:eastAsia="仿宋_GB2312" w:cs="仿宋_GB2312"/>
          <w:spacing w:val="-8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PDF 与OFD</w:t>
      </w:r>
      <w:r>
        <w:rPr>
          <w:rFonts w:hint="eastAsia" w:ascii="仿宋_GB2312" w:hAnsi="仿宋_GB2312" w:eastAsia="仿宋_GB2312" w:cs="仿宋_GB2312"/>
          <w:spacing w:val="22"/>
          <w:w w:val="10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的文件提取</w:t>
      </w:r>
      <w:r>
        <w:rPr>
          <w:rFonts w:hint="eastAsia" w:ascii="仿宋_GB2312" w:hAnsi="仿宋_GB2312" w:eastAsia="仿宋_GB2312" w:cs="仿宋_GB2312"/>
          <w:spacing w:val="-9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API，在接收端调用此</w:t>
      </w:r>
      <w:r>
        <w:rPr>
          <w:rFonts w:hint="eastAsia" w:ascii="仿宋_GB2312" w:hAnsi="仿宋_GB2312" w:eastAsia="仿宋_GB2312" w:cs="仿宋_GB2312"/>
          <w:spacing w:val="-7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API，可以将封装在</w:t>
      </w:r>
      <w:r>
        <w:rPr>
          <w:rFonts w:hint="eastAsia" w:ascii="仿宋_GB2312" w:hAnsi="仿宋_GB2312" w:eastAsia="仿宋_GB2312" w:cs="仿宋_GB2312"/>
          <w:spacing w:val="-7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PDF</w:t>
      </w:r>
      <w:r>
        <w:rPr>
          <w:rFonts w:hint="eastAsia" w:ascii="仿宋_GB2312" w:hAnsi="仿宋_GB2312" w:eastAsia="仿宋_GB2312" w:cs="仿宋_GB2312"/>
          <w:spacing w:val="25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与</w:t>
      </w:r>
      <w:r>
        <w:rPr>
          <w:rFonts w:hint="eastAsia" w:ascii="仿宋_GB2312" w:hAnsi="仿宋_GB2312" w:eastAsia="仿宋_GB2312" w:cs="仿宋_GB2312"/>
          <w:spacing w:val="-7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OFD</w:t>
      </w:r>
      <w:r>
        <w:rPr>
          <w:rFonts w:hint="eastAsia" w:ascii="仿宋_GB2312" w:hAnsi="仿宋_GB2312" w:eastAsia="仿宋_GB2312" w:cs="仿宋_GB2312"/>
          <w:spacing w:val="4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中的</w:t>
      </w:r>
      <w:r>
        <w:rPr>
          <w:rFonts w:hint="eastAsia" w:ascii="仿宋_GB2312" w:hAnsi="仿宋_GB2312" w:eastAsia="仿宋_GB2312" w:cs="仿宋_GB2312"/>
          <w:spacing w:val="-8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XBRL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实例文档文件提取出来供后续处理。</w:t>
      </w:r>
    </w:p>
    <w:p>
      <w:pPr>
        <w:spacing w:before="258" w:line="224" w:lineRule="auto"/>
        <w:ind w:left="32"/>
        <w:rPr>
          <w:rFonts w:hint="eastAsia" w:ascii="方正黑体_GBK" w:hAnsi="方正黑体_GBK" w:eastAsia="方正黑体_GBK" w:cs="方正黑体_GBK"/>
          <w:spacing w:val="4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4"/>
          <w:sz w:val="32"/>
          <w:szCs w:val="32"/>
        </w:rPr>
        <w:t>三、 工具包使用方法</w:t>
      </w:r>
    </w:p>
    <w:p>
      <w:pPr>
        <w:spacing w:before="258" w:line="224" w:lineRule="auto"/>
        <w:ind w:left="32"/>
        <w:rPr>
          <w:rFonts w:hint="eastAsia" w:ascii="方正黑体_GBK" w:hAnsi="方正黑体_GBK" w:eastAsia="方正黑体_GBK" w:cs="方正黑体_GBK"/>
          <w:spacing w:val="4"/>
          <w:sz w:val="32"/>
          <w:szCs w:val="32"/>
        </w:rPr>
        <w:sectPr>
          <w:footerReference r:id="rId5" w:type="default"/>
          <w:pgSz w:w="11907" w:h="16839"/>
          <w:pgMar w:top="1431" w:right="1561" w:bottom="1177" w:left="1785" w:header="0" w:footer="927" w:gutter="0"/>
          <w:cols w:space="720" w:num="1"/>
        </w:sectPr>
      </w:pPr>
    </w:p>
    <w:p>
      <w:pPr>
        <w:widowControl w:val="0"/>
        <w:kinsoku/>
        <w:autoSpaceDN/>
        <w:spacing w:before="0" w:line="588" w:lineRule="exact"/>
        <w:ind w:left="0" w:firstLine="640" w:firstLineChars="200"/>
        <w:jc w:val="both"/>
        <w:textAlignment w:val="auto"/>
        <w:outlineLvl w:val="9"/>
        <w:rPr>
          <w:rFonts w:hint="eastAsia" w:ascii="方正楷体_GB2312" w:hAnsi="方正楷体_GB2312" w:eastAsia="方正楷体_GB2312" w:cs="方正楷体_GB2312"/>
          <w:snapToGrid/>
          <w:kern w:val="2"/>
          <w:sz w:val="32"/>
          <w:szCs w:val="32"/>
          <w:lang w:eastAsia="zh-CN"/>
        </w:rPr>
      </w:pPr>
      <w:r>
        <w:rPr>
          <w:rFonts w:hint="eastAsia" w:ascii="方正楷体_GB2312" w:hAnsi="方正楷体_GB2312" w:eastAsia="方正楷体_GB2312" w:cs="方正楷体_GB2312"/>
          <w:snapToGrid/>
          <w:spacing w:val="0"/>
          <w:kern w:val="2"/>
          <w:sz w:val="32"/>
          <w:szCs w:val="32"/>
          <w:lang w:eastAsia="zh-CN"/>
        </w:rPr>
        <w:t>(一) 工具包的安装</w:t>
      </w:r>
    </w:p>
    <w:p>
      <w:pPr>
        <w:pStyle w:val="2"/>
        <w:spacing w:before="243" w:line="588" w:lineRule="exact"/>
        <w:ind w:left="17" w:right="153" w:firstLine="728" w:firstLineChars="200"/>
        <w:jc w:val="both"/>
        <w:rPr>
          <w:rFonts w:hint="eastAsia" w:ascii="仿宋_GB2312" w:hAnsi="仿宋_GB2312" w:eastAsia="仿宋_GB2312" w:cs="仿宋_GB2312"/>
          <w:spacing w:val="2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基础工具包的开发过程使用 Maven 项目构建和管理工具，只需将工具包中提供的 jar 包安装到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Maven 仓库即可使用。工具包中包含1个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jar 包及对应的安装描述文件：</w:t>
      </w:r>
    </w:p>
    <w:p>
      <w:pPr>
        <w:spacing w:before="65" w:line="198" w:lineRule="auto"/>
        <w:ind w:left="791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xbrl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-</w:t>
      </w:r>
      <w:r>
        <w:rPr>
          <w:rFonts w:ascii="Times New Roman" w:hAnsi="Times New Roman" w:eastAsia="Times New Roman" w:cs="Times New Roman"/>
          <w:sz w:val="31"/>
          <w:szCs w:val="31"/>
        </w:rPr>
        <w:t>json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-1.0.</w:t>
      </w:r>
      <w:r>
        <w:rPr>
          <w:rFonts w:ascii="Times New Roman" w:hAnsi="Times New Roman" w:eastAsia="Times New Roman" w:cs="Times New Roman"/>
          <w:sz w:val="31"/>
          <w:szCs w:val="31"/>
        </w:rPr>
        <w:t>jar</w:t>
      </w:r>
    </w:p>
    <w:p>
      <w:pPr>
        <w:pStyle w:val="2"/>
        <w:spacing w:before="243" w:line="588" w:lineRule="exact"/>
        <w:ind w:left="17" w:right="153" w:firstLine="728" w:firstLineChars="200"/>
        <w:jc w:val="both"/>
        <w:rPr>
          <w:rFonts w:hint="eastAsia" w:ascii="仿宋_GB2312" w:hAnsi="仿宋_GB2312" w:eastAsia="仿宋_GB2312" w:cs="仿宋_GB2312"/>
          <w:spacing w:val="2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软件开发人员可使用如下命令将 jar 包安装到本地 Maven 仓库。</w:t>
      </w:r>
    </w:p>
    <w:tbl>
      <w:tblPr>
        <w:tblStyle w:val="7"/>
        <w:tblW w:w="7650" w:type="dxa"/>
        <w:tblInd w:w="1000" w:type="dxa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 w:color="auto" w:fill="F8F8F8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0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50" w:type="dxa"/>
            <w:shd w:val="clear" w:color="auto" w:fill="F8F8F8"/>
            <w:vAlign w:val="top"/>
          </w:tcPr>
          <w:p>
            <w:pPr>
              <w:pStyle w:val="8"/>
              <w:spacing w:before="131" w:line="214" w:lineRule="auto"/>
              <w:ind w:left="193"/>
            </w:pPr>
            <w:r>
              <w:t>mvn install:install-file -Dfile=xbrl-json-1.0.jar -DpomFile=xbrl-json.xml</w:t>
            </w:r>
          </w:p>
        </w:tc>
      </w:tr>
    </w:tbl>
    <w:p>
      <w:pPr>
        <w:pStyle w:val="2"/>
        <w:spacing w:before="243" w:line="588" w:lineRule="exact"/>
        <w:ind w:left="17" w:right="153" w:firstLine="728" w:firstLineChars="200"/>
        <w:jc w:val="both"/>
        <w:rPr>
          <w:rFonts w:hint="eastAsia" w:ascii="仿宋_GB2312" w:hAnsi="仿宋_GB2312" w:eastAsia="仿宋_GB2312" w:cs="仿宋_GB2312"/>
          <w:spacing w:val="2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上述 jar 包安装完毕后，在工程代码中使用如下依赖方式引入该工具包。</w:t>
      </w:r>
    </w:p>
    <w:tbl>
      <w:tblPr>
        <w:tblStyle w:val="7"/>
        <w:tblW w:w="7650" w:type="dxa"/>
        <w:tblInd w:w="1000" w:type="dxa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 w:color="auto" w:fill="F8F8F8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0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7" w:hRule="atLeast"/>
        </w:trPr>
        <w:tc>
          <w:tcPr>
            <w:tcW w:w="7650" w:type="dxa"/>
            <w:shd w:val="clear" w:color="auto" w:fill="F8F8F8"/>
            <w:vAlign w:val="top"/>
          </w:tcPr>
          <w:p>
            <w:pPr>
              <w:pStyle w:val="8"/>
              <w:spacing w:before="131" w:line="214" w:lineRule="auto"/>
              <w:ind w:left="202"/>
            </w:pPr>
            <w:r>
              <w:rPr>
                <w:spacing w:val="-1"/>
              </w:rPr>
              <w:t>&lt;dependency&gt;</w:t>
            </w:r>
          </w:p>
          <w:p>
            <w:pPr>
              <w:pStyle w:val="8"/>
              <w:spacing w:before="102" w:line="320" w:lineRule="auto"/>
              <w:ind w:left="562" w:right="3936"/>
              <w:jc w:val="both"/>
            </w:pPr>
            <w:r>
              <w:t>&lt;groupId&gt;com.pansoft.xbr</w:t>
            </w:r>
            <w:r>
              <w:rPr>
                <w:spacing w:val="-1"/>
              </w:rPr>
              <w:t>l&lt;/groupId&gt;</w:t>
            </w:r>
            <w:r>
              <w:t xml:space="preserve"> &lt;artifactId&gt;xbrl-json&lt;/a</w:t>
            </w:r>
            <w:r>
              <w:rPr>
                <w:spacing w:val="-1"/>
              </w:rPr>
              <w:t>rtifactId&gt;</w:t>
            </w:r>
            <w:r>
              <w:t xml:space="preserve">  </w:t>
            </w:r>
            <w:r>
              <w:rPr>
                <w:spacing w:val="-1"/>
              </w:rPr>
              <w:t>&lt;version&gt;1.0&lt;/version&gt;</w:t>
            </w:r>
          </w:p>
          <w:p>
            <w:pPr>
              <w:pStyle w:val="8"/>
              <w:spacing w:line="214" w:lineRule="auto"/>
              <w:ind w:left="202"/>
            </w:pPr>
            <w:r>
              <w:rPr>
                <w:spacing w:val="-1"/>
              </w:rPr>
              <w:t>&lt;/dependency&gt;</w:t>
            </w:r>
          </w:p>
        </w:tc>
      </w:tr>
    </w:tbl>
    <w:p>
      <w:pPr>
        <w:widowControl w:val="0"/>
        <w:kinsoku/>
        <w:autoSpaceDN/>
        <w:spacing w:before="0" w:line="588" w:lineRule="exact"/>
        <w:ind w:left="0" w:firstLine="640" w:firstLineChars="200"/>
        <w:jc w:val="both"/>
        <w:textAlignment w:val="auto"/>
        <w:outlineLvl w:val="9"/>
        <w:rPr>
          <w:rFonts w:hint="eastAsia" w:ascii="方正楷体_GB2312" w:hAnsi="方正楷体_GB2312" w:eastAsia="方正楷体_GB2312" w:cs="方正楷体_GB2312"/>
          <w:snapToGrid/>
          <w:kern w:val="2"/>
          <w:sz w:val="32"/>
          <w:szCs w:val="32"/>
          <w:lang w:eastAsia="zh-CN"/>
        </w:rPr>
      </w:pPr>
      <w:r>
        <w:rPr>
          <w:rFonts w:hint="eastAsia" w:ascii="方正楷体_GB2312" w:hAnsi="方正楷体_GB2312" w:eastAsia="方正楷体_GB2312" w:cs="方正楷体_GB2312"/>
          <w:snapToGrid/>
          <w:spacing w:val="0"/>
          <w:kern w:val="2"/>
          <w:sz w:val="32"/>
          <w:szCs w:val="32"/>
          <w:lang w:eastAsia="zh-CN"/>
        </w:rPr>
        <w:t>(二) 工具包的说明</w:t>
      </w:r>
    </w:p>
    <w:p>
      <w:pPr>
        <w:pStyle w:val="2"/>
        <w:spacing w:before="240" w:line="363" w:lineRule="auto"/>
        <w:ind w:left="158" w:right="346" w:firstLine="632"/>
        <w:rPr>
          <w:rFonts w:hint="eastAsia" w:ascii="仿宋_GB2312" w:hAnsi="仿宋_GB2312" w:eastAsia="仿宋_GB2312" w:cs="仿宋_GB2312"/>
          <w:spacing w:val="22"/>
          <w:sz w:val="32"/>
          <w:szCs w:val="32"/>
        </w:rPr>
      </w:pPr>
      <w:r>
        <w:rPr>
          <w:rFonts w:ascii="Times New Roman" w:hAnsi="Times New Roman" w:eastAsia="Times New Roman" w:cs="Times New Roman"/>
        </w:rPr>
        <w:t>xbrl</w:t>
      </w:r>
      <w:r>
        <w:rPr>
          <w:rFonts w:ascii="Times New Roman" w:hAnsi="Times New Roman" w:eastAsia="Times New Roman" w:cs="Times New Roman"/>
          <w:spacing w:val="7"/>
        </w:rPr>
        <w:t>-</w:t>
      </w:r>
      <w:r>
        <w:rPr>
          <w:rFonts w:ascii="Times New Roman" w:hAnsi="Times New Roman" w:eastAsia="Times New Roman" w:cs="Times New Roman"/>
        </w:rPr>
        <w:t>json</w:t>
      </w:r>
      <w:r>
        <w:rPr>
          <w:rFonts w:ascii="Times New Roman" w:hAnsi="Times New Roman" w:eastAsia="Times New Roman" w:cs="Times New Roman"/>
          <w:spacing w:val="7"/>
        </w:rPr>
        <w:t>-1.0.</w:t>
      </w:r>
      <w:r>
        <w:rPr>
          <w:rFonts w:ascii="Times New Roman" w:hAnsi="Times New Roman" w:eastAsia="Times New Roman" w:cs="Times New Roman"/>
        </w:rPr>
        <w:t>jar</w:t>
      </w:r>
      <w:r>
        <w:rPr>
          <w:rFonts w:ascii="Times New Roman" w:hAnsi="Times New Roman" w:eastAsia="Times New Roman" w:cs="Times New Roman"/>
          <w:spacing w:val="74"/>
        </w:rPr>
        <w:t xml:space="preserve"> 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中定义了 XBRL 和 JSON 格式数据的转换方法。</w:t>
      </w:r>
    </w:p>
    <w:p>
      <w:pPr>
        <w:pStyle w:val="2"/>
        <w:spacing w:before="28" w:line="362" w:lineRule="auto"/>
        <w:ind w:left="157" w:right="346" w:firstLine="649"/>
        <w:rPr>
          <w:rFonts w:hint="eastAsia" w:ascii="仿宋_GB2312" w:hAnsi="仿宋_GB2312" w:eastAsia="仿宋_GB2312" w:cs="仿宋_GB2312"/>
          <w:spacing w:val="2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工具包的 API 入口为 </w:t>
      </w:r>
      <w:r>
        <w:rPr>
          <w:rFonts w:ascii="Times New Roman" w:hAnsi="Times New Roman" w:eastAsia="Times New Roman" w:cs="Times New Roman"/>
        </w:rPr>
        <w:t>api</w:t>
      </w:r>
      <w:r>
        <w:rPr>
          <w:rFonts w:ascii="Times New Roman" w:hAnsi="Times New Roman" w:eastAsia="Times New Roman" w:cs="Times New Roman"/>
          <w:spacing w:val="7"/>
        </w:rPr>
        <w:t>.</w:t>
      </w:r>
      <w:r>
        <w:rPr>
          <w:rFonts w:ascii="Times New Roman" w:hAnsi="Times New Roman" w:eastAsia="Times New Roman" w:cs="Times New Roman"/>
        </w:rPr>
        <w:t>VoucherFileUtil</w:t>
      </w:r>
      <w:r>
        <w:rPr>
          <w:rFonts w:ascii="Times New Roman" w:hAnsi="Times New Roman" w:eastAsia="Times New Roman" w:cs="Times New Roman"/>
          <w:spacing w:val="70"/>
        </w:rPr>
        <w:t xml:space="preserve"> 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类，针对业务场景封装了一些 API 供调用。详细 API 清单如下：</w:t>
      </w:r>
    </w:p>
    <w:tbl>
      <w:tblPr>
        <w:tblStyle w:val="5"/>
        <w:tblW w:w="878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718"/>
        <w:gridCol w:w="2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  <w:shd w:val="clear" w:color="auto" w:fill="D8D8D8" w:themeFill="background1" w:themeFillShade="D9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序号</w:t>
            </w:r>
          </w:p>
        </w:tc>
        <w:tc>
          <w:tcPr>
            <w:tcW w:w="5718" w:type="dxa"/>
            <w:shd w:val="clear" w:color="auto" w:fill="D8D8D8" w:themeFill="background1" w:themeFillShade="D9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API</w:t>
            </w:r>
          </w:p>
        </w:tc>
        <w:tc>
          <w:tcPr>
            <w:tcW w:w="2362" w:type="dxa"/>
            <w:shd w:val="clear" w:color="auto" w:fill="D8D8D8" w:themeFill="background1" w:themeFillShade="D9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</w:p>
        </w:tc>
        <w:tc>
          <w:tcPr>
            <w:tcW w:w="5718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static VoucherFileInfo extractXBRLFromOFD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/>
                <w:sz w:val="18"/>
                <w:szCs w:val="18"/>
              </w:rPr>
              <w:t>(String ofdFilePath)</w:t>
            </w:r>
          </w:p>
        </w:tc>
        <w:tc>
          <w:tcPr>
            <w:tcW w:w="236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从</w:t>
            </w:r>
            <w:r>
              <w:rPr>
                <w:rFonts w:ascii="宋体" w:hAnsi="宋体" w:eastAsia="宋体"/>
                <w:sz w:val="18"/>
                <w:szCs w:val="18"/>
              </w:rPr>
              <w:t>OFD中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提取</w:t>
            </w:r>
            <w:r>
              <w:rPr>
                <w:rFonts w:ascii="宋体" w:hAnsi="宋体" w:eastAsia="宋体"/>
                <w:sz w:val="18"/>
                <w:szCs w:val="18"/>
              </w:rPr>
              <w:t>出XBRL文件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2</w:t>
            </w:r>
          </w:p>
        </w:tc>
        <w:tc>
          <w:tcPr>
            <w:tcW w:w="5718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static VoucherFileInfo extractXBRLFromOFD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 xml:space="preserve">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>​</w:t>
            </w:r>
            <w:r>
              <w:rPr>
                <w:rFonts w:ascii="宋体" w:hAnsi="宋体" w:eastAsia="宋体"/>
                <w:sz w:val="18"/>
                <w:szCs w:val="18"/>
              </w:rPr>
              <w:t>(String ofdFilePath, String outputFile)</w:t>
            </w:r>
          </w:p>
        </w:tc>
        <w:tc>
          <w:tcPr>
            <w:tcW w:w="236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从</w:t>
            </w:r>
            <w:r>
              <w:rPr>
                <w:rFonts w:ascii="宋体" w:hAnsi="宋体" w:eastAsia="宋体"/>
                <w:sz w:val="18"/>
                <w:szCs w:val="18"/>
              </w:rPr>
              <w:t>OFD中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将</w:t>
            </w:r>
            <w:r>
              <w:rPr>
                <w:rFonts w:ascii="宋体" w:hAnsi="宋体" w:eastAsia="宋体"/>
                <w:sz w:val="18"/>
                <w:szCs w:val="18"/>
              </w:rPr>
              <w:t>XBRL文件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提取到指定位置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3</w:t>
            </w:r>
          </w:p>
        </w:tc>
        <w:tc>
          <w:tcPr>
            <w:tcW w:w="5718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static VoucherFileInfo extractXBRLFromPDF(String pdfFilePath)</w:t>
            </w:r>
          </w:p>
        </w:tc>
        <w:tc>
          <w:tcPr>
            <w:tcW w:w="236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从P</w:t>
            </w:r>
            <w:r>
              <w:rPr>
                <w:rFonts w:ascii="宋体" w:hAnsi="宋体" w:eastAsia="宋体"/>
                <w:sz w:val="18"/>
                <w:szCs w:val="18"/>
              </w:rPr>
              <w:t>DF中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提取</w:t>
            </w:r>
            <w:r>
              <w:rPr>
                <w:rFonts w:ascii="宋体" w:hAnsi="宋体" w:eastAsia="宋体"/>
                <w:sz w:val="18"/>
                <w:szCs w:val="18"/>
              </w:rPr>
              <w:t>出XBRL文件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4</w:t>
            </w:r>
          </w:p>
        </w:tc>
        <w:tc>
          <w:tcPr>
            <w:tcW w:w="5718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static VoucherFileInfo extractXBRLFromPDF(String pdfFilePath, String outputFile)</w:t>
            </w:r>
          </w:p>
        </w:tc>
        <w:tc>
          <w:tcPr>
            <w:tcW w:w="2362" w:type="dxa"/>
          </w:tcPr>
          <w:p>
            <w:pPr>
              <w:jc w:val="lef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从P</w:t>
            </w:r>
            <w:r>
              <w:rPr>
                <w:rFonts w:ascii="宋体" w:hAnsi="宋体" w:eastAsia="宋体"/>
                <w:sz w:val="18"/>
                <w:szCs w:val="18"/>
              </w:rPr>
              <w:t>DF中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将</w:t>
            </w:r>
            <w:r>
              <w:rPr>
                <w:rFonts w:ascii="宋体" w:hAnsi="宋体" w:eastAsia="宋体"/>
                <w:sz w:val="18"/>
                <w:szCs w:val="18"/>
              </w:rPr>
              <w:t>XBRL文件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提取到指定位置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5</w:t>
            </w:r>
          </w:p>
        </w:tc>
        <w:tc>
          <w:tcPr>
            <w:tcW w:w="5718" w:type="dxa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static void extractAttachFromPDF(String pdfFilePath, String outputPath)</w:t>
            </w:r>
          </w:p>
        </w:tc>
        <w:tc>
          <w:tcPr>
            <w:tcW w:w="2362" w:type="dxa"/>
          </w:tcPr>
          <w:p>
            <w:pPr>
              <w:jc w:val="lef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从P</w:t>
            </w:r>
            <w:r>
              <w:rPr>
                <w:rFonts w:ascii="宋体" w:hAnsi="宋体" w:eastAsia="宋体"/>
                <w:sz w:val="18"/>
                <w:szCs w:val="18"/>
              </w:rPr>
              <w:t>DF中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将附</w:t>
            </w:r>
            <w:r>
              <w:rPr>
                <w:rFonts w:ascii="宋体" w:hAnsi="宋体" w:eastAsia="宋体"/>
                <w:sz w:val="18"/>
                <w:szCs w:val="18"/>
              </w:rPr>
              <w:t>件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提取到指定位置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6</w:t>
            </w:r>
          </w:p>
        </w:tc>
        <w:tc>
          <w:tcPr>
            <w:tcW w:w="5718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static String extractXMLFromPDF(String pdfFilePath)</w:t>
            </w:r>
          </w:p>
        </w:tc>
        <w:tc>
          <w:tcPr>
            <w:tcW w:w="2362" w:type="dxa"/>
          </w:tcPr>
          <w:p>
            <w:pPr>
              <w:jc w:val="lef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从P</w:t>
            </w:r>
            <w:r>
              <w:rPr>
                <w:rFonts w:ascii="宋体" w:hAnsi="宋体" w:eastAsia="宋体"/>
                <w:sz w:val="18"/>
                <w:szCs w:val="18"/>
              </w:rPr>
              <w:t>DF中提取XML，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适用于国库集中支付电子凭证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7</w:t>
            </w:r>
          </w:p>
        </w:tc>
        <w:tc>
          <w:tcPr>
            <w:tcW w:w="5718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static String</w:t>
            </w:r>
            <w:r>
              <w:rPr>
                <w:rFonts w:ascii="宋体" w:hAnsi="宋体" w:eastAsia="宋体"/>
                <w:sz w:val="18"/>
                <w:szCs w:val="18"/>
              </w:rPr>
              <w:tab/>
            </w:r>
            <w:r>
              <w:rPr>
                <w:rFonts w:ascii="宋体" w:hAnsi="宋体" w:eastAsia="宋体"/>
                <w:sz w:val="18"/>
                <w:szCs w:val="18"/>
              </w:rPr>
              <w:t>json2Xbrl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>​</w:t>
            </w:r>
            <w:r>
              <w:rPr>
                <w:rFonts w:ascii="宋体" w:hAnsi="宋体" w:eastAsia="宋体"/>
                <w:sz w:val="18"/>
                <w:szCs w:val="18"/>
              </w:rPr>
              <w:t xml:space="preserve">(String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json</w:t>
            </w:r>
            <w:r>
              <w:rPr>
                <w:rFonts w:ascii="宋体" w:hAnsi="宋体" w:eastAsia="宋体"/>
                <w:sz w:val="18"/>
                <w:szCs w:val="18"/>
              </w:rPr>
              <w:t>, String configId)</w:t>
            </w:r>
          </w:p>
        </w:tc>
        <w:tc>
          <w:tcPr>
            <w:tcW w:w="236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JSON转XBRL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8</w:t>
            </w:r>
          </w:p>
        </w:tc>
        <w:tc>
          <w:tcPr>
            <w:tcW w:w="5718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static JSONObject xbrl2Json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>​</w:t>
            </w:r>
            <w:r>
              <w:rPr>
                <w:rFonts w:ascii="宋体" w:hAnsi="宋体" w:eastAsia="宋体"/>
                <w:sz w:val="18"/>
                <w:szCs w:val="18"/>
              </w:rPr>
              <w:t>(String xbrlXml, String configId)</w:t>
            </w:r>
          </w:p>
        </w:tc>
        <w:tc>
          <w:tcPr>
            <w:tcW w:w="236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XBRL转JSON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9</w:t>
            </w:r>
          </w:p>
        </w:tc>
        <w:tc>
          <w:tcPr>
            <w:tcW w:w="5718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static JSONObject x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m</w:t>
            </w:r>
            <w:r>
              <w:rPr>
                <w:rFonts w:ascii="宋体" w:hAnsi="宋体" w:eastAsia="宋体"/>
                <w:sz w:val="18"/>
                <w:szCs w:val="18"/>
              </w:rPr>
              <w:t>l2J</w:t>
            </w:r>
            <w:bookmarkStart w:id="0" w:name="_GoBack"/>
            <w:bookmarkEnd w:id="0"/>
            <w:r>
              <w:rPr>
                <w:rFonts w:ascii="宋体" w:hAnsi="宋体" w:eastAsia="宋体"/>
                <w:sz w:val="18"/>
                <w:szCs w:val="18"/>
              </w:rPr>
              <w:t>son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>​</w:t>
            </w:r>
            <w:r>
              <w:rPr>
                <w:rFonts w:ascii="宋体" w:hAnsi="宋体" w:eastAsia="宋体"/>
                <w:sz w:val="18"/>
                <w:szCs w:val="18"/>
              </w:rPr>
              <w:t xml:space="preserve">(String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xmlValue</w:t>
            </w:r>
            <w:r>
              <w:rPr>
                <w:rFonts w:ascii="宋体" w:hAnsi="宋体" w:eastAsia="宋体"/>
                <w:sz w:val="18"/>
                <w:szCs w:val="18"/>
              </w:rPr>
              <w:t>)</w:t>
            </w:r>
          </w:p>
        </w:tc>
        <w:tc>
          <w:tcPr>
            <w:tcW w:w="236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X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M</w:t>
            </w:r>
            <w:r>
              <w:rPr>
                <w:rFonts w:ascii="宋体" w:hAnsi="宋体" w:eastAsia="宋体"/>
                <w:sz w:val="18"/>
                <w:szCs w:val="18"/>
              </w:rPr>
              <w:t>L转JSON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709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10</w:t>
            </w:r>
          </w:p>
        </w:tc>
        <w:tc>
          <w:tcPr>
            <w:tcW w:w="5718" w:type="dxa"/>
            <w:shd w:val="clear" w:color="auto" w:fill="auto"/>
            <w:vAlign w:val="top"/>
          </w:tcPr>
          <w:p>
            <w:pPr>
              <w:rPr>
                <w:rFonts w:ascii="宋体" w:hAnsi="宋体" w:eastAsia="宋体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static String extractXMLFromCEBPDF(String pdfFilePath)</w:t>
            </w:r>
          </w:p>
        </w:tc>
        <w:tc>
          <w:tcPr>
            <w:tcW w:w="2362" w:type="dxa"/>
            <w:shd w:val="clear" w:color="auto" w:fill="auto"/>
            <w:vAlign w:val="top"/>
          </w:tcPr>
          <w:p>
            <w:pPr>
              <w:rPr>
                <w:rFonts w:ascii="宋体" w:hAnsi="宋体" w:eastAsia="宋体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从PDF中提取XML报文，仅适用于中央财政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电子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票据</w:t>
            </w:r>
          </w:p>
        </w:tc>
      </w:tr>
    </w:tbl>
    <w:p>
      <w:pPr>
        <w:spacing w:line="193" w:lineRule="exact"/>
      </w:pPr>
    </w:p>
    <w:p>
      <w:pPr>
        <w:widowControl w:val="0"/>
        <w:kinsoku/>
        <w:autoSpaceDN/>
        <w:spacing w:before="0" w:line="588" w:lineRule="exact"/>
        <w:ind w:left="0" w:firstLine="640" w:firstLineChars="200"/>
        <w:jc w:val="both"/>
        <w:textAlignment w:val="auto"/>
        <w:outlineLvl w:val="9"/>
        <w:rPr>
          <w:rFonts w:hint="eastAsia" w:ascii="方正楷体_GB2312" w:hAnsi="方正楷体_GB2312" w:eastAsia="方正楷体_GB2312" w:cs="方正楷体_GB2312"/>
          <w:snapToGrid/>
          <w:kern w:val="2"/>
          <w:sz w:val="32"/>
          <w:szCs w:val="32"/>
          <w:lang w:eastAsia="zh-CN"/>
        </w:rPr>
      </w:pPr>
      <w:r>
        <w:rPr>
          <w:rFonts w:hint="eastAsia" w:ascii="方正楷体_GB2312" w:hAnsi="方正楷体_GB2312" w:eastAsia="方正楷体_GB2312" w:cs="方正楷体_GB2312"/>
          <w:snapToGrid/>
          <w:spacing w:val="0"/>
          <w:kern w:val="2"/>
          <w:sz w:val="32"/>
          <w:szCs w:val="32"/>
          <w:lang w:eastAsia="zh-CN"/>
        </w:rPr>
        <w:t>(三) API 中 configId 的说明</w:t>
      </w:r>
    </w:p>
    <w:p>
      <w:pPr>
        <w:pStyle w:val="2"/>
        <w:spacing w:before="28" w:line="362" w:lineRule="auto"/>
        <w:ind w:left="157" w:right="346" w:firstLine="649"/>
        <w:jc w:val="left"/>
        <w:rPr>
          <w:rFonts w:hint="eastAsia" w:ascii="仿宋_GB2312" w:hAnsi="仿宋_GB2312" w:eastAsia="仿宋_GB2312" w:cs="仿宋_GB2312"/>
          <w:spacing w:val="2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工具包中针对不同票据类型提供了对应的配置文件进行适配，在使用 API 时需要传入对应的票据类型编号（configId），票据类型编码清单如下表所示：</w:t>
      </w:r>
    </w:p>
    <w:p>
      <w:pPr>
        <w:spacing w:before="67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4182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  <w:t>票据类型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  <w:t>票据类型编号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增值税电子普通发票（开具方）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inv_ord_issuer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2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增值税电子普通发票（接收方）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inv_ord_receiver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3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增值税电子专用发票（开具方）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inv_spcl_issuer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4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增值税电子专用发票（接收方）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inv_spcl_receiver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5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电子非税收入一般缴款书（开具方）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ntrev_gpm_issuer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6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电子非税收入一般缴款书（接收方）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ntrev_gpm_receiver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7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电子发票（铁路电子客票）（开具方）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rai_issuer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8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电子发票（铁路电子客票）（接收方）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rai_receiver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9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电子发票（航空运输电子客票行程单）（开具方）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atr</w:t>
            </w:r>
            <w:r>
              <w:rPr>
                <w:rFonts w:ascii="宋体" w:hAnsi="宋体" w:eastAsia="宋体"/>
                <w:sz w:val="18"/>
                <w:szCs w:val="18"/>
              </w:rPr>
              <w:t>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电子发票（航空运输电子客票行程单）（接收方）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atr</w:t>
            </w:r>
            <w:r>
              <w:rPr>
                <w:rFonts w:ascii="宋体" w:hAnsi="宋体" w:eastAsia="宋体"/>
                <w:sz w:val="18"/>
                <w:szCs w:val="18"/>
              </w:rPr>
              <w:t>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11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银行电子回单（开具方）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bke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r</w:t>
            </w:r>
            <w:r>
              <w:rPr>
                <w:rFonts w:ascii="宋体" w:hAnsi="宋体" w:eastAsia="宋体"/>
                <w:sz w:val="18"/>
                <w:szCs w:val="18"/>
              </w:rPr>
              <w:t>_issuer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12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银行电子回单（接收方）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bke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r</w:t>
            </w:r>
            <w:r>
              <w:rPr>
                <w:rFonts w:ascii="宋体" w:hAnsi="宋体" w:eastAsia="宋体"/>
                <w:sz w:val="18"/>
                <w:szCs w:val="18"/>
              </w:rPr>
              <w:t>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13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银行电子对账单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bkrs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14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全面数字化的电子发票</w:t>
            </w:r>
            <w:r>
              <w:rPr>
                <w:rFonts w:ascii="宋体" w:hAnsi="宋体" w:eastAsia="宋体"/>
                <w:sz w:val="18"/>
                <w:szCs w:val="18"/>
              </w:rPr>
              <w:t>-普通发票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（</w:t>
            </w:r>
            <w:r>
              <w:rPr>
                <w:rFonts w:ascii="宋体" w:hAnsi="宋体" w:eastAsia="宋体"/>
                <w:sz w:val="18"/>
                <w:szCs w:val="18"/>
              </w:rPr>
              <w:t>接收方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einv_ord_receiver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15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全面数字化的电子发票</w:t>
            </w:r>
            <w:r>
              <w:rPr>
                <w:rFonts w:ascii="宋体" w:hAnsi="宋体" w:eastAsia="宋体"/>
                <w:sz w:val="18"/>
                <w:szCs w:val="18"/>
              </w:rPr>
              <w:t>-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增值税专用发票（</w:t>
            </w:r>
            <w:r>
              <w:rPr>
                <w:rFonts w:ascii="宋体" w:hAnsi="宋体" w:eastAsia="宋体"/>
                <w:sz w:val="18"/>
                <w:szCs w:val="18"/>
              </w:rPr>
              <w:t>接收方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einv_spcl_receiver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  <w:r>
              <w:rPr>
                <w:rFonts w:ascii="宋体" w:hAnsi="宋体" w:eastAsia="宋体"/>
                <w:sz w:val="18"/>
                <w:szCs w:val="18"/>
              </w:rPr>
              <w:t>6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财政电子票据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efi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  <w:r>
              <w:rPr>
                <w:rFonts w:ascii="宋体" w:hAnsi="宋体" w:eastAsia="宋体"/>
                <w:sz w:val="18"/>
                <w:szCs w:val="18"/>
              </w:rPr>
              <w:t>7</w:t>
            </w:r>
          </w:p>
        </w:tc>
        <w:tc>
          <w:tcPr>
            <w:tcW w:w="4182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国库集中支付电子凭证</w:t>
            </w:r>
          </w:p>
        </w:tc>
        <w:tc>
          <w:tcPr>
            <w:tcW w:w="34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ctp</w:t>
            </w:r>
          </w:p>
        </w:tc>
      </w:tr>
    </w:tbl>
    <w:p>
      <w:pPr>
        <w:spacing w:before="0" w:line="240" w:lineRule="auto"/>
        <w:ind w:left="0"/>
        <w:rPr>
          <w:rFonts w:hint="eastAsia" w:ascii="方正黑体_GBK" w:hAnsi="方正黑体_GBK" w:eastAsia="方正黑体_GBK" w:cs="方正黑体_GBK"/>
          <w:spacing w:val="4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4"/>
          <w:sz w:val="32"/>
          <w:szCs w:val="32"/>
        </w:rPr>
        <w:br w:type="page"/>
      </w:r>
    </w:p>
    <w:p>
      <w:pPr>
        <w:spacing w:before="258" w:line="224" w:lineRule="auto"/>
        <w:ind w:left="32"/>
        <w:rPr>
          <w:rFonts w:hint="eastAsia" w:ascii="方正黑体_GBK" w:hAnsi="方正黑体_GBK" w:eastAsia="方正黑体_GBK" w:cs="方正黑体_GBK"/>
          <w:spacing w:val="4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4"/>
          <w:sz w:val="32"/>
          <w:szCs w:val="32"/>
        </w:rPr>
        <w:t>四、 附件清单</w:t>
      </w:r>
    </w:p>
    <w:p>
      <w:pPr>
        <w:spacing w:before="101" w:line="221" w:lineRule="auto"/>
        <w:ind w:left="18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3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1：</w:t>
      </w:r>
      <w:r>
        <w:rPr>
          <w:rFonts w:hint="eastAsia" w:ascii="仿宋_GB2312" w:hAnsi="仿宋_GB2312" w:eastAsia="仿宋_GB2312" w:cs="仿宋_GB2312"/>
          <w:sz w:val="32"/>
          <w:szCs w:val="32"/>
        </w:rPr>
        <w:t>JSON</w:t>
      </w:r>
      <w:r>
        <w:rPr>
          <w:rFonts w:hint="eastAsia" w:ascii="仿宋_GB2312" w:hAnsi="仿宋_GB2312" w:eastAsia="仿宋_GB2312" w:cs="仿宋_GB2312"/>
          <w:spacing w:val="-6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数据样例文件清单</w:t>
      </w:r>
    </w:p>
    <w:tbl>
      <w:tblPr>
        <w:tblStyle w:val="5"/>
        <w:tblW w:w="8558" w:type="dxa"/>
        <w:tblInd w:w="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5244"/>
        <w:gridCol w:w="2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  <w:t>票据类型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  <w:t>文件名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增值税电子普通发票（开具方）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inv_ord_issuer.json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2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增值税电子普通发票（接收方）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inv_ord_receiver.json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3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增值税电子专用发票（开具方）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inv_spcl_issuer.json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4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增值税电子专用发票（接收方）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inv_spcl_receiver.json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5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电子非税收入一般缴款书（开具方）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ntrev_gpm_issuer.json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6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电子非税收入一般缴款书（接收方）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b/>
                <w:bCs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ntrev_gpm_receiver.json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7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电子发票（铁路电子客票）（开具方）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rai_issuer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.</w:t>
            </w:r>
            <w:r>
              <w:rPr>
                <w:rFonts w:ascii="宋体" w:hAnsi="宋体" w:eastAsia="宋体"/>
                <w:sz w:val="18"/>
                <w:szCs w:val="18"/>
              </w:rPr>
              <w:t>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8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电子发票（铁路电子客票）（接收方）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rai_receiver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.</w:t>
            </w:r>
            <w:r>
              <w:rPr>
                <w:rFonts w:ascii="宋体" w:hAnsi="宋体" w:eastAsia="宋体"/>
                <w:sz w:val="18"/>
                <w:szCs w:val="18"/>
              </w:rPr>
              <w:t>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9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电子发票（航空运输电子客票行程单）（开具方）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atr</w:t>
            </w:r>
            <w:r>
              <w:rPr>
                <w:rFonts w:ascii="宋体" w:hAnsi="宋体" w:eastAsia="宋体"/>
                <w:sz w:val="18"/>
                <w:szCs w:val="18"/>
              </w:rPr>
              <w:t>_issuer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.</w:t>
            </w:r>
            <w:r>
              <w:rPr>
                <w:rFonts w:ascii="宋体" w:hAnsi="宋体" w:eastAsia="宋体"/>
                <w:sz w:val="18"/>
                <w:szCs w:val="18"/>
              </w:rPr>
              <w:t>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电子发票（航空运输电子客票行程单）（接收方）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atr</w:t>
            </w:r>
            <w:r>
              <w:rPr>
                <w:rFonts w:ascii="宋体" w:hAnsi="宋体" w:eastAsia="宋体"/>
                <w:sz w:val="18"/>
                <w:szCs w:val="18"/>
              </w:rPr>
              <w:t>_receiver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.</w:t>
            </w:r>
            <w:r>
              <w:rPr>
                <w:rFonts w:ascii="宋体" w:hAnsi="宋体" w:eastAsia="宋体"/>
                <w:sz w:val="18"/>
                <w:szCs w:val="18"/>
              </w:rPr>
              <w:t>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11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银行电子回单（开具方）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bke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r</w:t>
            </w:r>
            <w:r>
              <w:rPr>
                <w:rFonts w:ascii="宋体" w:hAnsi="宋体" w:eastAsia="宋体"/>
                <w:sz w:val="18"/>
                <w:szCs w:val="18"/>
              </w:rPr>
              <w:t>_issuer.json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12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银行电子回单（接收方）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bke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r</w:t>
            </w:r>
            <w:r>
              <w:rPr>
                <w:rFonts w:ascii="宋体" w:hAnsi="宋体" w:eastAsia="宋体"/>
                <w:sz w:val="18"/>
                <w:szCs w:val="18"/>
              </w:rPr>
              <w:t>_receiver.json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13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银行电子对账单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bkrs</w:t>
            </w:r>
            <w:r>
              <w:rPr>
                <w:rFonts w:ascii="宋体" w:hAnsi="宋体" w:eastAsia="宋体"/>
                <w:sz w:val="18"/>
                <w:szCs w:val="18"/>
              </w:rPr>
              <w:t>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14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全面数字化的电子发票</w:t>
            </w:r>
            <w:r>
              <w:rPr>
                <w:rFonts w:ascii="宋体" w:hAnsi="宋体" w:eastAsia="宋体"/>
                <w:sz w:val="18"/>
                <w:szCs w:val="18"/>
              </w:rPr>
              <w:t>-普通发票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（</w:t>
            </w:r>
            <w:r>
              <w:rPr>
                <w:rFonts w:ascii="宋体" w:hAnsi="宋体" w:eastAsia="宋体"/>
                <w:sz w:val="18"/>
                <w:szCs w:val="18"/>
              </w:rPr>
              <w:t>接收方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einv_ord_receiver.json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15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全面数字化的电子发票</w:t>
            </w:r>
            <w:r>
              <w:rPr>
                <w:rFonts w:ascii="宋体" w:hAnsi="宋体" w:eastAsia="宋体"/>
                <w:sz w:val="18"/>
                <w:szCs w:val="18"/>
              </w:rPr>
              <w:t>-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增值税专用发票（</w:t>
            </w:r>
            <w:r>
              <w:rPr>
                <w:rFonts w:ascii="宋体" w:hAnsi="宋体" w:eastAsia="宋体"/>
                <w:sz w:val="18"/>
                <w:szCs w:val="18"/>
              </w:rPr>
              <w:t>接收方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einv_spcl_receiver.json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  <w:r>
              <w:rPr>
                <w:rFonts w:ascii="宋体" w:hAnsi="宋体" w:eastAsia="宋体"/>
                <w:sz w:val="18"/>
                <w:szCs w:val="18"/>
              </w:rPr>
              <w:t>6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财政电子票据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efi.json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  <w:r>
              <w:rPr>
                <w:rFonts w:ascii="宋体" w:hAnsi="宋体" w:eastAsia="宋体"/>
                <w:sz w:val="18"/>
                <w:szCs w:val="18"/>
              </w:rPr>
              <w:t>7</w:t>
            </w:r>
          </w:p>
        </w:tc>
        <w:tc>
          <w:tcPr>
            <w:tcW w:w="5244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国库集中支付电子凭证</w:t>
            </w:r>
          </w:p>
        </w:tc>
        <w:tc>
          <w:tcPr>
            <w:tcW w:w="2351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ctp.json</w:t>
            </w:r>
          </w:p>
        </w:tc>
      </w:tr>
    </w:tbl>
    <w:p>
      <w:pPr>
        <w:spacing w:before="0" w:line="240" w:lineRule="auto"/>
        <w:ind w:left="0"/>
        <w:rPr>
          <w:rFonts w:ascii="楷体" w:hAnsi="楷体" w:eastAsia="楷体" w:cs="楷体"/>
          <w:spacing w:val="3"/>
          <w:sz w:val="31"/>
          <w:szCs w:val="31"/>
        </w:rPr>
      </w:pPr>
      <w:r>
        <w:rPr>
          <w:rFonts w:ascii="楷体" w:hAnsi="楷体" w:eastAsia="楷体" w:cs="楷体"/>
          <w:spacing w:val="3"/>
          <w:sz w:val="31"/>
          <w:szCs w:val="31"/>
        </w:rPr>
        <w:br w:type="page"/>
      </w:r>
    </w:p>
    <w:p>
      <w:pPr>
        <w:spacing w:before="161" w:line="223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3"/>
          <w:sz w:val="31"/>
          <w:szCs w:val="31"/>
        </w:rPr>
        <w:t>附件</w:t>
      </w:r>
      <w:r>
        <w:rPr>
          <w:rFonts w:ascii="楷体" w:hAnsi="楷体" w:eastAsia="楷体" w:cs="楷体"/>
          <w:spacing w:val="-6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3"/>
          <w:sz w:val="31"/>
          <w:szCs w:val="31"/>
        </w:rPr>
        <w:t>2：更新记录</w:t>
      </w:r>
    </w:p>
    <w:tbl>
      <w:tblPr>
        <w:tblStyle w:val="7"/>
        <w:tblW w:w="8365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7"/>
        <w:gridCol w:w="6190"/>
        <w:gridCol w:w="9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177" w:type="dxa"/>
            <w:vAlign w:val="top"/>
          </w:tcPr>
          <w:p>
            <w:pPr>
              <w:pStyle w:val="8"/>
              <w:spacing w:before="70" w:line="219" w:lineRule="auto"/>
              <w:ind w:left="115"/>
            </w:pPr>
            <w:r>
              <w:rPr>
                <w:b/>
                <w:bCs/>
                <w:spacing w:val="-4"/>
              </w:rPr>
              <w:t>版本号</w:t>
            </w:r>
          </w:p>
        </w:tc>
        <w:tc>
          <w:tcPr>
            <w:tcW w:w="6190" w:type="dxa"/>
            <w:vAlign w:val="top"/>
          </w:tcPr>
          <w:p>
            <w:pPr>
              <w:pStyle w:val="8"/>
              <w:spacing w:before="70" w:line="220" w:lineRule="auto"/>
              <w:ind w:left="111"/>
            </w:pPr>
            <w:r>
              <w:rPr>
                <w:b/>
                <w:bCs/>
                <w:spacing w:val="-4"/>
              </w:rPr>
              <w:t>修改内容</w:t>
            </w:r>
          </w:p>
        </w:tc>
        <w:tc>
          <w:tcPr>
            <w:tcW w:w="998" w:type="dxa"/>
            <w:vAlign w:val="top"/>
          </w:tcPr>
          <w:p>
            <w:pPr>
              <w:pStyle w:val="8"/>
              <w:spacing w:before="70" w:line="220" w:lineRule="auto"/>
              <w:ind w:left="114"/>
            </w:pPr>
            <w:r>
              <w:rPr>
                <w:b/>
                <w:bCs/>
                <w:spacing w:val="-4"/>
              </w:rPr>
              <w:t>修改日期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77" w:type="dxa"/>
            <w:vAlign w:val="top"/>
          </w:tcPr>
          <w:p>
            <w:pPr>
              <w:pStyle w:val="8"/>
              <w:spacing w:before="70"/>
              <w:ind w:left="234"/>
            </w:pPr>
            <w:r>
              <w:rPr>
                <w:spacing w:val="-1"/>
              </w:rPr>
              <w:t>20250323</w:t>
            </w:r>
          </w:p>
        </w:tc>
        <w:tc>
          <w:tcPr>
            <w:tcW w:w="6190" w:type="dxa"/>
            <w:vAlign w:val="top"/>
          </w:tcPr>
          <w:p>
            <w:pPr>
              <w:pStyle w:val="8"/>
              <w:spacing w:before="70" w:line="219" w:lineRule="auto"/>
              <w:ind w:left="112"/>
            </w:pPr>
            <w:r>
              <w:rPr>
                <w:spacing w:val="-2"/>
              </w:rPr>
              <w:t>版本创建</w:t>
            </w:r>
          </w:p>
        </w:tc>
        <w:tc>
          <w:tcPr>
            <w:tcW w:w="998" w:type="dxa"/>
            <w:vAlign w:val="top"/>
          </w:tcPr>
          <w:p>
            <w:pPr>
              <w:pStyle w:val="8"/>
              <w:spacing w:before="70"/>
              <w:ind w:left="117"/>
            </w:pPr>
            <w:r>
              <w:rPr>
                <w:spacing w:val="-1"/>
              </w:rPr>
              <w:t>20250323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footerReference r:id="rId6" w:type="default"/>
      <w:pgSz w:w="11907" w:h="16839"/>
      <w:pgMar w:top="1431" w:right="1735" w:bottom="1177" w:left="1785" w:header="0" w:footer="9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楷体_GB2312">
    <w:altName w:val="方正楷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MS Gothic">
    <w:altName w:val="Times New Roman"/>
    <w:panose1 w:val="020B0609070205080204"/>
    <w:charset w:val="80"/>
    <w:family w:val="modern"/>
    <w:pitch w:val="default"/>
    <w:sig w:usb0="00000000" w:usb1="00000000" w:usb2="08000012" w:usb3="00000000" w:csb0="4002009F" w:csb1="DFD7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6" w:lineRule="auto"/>
      <w:ind w:left="4133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ind w:left="4129"/>
      <w:rPr>
        <w:rFonts w:ascii="等线" w:hAnsi="等线" w:eastAsia="等线" w:cs="等线"/>
        <w:sz w:val="18"/>
        <w:szCs w:val="18"/>
      </w:rPr>
    </w:pPr>
    <w:r>
      <w:rPr>
        <w:rFonts w:ascii="等线" w:hAnsi="等线" w:eastAsia="等线" w:cs="等线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displayBackgroundShape w:val="true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A8553B8"/>
    <w:rsid w:val="105E41AB"/>
    <w:rsid w:val="128F4AEF"/>
    <w:rsid w:val="13394518"/>
    <w:rsid w:val="1C78070F"/>
    <w:rsid w:val="2174374E"/>
    <w:rsid w:val="2C9C18D6"/>
    <w:rsid w:val="3C601127"/>
    <w:rsid w:val="440C3942"/>
    <w:rsid w:val="4D1674A8"/>
    <w:rsid w:val="50D650BC"/>
    <w:rsid w:val="57ED9EE0"/>
    <w:rsid w:val="58F11DBC"/>
    <w:rsid w:val="5BB56B61"/>
    <w:rsid w:val="5FFF9E95"/>
    <w:rsid w:val="62C0652D"/>
    <w:rsid w:val="68CFA1D7"/>
    <w:rsid w:val="6F7FE96B"/>
    <w:rsid w:val="6FFD238C"/>
    <w:rsid w:val="7377E02A"/>
    <w:rsid w:val="77FFC22D"/>
    <w:rsid w:val="79ADA5B4"/>
    <w:rsid w:val="DFFF39DB"/>
    <w:rsid w:val="EF6B63D9"/>
    <w:rsid w:val="EFB5BC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宋体" w:hAnsi="宋体" w:cs="Times New Roman"/>
      <w:sz w:val="44"/>
      <w:szCs w:val="44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858</Words>
  <Characters>1778</Characters>
  <TotalTime>3</TotalTime>
  <ScaleCrop>false</ScaleCrop>
  <LinksUpToDate>false</LinksUpToDate>
  <CharactersWithSpaces>1889</CharactersWithSpaces>
  <Application>WPS Office_11.8.2.10422_F1E327BC-269C-435d-A152-05C5408002CA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2025-03-25T04:20:00Z</dcterms:created>
  <dc:creator>Li Shoulin</dc:creator>
  <cp:lastModifiedBy>LRJ</cp:lastModifiedBy>
  <dcterms:modified xsi:type="dcterms:W3CDTF">2025-04-25T08:33:17Z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2025-03-31T14:32:25Z</vt:filetime>
  </property>
  <property fmtid="{D5CDD505-2E9C-101B-9397-08002B2CF9AE}" pid="4" name="KSOProductBuildVer">
    <vt:lpwstr>2052-11.8.2.10422</vt:lpwstr>
  </property>
  <property fmtid="{D5CDD505-2E9C-101B-9397-08002B2CF9AE}" pid="5" name="KSOTemplateDocerSaveRecord">
    <vt:lpwstr>eyJoZGlkIjoiNjA3M2FmNzAzYmUzMzE2YmRlM2EzMzU3MThiZjljOTgiLCJ1c2VySWQiOiI0NjI1MTg0MjEifQ==</vt:lpwstr>
  </property>
  <property fmtid="{D5CDD505-2E9C-101B-9397-08002B2CF9AE}" pid="6" name="ICV">
    <vt:lpwstr>D25C8818CFFE4E1892250212EE88CD22_13</vt:lpwstr>
  </property>
</Properties>
</file>