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DC" w:rsidRDefault="006B6CDC" w:rsidP="006B6CDC">
      <w:pPr>
        <w:adjustRightInd w:val="0"/>
        <w:snapToGrid w:val="0"/>
        <w:spacing w:line="600" w:lineRule="exact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仿宋_GB2312" w:eastAsia="仿宋_GB2312" w:hint="eastAsia"/>
          <w:b/>
          <w:sz w:val="30"/>
          <w:szCs w:val="30"/>
        </w:rPr>
        <w:t>附件3</w:t>
      </w:r>
    </w:p>
    <w:p w:rsidR="009A3410" w:rsidRPr="00154077" w:rsidRDefault="009A3410">
      <w:pPr>
        <w:rPr>
          <w:rFonts w:ascii="黑体" w:eastAsia="黑体" w:hAnsi="黑体" w:cs="宋体"/>
          <w:b/>
          <w:kern w:val="0"/>
          <w:sz w:val="44"/>
          <w:szCs w:val="44"/>
        </w:rPr>
      </w:pPr>
    </w:p>
    <w:p w:rsidR="009A3410" w:rsidRDefault="008660AB">
      <w:pPr>
        <w:widowControl/>
        <w:shd w:val="clear" w:color="auto" w:fill="FFFFFF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kern w:val="0"/>
          <w:sz w:val="44"/>
          <w:szCs w:val="44"/>
        </w:rPr>
        <w:t>同步废止的业务规则清单</w:t>
      </w:r>
    </w:p>
    <w:p w:rsidR="009A3410" w:rsidRDefault="009A3410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tbl>
      <w:tblPr>
        <w:tblStyle w:val="a8"/>
        <w:tblW w:w="0" w:type="auto"/>
        <w:jc w:val="center"/>
        <w:tblLook w:val="04A0"/>
      </w:tblPr>
      <w:tblGrid>
        <w:gridCol w:w="704"/>
        <w:gridCol w:w="1691"/>
        <w:gridCol w:w="4635"/>
        <w:gridCol w:w="1381"/>
      </w:tblGrid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1"/>
                <w:szCs w:val="21"/>
              </w:rPr>
              <w:t>发文文号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1"/>
                <w:szCs w:val="21"/>
              </w:rPr>
              <w:t>规则标题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发布日期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上证交字〔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2001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关于增发股份上市首日行情显示和价格限制的通知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2001/3/28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关于进一步明确指数熔断期间证券复牌有关事项的通知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2015/12/31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2016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</w:p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关于暂停实施指数熔断机制的通知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2016/1/7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2018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63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关于新股上市初期交易监管有关事项的通知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2018/8/6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2019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关于发布《上海证券交易所科创板股票交易特别规定》的通知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2019/3/1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2019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26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关于发布《上海证券交易所科创板股票盘后固定价格交易指引》的通知</w:t>
            </w:r>
            <w:bookmarkStart w:id="0" w:name="_GoBack"/>
            <w:bookmarkEnd w:id="0"/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2019/3/1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17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关于修订《上海证券交易所交易规则》的通知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2020/3/13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47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关于明确科创板股票异常波动认定所涉基准指数有关事项的通知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2020/6/19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61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  <w:shd w:val="clear" w:color="auto" w:fill="auto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关于科创板相关基金等涨跌幅比例的通知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2020/8/21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  <w:shd w:val="clear" w:color="auto" w:fill="auto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关于发布《上海证券交易所风险警示板股票交易管理办法（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月修订）》的通知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2020/12/31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上证函〔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1596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  <w:shd w:val="clear" w:color="auto" w:fill="auto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关于优化证券交易公开信息的通知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2021/9/17</w:t>
            </w:r>
          </w:p>
        </w:tc>
      </w:tr>
      <w:tr w:rsidR="009A3410">
        <w:trPr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上证发〔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129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4635" w:type="dxa"/>
            <w:shd w:val="clear" w:color="auto" w:fill="auto"/>
          </w:tcPr>
          <w:p w:rsidR="009A3410" w:rsidRDefault="008660AB">
            <w:pPr>
              <w:pStyle w:val="a7"/>
              <w:spacing w:before="0" w:beforeAutospacing="0" w:after="0" w:afterAutospacing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关于调整《上海证券交易所交易规则》涉及大宗交易相关规定的通知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2022/8/19</w:t>
            </w:r>
          </w:p>
        </w:tc>
      </w:tr>
    </w:tbl>
    <w:p w:rsidR="009A3410" w:rsidRDefault="009A3410">
      <w:pPr>
        <w:pStyle w:val="a7"/>
        <w:shd w:val="clear" w:color="auto" w:fill="FFFFFF"/>
        <w:spacing w:before="0" w:beforeAutospacing="0" w:after="0" w:afterAutospacing="0" w:line="600" w:lineRule="exact"/>
        <w:jc w:val="center"/>
      </w:pPr>
    </w:p>
    <w:p w:rsidR="009A3410" w:rsidRDefault="009A3410">
      <w:pPr>
        <w:jc w:val="center"/>
      </w:pPr>
    </w:p>
    <w:sectPr w:rsidR="009A3410" w:rsidSect="009A341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A9" w:rsidRDefault="005879A9" w:rsidP="009A3410">
      <w:r>
        <w:separator/>
      </w:r>
    </w:p>
  </w:endnote>
  <w:endnote w:type="continuationSeparator" w:id="0">
    <w:p w:rsidR="005879A9" w:rsidRDefault="005879A9" w:rsidP="009A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70583336"/>
    </w:sdtPr>
    <w:sdtContent>
      <w:p w:rsidR="009A3410" w:rsidRDefault="001B4E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60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1907" w:rsidRPr="00361907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A9" w:rsidRDefault="005879A9" w:rsidP="009A3410">
      <w:r>
        <w:separator/>
      </w:r>
    </w:p>
  </w:footnote>
  <w:footnote w:type="continuationSeparator" w:id="0">
    <w:p w:rsidR="005879A9" w:rsidRDefault="005879A9" w:rsidP="009A3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C66"/>
    <w:rsid w:val="00022F48"/>
    <w:rsid w:val="00053B32"/>
    <w:rsid w:val="000A7D57"/>
    <w:rsid w:val="00154077"/>
    <w:rsid w:val="001A4C99"/>
    <w:rsid w:val="001B4E33"/>
    <w:rsid w:val="001E7752"/>
    <w:rsid w:val="00353AAC"/>
    <w:rsid w:val="00361907"/>
    <w:rsid w:val="003A43A3"/>
    <w:rsid w:val="003A5D22"/>
    <w:rsid w:val="00411C66"/>
    <w:rsid w:val="004244FF"/>
    <w:rsid w:val="0045370B"/>
    <w:rsid w:val="004F1C3E"/>
    <w:rsid w:val="00500D9F"/>
    <w:rsid w:val="00532F46"/>
    <w:rsid w:val="0057122D"/>
    <w:rsid w:val="00581F22"/>
    <w:rsid w:val="005879A9"/>
    <w:rsid w:val="005A2CA5"/>
    <w:rsid w:val="006078D5"/>
    <w:rsid w:val="00672ECF"/>
    <w:rsid w:val="00694C75"/>
    <w:rsid w:val="006A4E2B"/>
    <w:rsid w:val="006B6CDC"/>
    <w:rsid w:val="006F42A7"/>
    <w:rsid w:val="00703870"/>
    <w:rsid w:val="0072464D"/>
    <w:rsid w:val="007E6D77"/>
    <w:rsid w:val="008056F4"/>
    <w:rsid w:val="00853CBA"/>
    <w:rsid w:val="008660AB"/>
    <w:rsid w:val="008C2DAA"/>
    <w:rsid w:val="008D0D6E"/>
    <w:rsid w:val="008E2E43"/>
    <w:rsid w:val="008E2E5C"/>
    <w:rsid w:val="009A3410"/>
    <w:rsid w:val="009A7894"/>
    <w:rsid w:val="009E06CC"/>
    <w:rsid w:val="00B0317C"/>
    <w:rsid w:val="00B2441C"/>
    <w:rsid w:val="00CA79E5"/>
    <w:rsid w:val="00D44A7A"/>
    <w:rsid w:val="00DA79DC"/>
    <w:rsid w:val="00E078D0"/>
    <w:rsid w:val="00E412FE"/>
    <w:rsid w:val="00E5566D"/>
    <w:rsid w:val="00EA4985"/>
    <w:rsid w:val="00F15AEE"/>
    <w:rsid w:val="00F6589A"/>
    <w:rsid w:val="00F9399C"/>
    <w:rsid w:val="00F95612"/>
    <w:rsid w:val="00FB5260"/>
    <w:rsid w:val="1A0C324E"/>
    <w:rsid w:val="2A885B12"/>
    <w:rsid w:val="5C8C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9A341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A34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A3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9A3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9A34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9A3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9A3410"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rsid w:val="009A341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9A3410"/>
  </w:style>
  <w:style w:type="character" w:customStyle="1" w:styleId="Char2">
    <w:name w:val="页眉 Char"/>
    <w:basedOn w:val="a0"/>
    <w:link w:val="a6"/>
    <w:uiPriority w:val="99"/>
    <w:semiHidden/>
    <w:rsid w:val="009A341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A34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2022-01-26T07:58:00Z</dcterms:created>
  <dcterms:modified xsi:type="dcterms:W3CDTF">2023-02-16T09:30:00Z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C3EB33B2B50F4900BFA86AC587B8DFBA</vt:lpwstr>
  </property>
</Properties>
</file>